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7C87CE">
      <w:pPr>
        <w:wordWrap w:val="0"/>
        <w:rPr>
          <w:rFonts w:hint="eastAsia"/>
          <w:sz w:val="36"/>
          <w:szCs w:val="36"/>
        </w:rPr>
      </w:pPr>
      <w:bookmarkStart w:id="0" w:name="_Hlk57883707"/>
    </w:p>
    <w:p w14:paraId="11A6353D">
      <w:pPr>
        <w:wordWrap w:val="0"/>
        <w:rPr>
          <w:rFonts w:hint="eastAsia"/>
          <w:sz w:val="36"/>
          <w:szCs w:val="36"/>
        </w:rPr>
      </w:pPr>
    </w:p>
    <w:bookmarkEnd w:id="0"/>
    <w:p w14:paraId="5ED89202">
      <w:pPr>
        <w:wordWrap w:val="0"/>
        <w:jc w:val="center"/>
        <w:rPr>
          <w:b/>
          <w:sz w:val="72"/>
          <w:szCs w:val="72"/>
        </w:rPr>
      </w:pPr>
    </w:p>
    <w:p w14:paraId="6655896A">
      <w:pPr>
        <w:wordWrap w:val="0"/>
        <w:jc w:val="center"/>
        <w:rPr>
          <w:b/>
          <w:sz w:val="72"/>
          <w:szCs w:val="72"/>
        </w:rPr>
      </w:pPr>
    </w:p>
    <w:p w14:paraId="577821B5">
      <w:pPr>
        <w:wordWrap w:val="0"/>
        <w:jc w:val="center"/>
        <w:rPr>
          <w:b/>
          <w:sz w:val="72"/>
          <w:szCs w:val="72"/>
        </w:rPr>
      </w:pPr>
      <w:r>
        <w:rPr>
          <w:b/>
          <w:sz w:val="72"/>
          <w:szCs w:val="72"/>
        </w:rPr>
        <w:t>建设项目环境影响报告表</w:t>
      </w:r>
    </w:p>
    <w:p w14:paraId="7427C0FF">
      <w:pPr>
        <w:wordWrap w:val="0"/>
        <w:jc w:val="center"/>
        <w:rPr>
          <w:b/>
          <w:sz w:val="32"/>
          <w:szCs w:val="32"/>
        </w:rPr>
      </w:pPr>
    </w:p>
    <w:p w14:paraId="483E867F">
      <w:pPr>
        <w:wordWrap w:val="0"/>
        <w:jc w:val="center"/>
        <w:rPr>
          <w:b/>
          <w:sz w:val="32"/>
          <w:szCs w:val="32"/>
        </w:rPr>
      </w:pPr>
      <w:r>
        <w:rPr>
          <w:b/>
          <w:sz w:val="32"/>
          <w:szCs w:val="32"/>
        </w:rPr>
        <w:t>（</w:t>
      </w:r>
      <w:r>
        <w:rPr>
          <w:rFonts w:hint="eastAsia"/>
          <w:b/>
          <w:sz w:val="32"/>
          <w:szCs w:val="32"/>
        </w:rPr>
        <w:t>污染影响类</w:t>
      </w:r>
      <w:r>
        <w:rPr>
          <w:b/>
          <w:sz w:val="32"/>
          <w:szCs w:val="32"/>
        </w:rPr>
        <w:t>）</w:t>
      </w:r>
    </w:p>
    <w:p w14:paraId="75D791C1">
      <w:pPr>
        <w:wordWrap w:val="0"/>
        <w:jc w:val="center"/>
        <w:rPr>
          <w:rFonts w:hint="eastAsia"/>
          <w:b/>
          <w:sz w:val="32"/>
          <w:szCs w:val="32"/>
          <w:lang w:eastAsia="zh-CN"/>
        </w:rPr>
      </w:pPr>
    </w:p>
    <w:p w14:paraId="2FF1CE4D">
      <w:pPr>
        <w:wordWrap w:val="0"/>
        <w:jc w:val="center"/>
        <w:rPr>
          <w:rFonts w:hint="eastAsia" w:eastAsia="宋体"/>
          <w:b/>
          <w:sz w:val="32"/>
          <w:szCs w:val="32"/>
          <w:lang w:eastAsia="zh-CN"/>
        </w:rPr>
      </w:pPr>
      <w:r>
        <w:rPr>
          <w:rFonts w:hint="eastAsia" w:eastAsia="宋体"/>
          <w:b/>
          <w:sz w:val="32"/>
          <w:szCs w:val="32"/>
          <w:lang w:eastAsia="zh-CN"/>
        </w:rPr>
        <w:t>（</w:t>
      </w:r>
      <w:r>
        <w:rPr>
          <w:rFonts w:hint="eastAsia"/>
          <w:b/>
          <w:sz w:val="32"/>
          <w:szCs w:val="32"/>
          <w:lang w:val="en-US" w:eastAsia="zh-CN"/>
        </w:rPr>
        <w:t>公示</w:t>
      </w:r>
      <w:r>
        <w:rPr>
          <w:rFonts w:hint="eastAsia" w:eastAsia="宋体"/>
          <w:b/>
          <w:sz w:val="32"/>
          <w:szCs w:val="32"/>
          <w:lang w:val="en-US" w:eastAsia="zh-CN"/>
        </w:rPr>
        <w:t>本</w:t>
      </w:r>
      <w:r>
        <w:rPr>
          <w:rFonts w:hint="eastAsia" w:eastAsia="宋体"/>
          <w:b/>
          <w:sz w:val="32"/>
          <w:szCs w:val="32"/>
          <w:lang w:eastAsia="zh-CN"/>
        </w:rPr>
        <w:t>）</w:t>
      </w:r>
    </w:p>
    <w:p w14:paraId="1AC74E96">
      <w:pPr>
        <w:keepNext w:val="0"/>
        <w:keepLines w:val="0"/>
        <w:pageBreakBefore w:val="0"/>
        <w:widowControl w:val="0"/>
        <w:kinsoku/>
        <w:wordWrap w:val="0"/>
        <w:overflowPunct/>
        <w:topLinePunct w:val="0"/>
        <w:autoSpaceDE/>
        <w:autoSpaceDN/>
        <w:bidi w:val="0"/>
        <w:snapToGrid/>
        <w:spacing w:line="240" w:lineRule="auto"/>
        <w:ind w:firstLine="0"/>
        <w:jc w:val="center"/>
        <w:textAlignment w:val="auto"/>
        <w:rPr>
          <w:kern w:val="44"/>
          <w:sz w:val="44"/>
          <w:szCs w:val="44"/>
        </w:rPr>
      </w:pPr>
      <w:bookmarkStart w:id="1" w:name="_Hlk57883728"/>
    </w:p>
    <w:p w14:paraId="75B030EE">
      <w:pPr>
        <w:keepNext w:val="0"/>
        <w:keepLines w:val="0"/>
        <w:pageBreakBefore w:val="0"/>
        <w:widowControl w:val="0"/>
        <w:kinsoku/>
        <w:wordWrap w:val="0"/>
        <w:overflowPunct/>
        <w:topLinePunct w:val="0"/>
        <w:autoSpaceDE/>
        <w:autoSpaceDN/>
        <w:bidi w:val="0"/>
        <w:snapToGrid/>
        <w:spacing w:line="240" w:lineRule="auto"/>
        <w:ind w:firstLine="0"/>
        <w:jc w:val="center"/>
        <w:textAlignment w:val="auto"/>
        <w:rPr>
          <w:sz w:val="52"/>
          <w:szCs w:val="52"/>
        </w:rPr>
      </w:pPr>
    </w:p>
    <w:p w14:paraId="01939A16">
      <w:pPr>
        <w:keepNext w:val="0"/>
        <w:keepLines w:val="0"/>
        <w:pageBreakBefore w:val="0"/>
        <w:widowControl w:val="0"/>
        <w:kinsoku/>
        <w:wordWrap w:val="0"/>
        <w:overflowPunct/>
        <w:topLinePunct w:val="0"/>
        <w:autoSpaceDE/>
        <w:autoSpaceDN/>
        <w:bidi w:val="0"/>
        <w:snapToGrid/>
        <w:spacing w:line="240" w:lineRule="auto"/>
        <w:ind w:firstLine="0"/>
        <w:jc w:val="center"/>
        <w:textAlignment w:val="auto"/>
        <w:rPr>
          <w:sz w:val="44"/>
          <w:szCs w:val="44"/>
        </w:rPr>
      </w:pPr>
    </w:p>
    <w:p w14:paraId="16198203">
      <w:pPr>
        <w:keepNext w:val="0"/>
        <w:keepLines w:val="0"/>
        <w:pageBreakBefore w:val="0"/>
        <w:widowControl w:val="0"/>
        <w:kinsoku/>
        <w:wordWrap w:val="0"/>
        <w:overflowPunct/>
        <w:topLinePunct w:val="0"/>
        <w:autoSpaceDE/>
        <w:autoSpaceDN/>
        <w:bidi w:val="0"/>
        <w:snapToGrid/>
        <w:spacing w:line="240" w:lineRule="auto"/>
        <w:ind w:firstLine="0"/>
        <w:jc w:val="center"/>
        <w:textAlignment w:val="auto"/>
        <w:rPr>
          <w:sz w:val="44"/>
          <w:szCs w:val="44"/>
        </w:rPr>
      </w:pPr>
    </w:p>
    <w:p w14:paraId="548B6936">
      <w:pPr>
        <w:keepNext w:val="0"/>
        <w:keepLines w:val="0"/>
        <w:pageBreakBefore w:val="0"/>
        <w:widowControl w:val="0"/>
        <w:kinsoku/>
        <w:wordWrap w:val="0"/>
        <w:overflowPunct/>
        <w:topLinePunct w:val="0"/>
        <w:autoSpaceDE/>
        <w:autoSpaceDN/>
        <w:bidi w:val="0"/>
        <w:snapToGrid/>
        <w:spacing w:line="240" w:lineRule="auto"/>
        <w:ind w:firstLine="0"/>
        <w:jc w:val="center"/>
        <w:textAlignment w:val="auto"/>
        <w:rPr>
          <w:sz w:val="44"/>
          <w:szCs w:val="44"/>
        </w:rPr>
      </w:pPr>
    </w:p>
    <w:bookmarkEnd w:id="1"/>
    <w:p w14:paraId="767DFE48">
      <w:pPr>
        <w:keepNext w:val="0"/>
        <w:keepLines w:val="0"/>
        <w:pageBreakBefore w:val="0"/>
        <w:widowControl w:val="0"/>
        <w:kinsoku/>
        <w:wordWrap w:val="0"/>
        <w:overflowPunct/>
        <w:topLinePunct w:val="0"/>
        <w:autoSpaceDE/>
        <w:autoSpaceDN/>
        <w:bidi w:val="0"/>
        <w:adjustRightInd w:val="0"/>
        <w:snapToGrid/>
        <w:spacing w:line="240" w:lineRule="auto"/>
        <w:ind w:firstLine="0"/>
        <w:jc w:val="center"/>
        <w:textAlignment w:val="auto"/>
        <w:rPr>
          <w:b/>
          <w:sz w:val="36"/>
          <w:szCs w:val="36"/>
        </w:rPr>
      </w:pPr>
    </w:p>
    <w:p w14:paraId="22332294">
      <w:pPr>
        <w:wordWrap w:val="0"/>
        <w:ind w:left="2249" w:hanging="2249" w:hangingChars="700"/>
        <w:rPr>
          <w:rFonts w:hint="default" w:eastAsia="宋体"/>
          <w:b/>
          <w:sz w:val="32"/>
          <w:szCs w:val="32"/>
          <w:u w:val="single"/>
          <w:lang w:val="en-US" w:eastAsia="zh-CN"/>
        </w:rPr>
      </w:pPr>
      <w:r>
        <w:rPr>
          <w:b/>
          <w:sz w:val="32"/>
          <w:szCs w:val="32"/>
        </w:rPr>
        <w:t>项目名称：</w:t>
      </w:r>
      <w:r>
        <w:rPr>
          <w:rFonts w:hint="eastAsia"/>
          <w:b/>
          <w:sz w:val="32"/>
          <w:szCs w:val="32"/>
          <w:u w:val="single"/>
          <w:lang w:val="en-US" w:eastAsia="zh-CN"/>
        </w:rPr>
        <w:t xml:space="preserve"> </w:t>
      </w:r>
      <w:r>
        <w:rPr>
          <w:rFonts w:hint="eastAsia"/>
          <w:b/>
          <w:sz w:val="32"/>
          <w:szCs w:val="32"/>
          <w:u w:val="single"/>
        </w:rPr>
        <w:t>四川省达州市瑞欣路面材料有限责任公司2025年环保节能沥青混凝土生产技改扩能项目</w:t>
      </w:r>
      <w:r>
        <w:rPr>
          <w:rFonts w:hint="eastAsia"/>
          <w:b/>
          <w:sz w:val="32"/>
          <w:szCs w:val="32"/>
          <w:u w:val="single"/>
          <w:lang w:val="en-US" w:eastAsia="zh-CN"/>
        </w:rPr>
        <w:t xml:space="preserve">         </w:t>
      </w:r>
    </w:p>
    <w:p w14:paraId="18CD9239">
      <w:pPr>
        <w:wordWrap w:val="0"/>
        <w:rPr>
          <w:b/>
          <w:sz w:val="32"/>
          <w:szCs w:val="32"/>
        </w:rPr>
      </w:pPr>
    </w:p>
    <w:p w14:paraId="613DD3E2">
      <w:pPr>
        <w:wordWrap w:val="0"/>
        <w:rPr>
          <w:rFonts w:hint="default" w:eastAsia="宋体"/>
          <w:b/>
          <w:sz w:val="32"/>
          <w:szCs w:val="32"/>
          <w:lang w:val="en-US" w:eastAsia="zh-CN"/>
        </w:rPr>
      </w:pPr>
      <w:r>
        <w:rPr>
          <w:b/>
          <w:sz w:val="32"/>
          <w:szCs w:val="32"/>
        </w:rPr>
        <w:t>建设单位（盖章）：</w:t>
      </w:r>
      <w:r>
        <w:rPr>
          <w:b/>
          <w:sz w:val="32"/>
          <w:szCs w:val="32"/>
          <w:u w:val="single"/>
        </w:rPr>
        <w:t xml:space="preserve"> </w:t>
      </w:r>
      <w:r>
        <w:rPr>
          <w:rFonts w:hint="eastAsia"/>
          <w:b/>
          <w:sz w:val="32"/>
          <w:szCs w:val="32"/>
          <w:u w:val="single"/>
          <w:lang w:val="en-US" w:eastAsia="zh-CN"/>
        </w:rPr>
        <w:t>四川省达州市瑞欣路面材料有限责任公司</w:t>
      </w:r>
      <w:r>
        <w:rPr>
          <w:b/>
          <w:sz w:val="32"/>
          <w:szCs w:val="32"/>
          <w:u w:val="single"/>
        </w:rPr>
        <w:t xml:space="preserve"> </w:t>
      </w:r>
    </w:p>
    <w:p w14:paraId="50349986">
      <w:pPr>
        <w:wordWrap w:val="0"/>
        <w:rPr>
          <w:b/>
          <w:sz w:val="32"/>
          <w:szCs w:val="32"/>
        </w:rPr>
      </w:pPr>
    </w:p>
    <w:p w14:paraId="00E6075B">
      <w:pPr>
        <w:wordWrap w:val="0"/>
        <w:rPr>
          <w:rFonts w:hint="default" w:eastAsia="宋体"/>
          <w:b/>
          <w:sz w:val="32"/>
          <w:szCs w:val="32"/>
          <w:u w:val="single"/>
          <w:lang w:val="en-US" w:eastAsia="zh-CN"/>
        </w:rPr>
      </w:pPr>
      <w:r>
        <w:rPr>
          <w:b/>
          <w:sz w:val="32"/>
          <w:szCs w:val="32"/>
        </w:rPr>
        <w:t>编制日期：</w:t>
      </w:r>
      <w:r>
        <w:rPr>
          <w:b/>
          <w:sz w:val="32"/>
          <w:szCs w:val="32"/>
          <w:u w:val="single"/>
        </w:rPr>
        <w:t xml:space="preserve"> </w:t>
      </w:r>
      <w:r>
        <w:rPr>
          <w:rFonts w:hint="eastAsia"/>
          <w:b/>
          <w:sz w:val="32"/>
          <w:szCs w:val="32"/>
          <w:u w:val="single"/>
        </w:rPr>
        <w:t xml:space="preserve">         </w:t>
      </w:r>
      <w:r>
        <w:rPr>
          <w:b/>
          <w:sz w:val="32"/>
          <w:szCs w:val="32"/>
          <w:u w:val="single"/>
        </w:rPr>
        <w:t xml:space="preserve"> </w:t>
      </w:r>
      <w:r>
        <w:rPr>
          <w:rFonts w:hint="eastAsia"/>
          <w:b/>
          <w:sz w:val="32"/>
          <w:szCs w:val="32"/>
          <w:u w:val="single"/>
        </w:rPr>
        <w:t xml:space="preserve">     </w:t>
      </w:r>
      <w:r>
        <w:rPr>
          <w:rFonts w:hint="eastAsia"/>
          <w:b/>
          <w:sz w:val="32"/>
          <w:szCs w:val="32"/>
          <w:u w:val="single"/>
          <w:lang w:val="en-US" w:eastAsia="zh-CN"/>
        </w:rPr>
        <w:t xml:space="preserve"> </w:t>
      </w:r>
      <w:r>
        <w:rPr>
          <w:rFonts w:hint="eastAsia"/>
          <w:b/>
          <w:sz w:val="32"/>
          <w:szCs w:val="32"/>
          <w:u w:val="single"/>
        </w:rPr>
        <w:t>202</w:t>
      </w:r>
      <w:r>
        <w:rPr>
          <w:rFonts w:hint="eastAsia"/>
          <w:b/>
          <w:sz w:val="32"/>
          <w:szCs w:val="32"/>
          <w:u w:val="single"/>
          <w:lang w:val="en-US" w:eastAsia="zh-CN"/>
        </w:rPr>
        <w:t>5</w:t>
      </w:r>
      <w:r>
        <w:rPr>
          <w:b/>
          <w:sz w:val="32"/>
          <w:szCs w:val="32"/>
          <w:u w:val="single"/>
        </w:rPr>
        <w:t>年</w:t>
      </w:r>
      <w:r>
        <w:rPr>
          <w:rFonts w:hint="eastAsia"/>
          <w:b/>
          <w:sz w:val="32"/>
          <w:szCs w:val="32"/>
          <w:u w:val="single"/>
          <w:lang w:val="en-US" w:eastAsia="zh-CN"/>
        </w:rPr>
        <w:t>5</w:t>
      </w:r>
      <w:r>
        <w:rPr>
          <w:b/>
          <w:sz w:val="32"/>
          <w:szCs w:val="32"/>
          <w:u w:val="single"/>
        </w:rPr>
        <w:t xml:space="preserve">月 </w:t>
      </w:r>
      <w:r>
        <w:rPr>
          <w:rFonts w:hint="eastAsia"/>
          <w:b/>
          <w:sz w:val="32"/>
          <w:szCs w:val="32"/>
          <w:u w:val="single"/>
        </w:rPr>
        <w:t xml:space="preserve">              </w:t>
      </w:r>
      <w:r>
        <w:rPr>
          <w:rFonts w:hint="eastAsia"/>
          <w:b/>
          <w:sz w:val="32"/>
          <w:szCs w:val="32"/>
          <w:u w:val="single"/>
          <w:lang w:val="en-US" w:eastAsia="zh-CN"/>
        </w:rPr>
        <w:t xml:space="preserve">  </w:t>
      </w:r>
    </w:p>
    <w:p w14:paraId="4479A367">
      <w:pPr>
        <w:wordWrap w:val="0"/>
        <w:adjustRightInd w:val="0"/>
        <w:spacing w:line="360" w:lineRule="auto"/>
        <w:jc w:val="left"/>
        <w:rPr>
          <w:sz w:val="36"/>
          <w:szCs w:val="36"/>
        </w:rPr>
      </w:pPr>
    </w:p>
    <w:p w14:paraId="5F78AC1C">
      <w:pPr>
        <w:wordWrap w:val="0"/>
        <w:adjustRightInd w:val="0"/>
        <w:spacing w:line="360" w:lineRule="auto"/>
        <w:jc w:val="left"/>
        <w:rPr>
          <w:sz w:val="36"/>
          <w:szCs w:val="36"/>
        </w:rPr>
      </w:pPr>
    </w:p>
    <w:p w14:paraId="12F1ADE7">
      <w:pPr>
        <w:wordWrap w:val="0"/>
        <w:adjustRightInd w:val="0"/>
        <w:spacing w:line="360" w:lineRule="auto"/>
        <w:jc w:val="center"/>
        <w:rPr>
          <w:b/>
          <w:sz w:val="36"/>
          <w:szCs w:val="36"/>
        </w:rPr>
      </w:pPr>
    </w:p>
    <w:p w14:paraId="159E4D1E">
      <w:pPr>
        <w:wordWrap w:val="0"/>
        <w:adjustRightInd w:val="0"/>
        <w:spacing w:line="360" w:lineRule="auto"/>
        <w:jc w:val="center"/>
        <w:rPr>
          <w:b/>
          <w:sz w:val="36"/>
          <w:szCs w:val="36"/>
        </w:rPr>
      </w:pPr>
    </w:p>
    <w:p w14:paraId="2F7E9E9B">
      <w:pPr>
        <w:spacing w:line="360" w:lineRule="auto"/>
        <w:jc w:val="center"/>
        <w:rPr>
          <w:b/>
          <w:sz w:val="32"/>
          <w:szCs w:val="32"/>
        </w:rPr>
      </w:pPr>
      <w:r>
        <w:rPr>
          <w:b/>
          <w:sz w:val="32"/>
          <w:szCs w:val="32"/>
        </w:rPr>
        <w:t>中华人民共和国生态环境部制</w:t>
      </w:r>
    </w:p>
    <w:p w14:paraId="42C1FC77">
      <w:pPr>
        <w:pStyle w:val="22"/>
        <w:wordWrap w:val="0"/>
        <w:spacing w:before="0" w:beforeAutospacing="0" w:after="0" w:afterAutospacing="0"/>
        <w:jc w:val="center"/>
        <w:outlineLvl w:val="0"/>
        <w:rPr>
          <w:rFonts w:ascii="Times New Roman" w:hAnsi="Times New Roman" w:eastAsia="黑体"/>
          <w:snapToGrid w:val="0"/>
          <w:sz w:val="30"/>
          <w:szCs w:val="30"/>
        </w:rPr>
        <w:sectPr>
          <w:footerReference r:id="rId3" w:type="default"/>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p w14:paraId="22C4F3E2">
      <w:pPr>
        <w:pStyle w:val="22"/>
        <w:wordWrap w:val="0"/>
        <w:spacing w:before="0" w:beforeAutospacing="0" w:after="0" w:afterAutospacing="0"/>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一、建设项目基本情况</w:t>
      </w:r>
    </w:p>
    <w:tbl>
      <w:tblPr>
        <w:tblStyle w:val="26"/>
        <w:tblW w:w="880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6" w:type="dxa"/>
          <w:bottom w:w="0" w:type="dxa"/>
          <w:right w:w="6" w:type="dxa"/>
        </w:tblCellMar>
      </w:tblPr>
      <w:tblGrid>
        <w:gridCol w:w="1212"/>
        <w:gridCol w:w="2383"/>
        <w:gridCol w:w="1889"/>
        <w:gridCol w:w="876"/>
        <w:gridCol w:w="2445"/>
      </w:tblGrid>
      <w:tr w14:paraId="151C93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6" w:type="dxa"/>
            <w:bottom w:w="0" w:type="dxa"/>
            <w:right w:w="6" w:type="dxa"/>
          </w:tblCellMar>
        </w:tblPrEx>
        <w:trPr>
          <w:trHeight w:val="90" w:hRule="atLeast"/>
          <w:jc w:val="center"/>
        </w:trPr>
        <w:tc>
          <w:tcPr>
            <w:tcW w:w="1212" w:type="dxa"/>
            <w:noWrap w:val="0"/>
            <w:tcMar>
              <w:top w:w="16" w:type="dxa"/>
              <w:left w:w="16" w:type="dxa"/>
              <w:right w:w="16" w:type="dxa"/>
            </w:tcMar>
            <w:vAlign w:val="center"/>
          </w:tcPr>
          <w:p w14:paraId="17112557">
            <w:pPr>
              <w:wordWrap w:val="0"/>
              <w:ind w:left="63" w:leftChars="30" w:right="63" w:rightChars="30"/>
              <w:jc w:val="center"/>
              <w:rPr>
                <w:b/>
                <w:sz w:val="24"/>
              </w:rPr>
            </w:pPr>
            <w:r>
              <w:rPr>
                <w:b/>
                <w:sz w:val="24"/>
              </w:rPr>
              <w:t>建设项目名称</w:t>
            </w:r>
          </w:p>
        </w:tc>
        <w:tc>
          <w:tcPr>
            <w:tcW w:w="7593" w:type="dxa"/>
            <w:gridSpan w:val="4"/>
            <w:noWrap w:val="0"/>
            <w:vAlign w:val="center"/>
          </w:tcPr>
          <w:p w14:paraId="43B81614">
            <w:pPr>
              <w:wordWrap w:val="0"/>
              <w:ind w:left="63" w:leftChars="30" w:right="63" w:rightChars="30"/>
              <w:jc w:val="center"/>
              <w:rPr>
                <w:rFonts w:hint="eastAsia"/>
                <w:sz w:val="24"/>
              </w:rPr>
            </w:pPr>
            <w:r>
              <w:rPr>
                <w:rFonts w:hint="eastAsia"/>
                <w:sz w:val="24"/>
              </w:rPr>
              <w:t>四川省达州市瑞欣路面材料有限责任公司2025年环保节能沥青混凝土生产技改扩能项目</w:t>
            </w:r>
          </w:p>
        </w:tc>
      </w:tr>
      <w:tr w14:paraId="74B462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6" w:type="dxa"/>
            <w:bottom w:w="0" w:type="dxa"/>
            <w:right w:w="6" w:type="dxa"/>
          </w:tblCellMar>
        </w:tblPrEx>
        <w:trPr>
          <w:trHeight w:val="90" w:hRule="atLeast"/>
          <w:jc w:val="center"/>
        </w:trPr>
        <w:tc>
          <w:tcPr>
            <w:tcW w:w="1212" w:type="dxa"/>
            <w:noWrap w:val="0"/>
            <w:tcMar>
              <w:top w:w="16" w:type="dxa"/>
              <w:left w:w="16" w:type="dxa"/>
              <w:right w:w="16" w:type="dxa"/>
            </w:tcMar>
            <w:vAlign w:val="center"/>
          </w:tcPr>
          <w:p w14:paraId="5670967E">
            <w:pPr>
              <w:wordWrap w:val="0"/>
              <w:ind w:left="63" w:leftChars="30" w:right="63" w:rightChars="30"/>
              <w:jc w:val="center"/>
              <w:rPr>
                <w:b/>
                <w:sz w:val="24"/>
                <w:highlight w:val="none"/>
              </w:rPr>
            </w:pPr>
            <w:r>
              <w:rPr>
                <w:b/>
                <w:sz w:val="24"/>
                <w:highlight w:val="none"/>
              </w:rPr>
              <w:t>项目代码</w:t>
            </w:r>
          </w:p>
        </w:tc>
        <w:tc>
          <w:tcPr>
            <w:tcW w:w="7593" w:type="dxa"/>
            <w:gridSpan w:val="4"/>
            <w:noWrap w:val="0"/>
            <w:vAlign w:val="center"/>
          </w:tcPr>
          <w:p w14:paraId="2D489656">
            <w:pPr>
              <w:wordWrap w:val="0"/>
              <w:ind w:left="63" w:leftChars="30" w:right="63" w:rightChars="30"/>
              <w:jc w:val="center"/>
              <w:rPr>
                <w:rFonts w:hint="eastAsia"/>
                <w:sz w:val="24"/>
                <w:highlight w:val="none"/>
              </w:rPr>
            </w:pPr>
            <w:r>
              <w:rPr>
                <w:rFonts w:hint="eastAsia"/>
                <w:sz w:val="24"/>
                <w:highlight w:val="none"/>
              </w:rPr>
              <w:t>2504-511702-07-02-139290</w:t>
            </w:r>
          </w:p>
        </w:tc>
      </w:tr>
      <w:tr w14:paraId="56DE44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6" w:type="dxa"/>
            <w:bottom w:w="0" w:type="dxa"/>
            <w:right w:w="6" w:type="dxa"/>
          </w:tblCellMar>
        </w:tblPrEx>
        <w:trPr>
          <w:trHeight w:val="219" w:hRule="atLeast"/>
          <w:jc w:val="center"/>
        </w:trPr>
        <w:tc>
          <w:tcPr>
            <w:tcW w:w="1212" w:type="dxa"/>
            <w:noWrap w:val="0"/>
            <w:tcMar>
              <w:top w:w="16" w:type="dxa"/>
              <w:left w:w="16" w:type="dxa"/>
              <w:right w:w="16" w:type="dxa"/>
            </w:tcMar>
            <w:vAlign w:val="center"/>
          </w:tcPr>
          <w:p w14:paraId="4909C6B7">
            <w:pPr>
              <w:wordWrap w:val="0"/>
              <w:ind w:left="63" w:leftChars="30" w:right="63" w:rightChars="30"/>
              <w:jc w:val="center"/>
              <w:rPr>
                <w:b/>
                <w:sz w:val="24"/>
              </w:rPr>
            </w:pPr>
            <w:r>
              <w:rPr>
                <w:b/>
                <w:sz w:val="24"/>
              </w:rPr>
              <w:t>建设单位联系人</w:t>
            </w:r>
          </w:p>
        </w:tc>
        <w:tc>
          <w:tcPr>
            <w:tcW w:w="2383" w:type="dxa"/>
            <w:noWrap w:val="0"/>
            <w:vAlign w:val="center"/>
          </w:tcPr>
          <w:p w14:paraId="22918CA0">
            <w:pPr>
              <w:wordWrap w:val="0"/>
              <w:ind w:left="63" w:leftChars="30" w:right="63" w:rightChars="30"/>
              <w:jc w:val="center"/>
              <w:rPr>
                <w:rFonts w:hint="default" w:eastAsia="宋体"/>
                <w:sz w:val="24"/>
                <w:lang w:val="en-US" w:eastAsia="zh-CN"/>
              </w:rPr>
            </w:pPr>
            <w:r>
              <w:rPr>
                <w:rFonts w:hint="default" w:eastAsia="宋体"/>
                <w:sz w:val="24"/>
                <w:lang w:val="en-US" w:eastAsia="zh-CN"/>
              </w:rPr>
              <w:t>谢</w:t>
            </w:r>
            <w:r>
              <w:rPr>
                <w:rFonts w:hint="eastAsia"/>
                <w:sz w:val="24"/>
                <w:lang w:val="en-US" w:eastAsia="zh-CN"/>
              </w:rPr>
              <w:t>*</w:t>
            </w:r>
          </w:p>
        </w:tc>
        <w:tc>
          <w:tcPr>
            <w:tcW w:w="2765" w:type="dxa"/>
            <w:gridSpan w:val="2"/>
            <w:noWrap w:val="0"/>
            <w:vAlign w:val="center"/>
          </w:tcPr>
          <w:p w14:paraId="63D758E7">
            <w:pPr>
              <w:wordWrap w:val="0"/>
              <w:ind w:left="63" w:leftChars="30" w:right="63" w:rightChars="30"/>
              <w:jc w:val="center"/>
              <w:rPr>
                <w:b/>
                <w:sz w:val="24"/>
              </w:rPr>
            </w:pPr>
            <w:r>
              <w:rPr>
                <w:b/>
                <w:sz w:val="24"/>
              </w:rPr>
              <w:t>联系方式</w:t>
            </w:r>
          </w:p>
        </w:tc>
        <w:tc>
          <w:tcPr>
            <w:tcW w:w="2445" w:type="dxa"/>
            <w:noWrap w:val="0"/>
            <w:vAlign w:val="center"/>
          </w:tcPr>
          <w:p w14:paraId="422ECDE0">
            <w:pPr>
              <w:wordWrap w:val="0"/>
              <w:ind w:left="63" w:leftChars="30" w:right="63" w:rightChars="30"/>
              <w:jc w:val="center"/>
              <w:rPr>
                <w:rFonts w:hint="default" w:eastAsia="宋体"/>
                <w:sz w:val="24"/>
                <w:lang w:val="en-US" w:eastAsia="zh-CN"/>
              </w:rPr>
            </w:pPr>
            <w:r>
              <w:rPr>
                <w:rFonts w:hint="default" w:eastAsia="宋体"/>
                <w:sz w:val="24"/>
                <w:lang w:val="en-US" w:eastAsia="zh-CN"/>
              </w:rPr>
              <w:t>136</w:t>
            </w:r>
            <w:r>
              <w:rPr>
                <w:rFonts w:hint="eastAsia"/>
                <w:sz w:val="24"/>
                <w:lang w:val="en-US" w:eastAsia="zh-CN"/>
              </w:rPr>
              <w:t>****</w:t>
            </w:r>
            <w:r>
              <w:rPr>
                <w:rFonts w:hint="default" w:eastAsia="宋体"/>
                <w:sz w:val="24"/>
                <w:lang w:val="en-US" w:eastAsia="zh-CN"/>
              </w:rPr>
              <w:t>9859</w:t>
            </w:r>
          </w:p>
        </w:tc>
      </w:tr>
      <w:tr w14:paraId="5B13F5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6" w:type="dxa"/>
            <w:bottom w:w="0" w:type="dxa"/>
            <w:right w:w="6" w:type="dxa"/>
          </w:tblCellMar>
        </w:tblPrEx>
        <w:trPr>
          <w:trHeight w:val="90" w:hRule="atLeast"/>
          <w:jc w:val="center"/>
        </w:trPr>
        <w:tc>
          <w:tcPr>
            <w:tcW w:w="1212" w:type="dxa"/>
            <w:noWrap w:val="0"/>
            <w:tcMar>
              <w:top w:w="16" w:type="dxa"/>
              <w:left w:w="16" w:type="dxa"/>
              <w:right w:w="16" w:type="dxa"/>
            </w:tcMar>
            <w:vAlign w:val="center"/>
          </w:tcPr>
          <w:p w14:paraId="0850EE7E">
            <w:pPr>
              <w:wordWrap w:val="0"/>
              <w:ind w:left="63" w:leftChars="30" w:right="63" w:rightChars="30"/>
              <w:jc w:val="center"/>
              <w:rPr>
                <w:b/>
                <w:sz w:val="24"/>
              </w:rPr>
            </w:pPr>
            <w:r>
              <w:rPr>
                <w:b/>
                <w:sz w:val="24"/>
              </w:rPr>
              <w:t>建设地点</w:t>
            </w:r>
          </w:p>
        </w:tc>
        <w:tc>
          <w:tcPr>
            <w:tcW w:w="7593" w:type="dxa"/>
            <w:gridSpan w:val="4"/>
            <w:noWrap w:val="0"/>
            <w:vAlign w:val="center"/>
          </w:tcPr>
          <w:p w14:paraId="281751D1">
            <w:pPr>
              <w:wordWrap w:val="0"/>
              <w:ind w:left="63" w:leftChars="30" w:right="63" w:rightChars="30"/>
              <w:jc w:val="center"/>
              <w:rPr>
                <w:rFonts w:hint="eastAsia" w:eastAsia="宋体"/>
                <w:sz w:val="24"/>
                <w:lang w:val="en-US" w:eastAsia="zh-CN"/>
              </w:rPr>
            </w:pPr>
            <w:r>
              <w:rPr>
                <w:sz w:val="24"/>
                <w:u w:val="single"/>
              </w:rPr>
              <w:t>四川</w:t>
            </w:r>
            <w:r>
              <w:rPr>
                <w:sz w:val="24"/>
              </w:rPr>
              <w:t>省</w:t>
            </w:r>
            <w:r>
              <w:rPr>
                <w:rFonts w:hint="eastAsia"/>
                <w:sz w:val="24"/>
              </w:rPr>
              <w:t>（自治区）</w:t>
            </w:r>
            <w:r>
              <w:rPr>
                <w:rFonts w:hint="eastAsia"/>
                <w:sz w:val="24"/>
                <w:u w:val="single"/>
                <w:lang w:val="en-US" w:eastAsia="zh-CN"/>
              </w:rPr>
              <w:t>达州</w:t>
            </w:r>
            <w:r>
              <w:rPr>
                <w:sz w:val="24"/>
              </w:rPr>
              <w:t>市</w:t>
            </w:r>
            <w:r>
              <w:rPr>
                <w:rFonts w:hint="eastAsia"/>
                <w:sz w:val="24"/>
                <w:u w:val="single"/>
                <w:lang w:val="en-US" w:eastAsia="zh-CN"/>
              </w:rPr>
              <w:t>通川</w:t>
            </w:r>
            <w:r>
              <w:rPr>
                <w:rFonts w:hint="eastAsia"/>
                <w:sz w:val="24"/>
                <w:u w:val="none"/>
                <w:lang w:val="en-US" w:eastAsia="zh-CN"/>
              </w:rPr>
              <w:t>县（</w:t>
            </w:r>
            <w:r>
              <w:rPr>
                <w:rFonts w:hint="eastAsia"/>
                <w:sz w:val="24"/>
              </w:rPr>
              <w:t>区</w:t>
            </w:r>
            <w:r>
              <w:rPr>
                <w:rFonts w:hint="eastAsia"/>
                <w:sz w:val="24"/>
                <w:u w:val="none"/>
                <w:lang w:val="en-US" w:eastAsia="zh-CN"/>
              </w:rPr>
              <w:t>）</w:t>
            </w:r>
            <w:r>
              <w:rPr>
                <w:rFonts w:hint="eastAsia"/>
                <w:sz w:val="24"/>
                <w:u w:val="single"/>
              </w:rPr>
              <w:t>东岳镇有力村九组</w:t>
            </w:r>
          </w:p>
        </w:tc>
      </w:tr>
      <w:tr w14:paraId="2B8409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6" w:type="dxa"/>
            <w:bottom w:w="0" w:type="dxa"/>
            <w:right w:w="6" w:type="dxa"/>
          </w:tblCellMar>
        </w:tblPrEx>
        <w:trPr>
          <w:trHeight w:val="90" w:hRule="atLeast"/>
          <w:jc w:val="center"/>
        </w:trPr>
        <w:tc>
          <w:tcPr>
            <w:tcW w:w="1212" w:type="dxa"/>
            <w:noWrap w:val="0"/>
            <w:tcMar>
              <w:top w:w="16" w:type="dxa"/>
              <w:left w:w="16" w:type="dxa"/>
              <w:right w:w="16" w:type="dxa"/>
            </w:tcMar>
            <w:vAlign w:val="center"/>
          </w:tcPr>
          <w:p w14:paraId="2842CE20">
            <w:pPr>
              <w:wordWrap w:val="0"/>
              <w:ind w:left="63" w:leftChars="30" w:right="63" w:rightChars="30"/>
              <w:jc w:val="center"/>
              <w:rPr>
                <w:b/>
                <w:sz w:val="24"/>
              </w:rPr>
            </w:pPr>
            <w:r>
              <w:rPr>
                <w:b/>
                <w:sz w:val="24"/>
              </w:rPr>
              <w:t>地理坐标</w:t>
            </w:r>
          </w:p>
        </w:tc>
        <w:tc>
          <w:tcPr>
            <w:tcW w:w="7593" w:type="dxa"/>
            <w:gridSpan w:val="4"/>
            <w:noWrap w:val="0"/>
            <w:vAlign w:val="center"/>
          </w:tcPr>
          <w:p w14:paraId="110B66D4">
            <w:pPr>
              <w:wordWrap w:val="0"/>
              <w:ind w:left="63" w:leftChars="30" w:right="63" w:rightChars="30"/>
              <w:jc w:val="center"/>
              <w:rPr>
                <w:rFonts w:hint="eastAsia" w:eastAsia="宋体"/>
                <w:sz w:val="24"/>
                <w:lang w:eastAsia="zh-CN"/>
              </w:rPr>
            </w:pPr>
            <w:r>
              <w:rPr>
                <w:rFonts w:hint="eastAsia"/>
                <w:sz w:val="24"/>
                <w:lang w:eastAsia="zh-CN"/>
              </w:rPr>
              <w:t>（</w:t>
            </w:r>
            <w:r>
              <w:rPr>
                <w:rFonts w:hint="eastAsia"/>
                <w:sz w:val="24"/>
                <w:u w:val="single"/>
                <w:lang w:eastAsia="zh-CN"/>
              </w:rPr>
              <w:t>东经：107度28分55.</w:t>
            </w:r>
            <w:r>
              <w:rPr>
                <w:rFonts w:hint="eastAsia"/>
                <w:sz w:val="24"/>
                <w:u w:val="single"/>
                <w:lang w:val="en-US" w:eastAsia="zh-CN"/>
              </w:rPr>
              <w:t>2648</w:t>
            </w:r>
            <w:r>
              <w:rPr>
                <w:rFonts w:hint="eastAsia"/>
                <w:sz w:val="24"/>
                <w:u w:val="single"/>
                <w:lang w:eastAsia="zh-CN"/>
              </w:rPr>
              <w:t>秒，</w:t>
            </w:r>
            <w:r>
              <w:rPr>
                <w:rFonts w:hint="eastAsia"/>
                <w:sz w:val="24"/>
                <w:u w:val="single"/>
                <w:lang w:val="en-US" w:eastAsia="zh-CN"/>
              </w:rPr>
              <w:t>北纬：</w:t>
            </w:r>
            <w:r>
              <w:rPr>
                <w:rFonts w:hint="eastAsia"/>
                <w:sz w:val="24"/>
                <w:u w:val="single"/>
                <w:lang w:eastAsia="zh-CN"/>
              </w:rPr>
              <w:t>31度19分38.</w:t>
            </w:r>
            <w:r>
              <w:rPr>
                <w:rFonts w:hint="eastAsia"/>
                <w:sz w:val="24"/>
                <w:u w:val="single"/>
                <w:lang w:val="en-US" w:eastAsia="zh-CN"/>
              </w:rPr>
              <w:t>1756</w:t>
            </w:r>
            <w:r>
              <w:rPr>
                <w:rFonts w:hint="eastAsia"/>
                <w:sz w:val="24"/>
                <w:u w:val="single"/>
                <w:lang w:eastAsia="zh-CN"/>
              </w:rPr>
              <w:t>秒</w:t>
            </w:r>
            <w:r>
              <w:rPr>
                <w:rFonts w:hint="eastAsia"/>
                <w:sz w:val="24"/>
                <w:lang w:eastAsia="zh-CN"/>
              </w:rPr>
              <w:t>）</w:t>
            </w:r>
          </w:p>
        </w:tc>
      </w:tr>
      <w:tr w14:paraId="17FDBF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6" w:type="dxa"/>
            <w:bottom w:w="0" w:type="dxa"/>
            <w:right w:w="6" w:type="dxa"/>
          </w:tblCellMar>
        </w:tblPrEx>
        <w:trPr>
          <w:trHeight w:val="90" w:hRule="atLeast"/>
          <w:jc w:val="center"/>
        </w:trPr>
        <w:tc>
          <w:tcPr>
            <w:tcW w:w="1212" w:type="dxa"/>
            <w:noWrap w:val="0"/>
            <w:tcMar>
              <w:top w:w="16" w:type="dxa"/>
              <w:left w:w="16" w:type="dxa"/>
              <w:right w:w="16" w:type="dxa"/>
            </w:tcMar>
            <w:vAlign w:val="center"/>
          </w:tcPr>
          <w:p w14:paraId="68F7F32F">
            <w:pPr>
              <w:wordWrap w:val="0"/>
              <w:ind w:left="63" w:leftChars="30" w:right="63" w:rightChars="30"/>
              <w:jc w:val="center"/>
              <w:rPr>
                <w:b/>
                <w:sz w:val="24"/>
                <w:highlight w:val="none"/>
              </w:rPr>
            </w:pPr>
            <w:r>
              <w:rPr>
                <w:b/>
                <w:sz w:val="24"/>
                <w:highlight w:val="none"/>
              </w:rPr>
              <w:t>国民经济行业类别</w:t>
            </w:r>
          </w:p>
        </w:tc>
        <w:tc>
          <w:tcPr>
            <w:tcW w:w="2383" w:type="dxa"/>
            <w:noWrap w:val="0"/>
            <w:vAlign w:val="center"/>
          </w:tcPr>
          <w:p w14:paraId="3A59D684">
            <w:pPr>
              <w:wordWrap w:val="0"/>
              <w:ind w:left="63" w:leftChars="30" w:right="63" w:rightChars="30"/>
              <w:jc w:val="center"/>
              <w:rPr>
                <w:rFonts w:hint="default"/>
                <w:sz w:val="24"/>
                <w:highlight w:val="none"/>
                <w:lang w:val="en-US" w:eastAsia="zh-CN"/>
              </w:rPr>
            </w:pPr>
            <w:r>
              <w:rPr>
                <w:rFonts w:hint="default"/>
                <w:sz w:val="24"/>
                <w:highlight w:val="none"/>
                <w:lang w:val="en-US" w:eastAsia="zh-CN"/>
              </w:rPr>
              <w:t>C2524煤制品制造</w:t>
            </w:r>
            <w:r>
              <w:rPr>
                <w:rFonts w:hint="eastAsia"/>
                <w:sz w:val="24"/>
                <w:highlight w:val="none"/>
                <w:lang w:val="en-US" w:eastAsia="zh-CN"/>
              </w:rPr>
              <w:t>；C3099其他非金属矿物制品制造</w:t>
            </w:r>
          </w:p>
        </w:tc>
        <w:tc>
          <w:tcPr>
            <w:tcW w:w="1889" w:type="dxa"/>
            <w:noWrap w:val="0"/>
            <w:vAlign w:val="center"/>
          </w:tcPr>
          <w:p w14:paraId="7A90A1B7">
            <w:pPr>
              <w:wordWrap w:val="0"/>
              <w:ind w:left="63" w:leftChars="30" w:right="63" w:rightChars="30"/>
              <w:jc w:val="center"/>
              <w:rPr>
                <w:b/>
                <w:sz w:val="24"/>
                <w:highlight w:val="none"/>
              </w:rPr>
            </w:pPr>
            <w:bookmarkStart w:id="2" w:name="_Hlk49843745"/>
            <w:r>
              <w:rPr>
                <w:b/>
                <w:sz w:val="24"/>
                <w:highlight w:val="none"/>
              </w:rPr>
              <w:t>建设项目行业类别</w:t>
            </w:r>
            <w:bookmarkEnd w:id="2"/>
          </w:p>
        </w:tc>
        <w:tc>
          <w:tcPr>
            <w:tcW w:w="3321" w:type="dxa"/>
            <w:gridSpan w:val="2"/>
            <w:noWrap w:val="0"/>
            <w:vAlign w:val="center"/>
          </w:tcPr>
          <w:p w14:paraId="032554B7">
            <w:pPr>
              <w:numPr>
                <w:ilvl w:val="0"/>
                <w:numId w:val="0"/>
              </w:numPr>
              <w:wordWrap w:val="0"/>
              <w:ind w:right="63" w:rightChars="30"/>
              <w:jc w:val="center"/>
              <w:rPr>
                <w:rFonts w:hint="default" w:eastAsia="宋体"/>
                <w:sz w:val="24"/>
                <w:highlight w:val="none"/>
                <w:lang w:val="en-US" w:eastAsia="zh-CN"/>
              </w:rPr>
            </w:pPr>
            <w:r>
              <w:rPr>
                <w:rFonts w:hint="default" w:eastAsia="宋体"/>
                <w:sz w:val="24"/>
                <w:highlight w:val="none"/>
                <w:lang w:val="en-US" w:eastAsia="zh-CN"/>
              </w:rPr>
              <w:t>二十二、石油、煤炭及其他燃料加工业25</w:t>
            </w:r>
            <w:r>
              <w:rPr>
                <w:rFonts w:hint="eastAsia"/>
                <w:sz w:val="24"/>
                <w:highlight w:val="none"/>
                <w:lang w:val="en-US" w:eastAsia="zh-CN"/>
              </w:rPr>
              <w:t>，</w:t>
            </w:r>
            <w:r>
              <w:rPr>
                <w:rFonts w:hint="default" w:eastAsia="宋体"/>
                <w:sz w:val="24"/>
                <w:highlight w:val="none"/>
                <w:lang w:val="en-US" w:eastAsia="zh-CN"/>
              </w:rPr>
              <w:t>42.煤炭加工252</w:t>
            </w:r>
          </w:p>
          <w:p w14:paraId="5ADE1D58">
            <w:pPr>
              <w:numPr>
                <w:ilvl w:val="0"/>
                <w:numId w:val="0"/>
              </w:numPr>
              <w:wordWrap w:val="0"/>
              <w:ind w:right="63" w:rightChars="30"/>
              <w:jc w:val="center"/>
              <w:rPr>
                <w:rFonts w:hint="default" w:eastAsia="宋体"/>
                <w:sz w:val="24"/>
                <w:highlight w:val="none"/>
                <w:lang w:val="en-US" w:eastAsia="zh-CN"/>
              </w:rPr>
            </w:pPr>
            <w:r>
              <w:rPr>
                <w:rFonts w:hint="eastAsia"/>
                <w:sz w:val="24"/>
                <w:highlight w:val="none"/>
                <w:lang w:val="en-US" w:eastAsia="zh-CN"/>
              </w:rPr>
              <w:t>二十七、非金属矿物制品业30，60.石墨及其他非金属矿物制品制造309</w:t>
            </w:r>
          </w:p>
        </w:tc>
      </w:tr>
      <w:tr w14:paraId="0A0CD9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6" w:type="dxa"/>
            <w:bottom w:w="0" w:type="dxa"/>
            <w:right w:w="6" w:type="dxa"/>
          </w:tblCellMar>
        </w:tblPrEx>
        <w:trPr>
          <w:trHeight w:val="23" w:hRule="atLeast"/>
          <w:jc w:val="center"/>
        </w:trPr>
        <w:tc>
          <w:tcPr>
            <w:tcW w:w="1212" w:type="dxa"/>
            <w:noWrap w:val="0"/>
            <w:tcMar>
              <w:top w:w="16" w:type="dxa"/>
              <w:left w:w="16" w:type="dxa"/>
              <w:right w:w="16" w:type="dxa"/>
            </w:tcMar>
            <w:vAlign w:val="center"/>
          </w:tcPr>
          <w:p w14:paraId="6240CC4E">
            <w:pPr>
              <w:wordWrap w:val="0"/>
              <w:ind w:left="63" w:leftChars="30" w:right="63" w:rightChars="30"/>
              <w:jc w:val="center"/>
              <w:rPr>
                <w:b/>
                <w:sz w:val="24"/>
              </w:rPr>
            </w:pPr>
            <w:r>
              <w:rPr>
                <w:b/>
                <w:sz w:val="24"/>
              </w:rPr>
              <w:t>建设性质</w:t>
            </w:r>
          </w:p>
        </w:tc>
        <w:tc>
          <w:tcPr>
            <w:tcW w:w="2383" w:type="dxa"/>
            <w:noWrap w:val="0"/>
            <w:vAlign w:val="center"/>
          </w:tcPr>
          <w:p w14:paraId="142E44E6">
            <w:pPr>
              <w:wordWrap w:val="0"/>
              <w:ind w:left="63" w:leftChars="30" w:right="63" w:rightChars="30"/>
              <w:jc w:val="left"/>
              <w:rPr>
                <w:sz w:val="24"/>
              </w:rPr>
            </w:pPr>
            <w:r>
              <w:rPr>
                <w:rFonts w:hint="eastAsia" w:ascii="宋体" w:hAnsi="宋体" w:cs="宋体"/>
                <w:szCs w:val="21"/>
              </w:rPr>
              <w:sym w:font="Wingdings 2" w:char="00A3"/>
            </w:r>
            <w:r>
              <w:rPr>
                <w:sz w:val="24"/>
              </w:rPr>
              <w:t>新建（迁建）</w:t>
            </w:r>
          </w:p>
          <w:p w14:paraId="7B9B0D58">
            <w:pPr>
              <w:wordWrap w:val="0"/>
              <w:ind w:left="63" w:leftChars="30" w:right="63" w:rightChars="30"/>
              <w:jc w:val="left"/>
              <w:rPr>
                <w:sz w:val="24"/>
              </w:rPr>
            </w:pPr>
            <w:r>
              <w:rPr>
                <w:rFonts w:hint="eastAsia" w:ascii="宋体" w:hAnsi="宋体" w:cs="宋体"/>
                <w:szCs w:val="21"/>
                <w:lang w:eastAsia="zh-CN"/>
              </w:rPr>
              <w:t>☑</w:t>
            </w:r>
            <w:r>
              <w:rPr>
                <w:sz w:val="24"/>
              </w:rPr>
              <w:t>改建</w:t>
            </w:r>
          </w:p>
          <w:p w14:paraId="7A096E50">
            <w:pPr>
              <w:wordWrap w:val="0"/>
              <w:ind w:left="63" w:leftChars="30" w:right="63" w:rightChars="30"/>
              <w:jc w:val="left"/>
              <w:rPr>
                <w:sz w:val="24"/>
              </w:rPr>
            </w:pPr>
            <w:r>
              <w:rPr>
                <w:rFonts w:hint="eastAsia" w:ascii="宋体" w:hAnsi="宋体" w:cs="宋体"/>
                <w:szCs w:val="21"/>
              </w:rPr>
              <w:sym w:font="Wingdings 2" w:char="0052"/>
            </w:r>
            <w:r>
              <w:rPr>
                <w:sz w:val="24"/>
              </w:rPr>
              <w:t>扩建</w:t>
            </w:r>
          </w:p>
          <w:p w14:paraId="551BBBA4">
            <w:pPr>
              <w:wordWrap w:val="0"/>
              <w:ind w:left="63" w:leftChars="30" w:right="63" w:rightChars="30"/>
              <w:jc w:val="left"/>
              <w:rPr>
                <w:sz w:val="24"/>
              </w:rPr>
            </w:pPr>
            <w:r>
              <w:rPr>
                <w:rFonts w:hint="eastAsia" w:ascii="宋体" w:hAnsi="宋体" w:cs="宋体"/>
                <w:szCs w:val="21"/>
                <w:lang w:eastAsia="zh-CN"/>
              </w:rPr>
              <w:t>□</w:t>
            </w:r>
            <w:r>
              <w:rPr>
                <w:sz w:val="24"/>
              </w:rPr>
              <w:t>技术改造</w:t>
            </w:r>
          </w:p>
        </w:tc>
        <w:tc>
          <w:tcPr>
            <w:tcW w:w="1889" w:type="dxa"/>
            <w:noWrap w:val="0"/>
            <w:vAlign w:val="center"/>
          </w:tcPr>
          <w:p w14:paraId="721B3913">
            <w:pPr>
              <w:wordWrap w:val="0"/>
              <w:ind w:left="63" w:leftChars="30" w:right="63" w:rightChars="30"/>
              <w:jc w:val="center"/>
              <w:rPr>
                <w:b/>
                <w:sz w:val="24"/>
              </w:rPr>
            </w:pPr>
            <w:r>
              <w:rPr>
                <w:b/>
                <w:sz w:val="24"/>
              </w:rPr>
              <w:t>建设项目申报情形</w:t>
            </w:r>
          </w:p>
        </w:tc>
        <w:tc>
          <w:tcPr>
            <w:tcW w:w="3321" w:type="dxa"/>
            <w:gridSpan w:val="2"/>
            <w:noWrap w:val="0"/>
            <w:vAlign w:val="center"/>
          </w:tcPr>
          <w:p w14:paraId="6E222ACB">
            <w:pPr>
              <w:wordWrap w:val="0"/>
              <w:ind w:left="63" w:leftChars="30" w:right="63" w:rightChars="30"/>
              <w:jc w:val="left"/>
              <w:rPr>
                <w:sz w:val="24"/>
              </w:rPr>
            </w:pPr>
            <w:r>
              <w:rPr>
                <w:rFonts w:hint="eastAsia" w:ascii="宋体" w:hAnsi="宋体" w:cs="宋体"/>
                <w:szCs w:val="21"/>
              </w:rPr>
              <w:sym w:font="Wingdings 2" w:char="0052"/>
            </w:r>
            <w:r>
              <w:rPr>
                <w:sz w:val="24"/>
              </w:rPr>
              <w:t>首次申报项目</w:t>
            </w:r>
          </w:p>
          <w:p w14:paraId="04DDA914">
            <w:pPr>
              <w:wordWrap w:val="0"/>
              <w:ind w:left="63" w:leftChars="30" w:right="63" w:rightChars="30"/>
              <w:jc w:val="left"/>
              <w:rPr>
                <w:sz w:val="24"/>
              </w:rPr>
            </w:pPr>
            <w:r>
              <w:rPr>
                <w:rFonts w:hint="eastAsia" w:ascii="宋体" w:hAnsi="宋体" w:cs="宋体"/>
                <w:szCs w:val="21"/>
              </w:rPr>
              <w:t>□</w:t>
            </w:r>
            <w:r>
              <w:rPr>
                <w:sz w:val="24"/>
              </w:rPr>
              <w:t>不予批准后再次申报项目</w:t>
            </w:r>
          </w:p>
          <w:p w14:paraId="30114A54">
            <w:pPr>
              <w:wordWrap w:val="0"/>
              <w:ind w:left="63" w:leftChars="30" w:right="63" w:rightChars="30"/>
              <w:jc w:val="left"/>
              <w:rPr>
                <w:sz w:val="24"/>
              </w:rPr>
            </w:pPr>
            <w:r>
              <w:rPr>
                <w:rFonts w:hint="eastAsia" w:ascii="宋体" w:hAnsi="宋体" w:cs="宋体"/>
                <w:szCs w:val="21"/>
              </w:rPr>
              <w:t>□</w:t>
            </w:r>
            <w:r>
              <w:rPr>
                <w:sz w:val="24"/>
              </w:rPr>
              <w:t>超五年重新审核项目</w:t>
            </w:r>
          </w:p>
          <w:p w14:paraId="07F352ED">
            <w:pPr>
              <w:wordWrap w:val="0"/>
              <w:ind w:left="63" w:leftChars="30" w:right="63" w:rightChars="30"/>
              <w:jc w:val="left"/>
              <w:rPr>
                <w:sz w:val="24"/>
              </w:rPr>
            </w:pPr>
            <w:r>
              <w:rPr>
                <w:rFonts w:hint="eastAsia" w:ascii="宋体" w:hAnsi="宋体" w:cs="宋体"/>
                <w:szCs w:val="21"/>
              </w:rPr>
              <w:t>□</w:t>
            </w:r>
            <w:r>
              <w:rPr>
                <w:sz w:val="24"/>
              </w:rPr>
              <w:t>重大变动重新报批项目</w:t>
            </w:r>
          </w:p>
        </w:tc>
      </w:tr>
      <w:tr w14:paraId="4D4B7F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6" w:type="dxa"/>
            <w:bottom w:w="0" w:type="dxa"/>
            <w:right w:w="6" w:type="dxa"/>
          </w:tblCellMar>
        </w:tblPrEx>
        <w:trPr>
          <w:trHeight w:val="23" w:hRule="atLeast"/>
          <w:jc w:val="center"/>
        </w:trPr>
        <w:tc>
          <w:tcPr>
            <w:tcW w:w="1212" w:type="dxa"/>
            <w:noWrap w:val="0"/>
            <w:tcMar>
              <w:top w:w="16" w:type="dxa"/>
              <w:left w:w="16" w:type="dxa"/>
              <w:right w:w="16" w:type="dxa"/>
            </w:tcMar>
            <w:vAlign w:val="center"/>
          </w:tcPr>
          <w:p w14:paraId="1D276A4E">
            <w:pPr>
              <w:wordWrap w:val="0"/>
              <w:ind w:left="63" w:leftChars="30" w:right="63" w:rightChars="30"/>
              <w:jc w:val="center"/>
              <w:rPr>
                <w:b/>
                <w:sz w:val="24"/>
                <w:highlight w:val="none"/>
              </w:rPr>
            </w:pPr>
            <w:r>
              <w:rPr>
                <w:b/>
                <w:sz w:val="24"/>
                <w:highlight w:val="none"/>
              </w:rPr>
              <w:t>项目审批（核准</w:t>
            </w:r>
            <w:r>
              <w:rPr>
                <w:rFonts w:hint="eastAsia"/>
                <w:b/>
                <w:sz w:val="24"/>
                <w:highlight w:val="none"/>
              </w:rPr>
              <w:t>/</w:t>
            </w:r>
            <w:r>
              <w:rPr>
                <w:b/>
                <w:sz w:val="24"/>
                <w:highlight w:val="none"/>
              </w:rPr>
              <w:t>备案）部门</w:t>
            </w:r>
          </w:p>
        </w:tc>
        <w:tc>
          <w:tcPr>
            <w:tcW w:w="2383" w:type="dxa"/>
            <w:noWrap w:val="0"/>
            <w:vAlign w:val="center"/>
          </w:tcPr>
          <w:p w14:paraId="7E73A53F">
            <w:pPr>
              <w:wordWrap w:val="0"/>
              <w:ind w:left="63" w:leftChars="30" w:right="63" w:rightChars="30"/>
              <w:jc w:val="center"/>
              <w:rPr>
                <w:rFonts w:hint="eastAsia" w:eastAsia="宋体"/>
                <w:sz w:val="24"/>
                <w:highlight w:val="none"/>
                <w:lang w:eastAsia="zh-CN"/>
              </w:rPr>
            </w:pPr>
            <w:r>
              <w:rPr>
                <w:rFonts w:hint="eastAsia" w:eastAsia="宋体"/>
                <w:sz w:val="24"/>
                <w:highlight w:val="none"/>
                <w:lang w:eastAsia="zh-CN"/>
              </w:rPr>
              <w:t>通川区经济和信息化局</w:t>
            </w:r>
          </w:p>
        </w:tc>
        <w:tc>
          <w:tcPr>
            <w:tcW w:w="1889" w:type="dxa"/>
            <w:noWrap w:val="0"/>
            <w:vAlign w:val="center"/>
          </w:tcPr>
          <w:p w14:paraId="3825330F">
            <w:pPr>
              <w:wordWrap w:val="0"/>
              <w:ind w:left="63" w:leftChars="30" w:right="63" w:rightChars="30"/>
              <w:jc w:val="center"/>
              <w:rPr>
                <w:b/>
                <w:sz w:val="24"/>
                <w:highlight w:val="yellow"/>
              </w:rPr>
            </w:pPr>
            <w:r>
              <w:rPr>
                <w:b/>
                <w:sz w:val="24"/>
                <w:highlight w:val="none"/>
              </w:rPr>
              <w:t>项目审批（核准/备案）文号</w:t>
            </w:r>
          </w:p>
        </w:tc>
        <w:tc>
          <w:tcPr>
            <w:tcW w:w="3321" w:type="dxa"/>
            <w:gridSpan w:val="2"/>
            <w:noWrap w:val="0"/>
            <w:vAlign w:val="center"/>
          </w:tcPr>
          <w:p w14:paraId="4FDC318C">
            <w:pPr>
              <w:wordWrap w:val="0"/>
              <w:ind w:left="63" w:leftChars="30" w:right="63" w:rightChars="30"/>
              <w:jc w:val="center"/>
              <w:rPr>
                <w:sz w:val="24"/>
              </w:rPr>
            </w:pPr>
            <w:r>
              <w:rPr>
                <w:rFonts w:hint="eastAsia"/>
                <w:sz w:val="24"/>
              </w:rPr>
              <w:t>川投资备【2504-511702-07-02-139290】JXQB-0206号</w:t>
            </w:r>
          </w:p>
        </w:tc>
      </w:tr>
      <w:tr w14:paraId="2EA457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6" w:type="dxa"/>
            <w:bottom w:w="0" w:type="dxa"/>
            <w:right w:w="6" w:type="dxa"/>
          </w:tblCellMar>
        </w:tblPrEx>
        <w:trPr>
          <w:trHeight w:val="23" w:hRule="atLeast"/>
          <w:jc w:val="center"/>
        </w:trPr>
        <w:tc>
          <w:tcPr>
            <w:tcW w:w="1212" w:type="dxa"/>
            <w:noWrap w:val="0"/>
            <w:tcMar>
              <w:top w:w="16" w:type="dxa"/>
              <w:left w:w="16" w:type="dxa"/>
              <w:right w:w="16" w:type="dxa"/>
            </w:tcMar>
            <w:vAlign w:val="center"/>
          </w:tcPr>
          <w:p w14:paraId="044211B9">
            <w:pPr>
              <w:wordWrap w:val="0"/>
              <w:ind w:left="63" w:leftChars="30" w:right="63" w:rightChars="30"/>
              <w:jc w:val="center"/>
              <w:rPr>
                <w:b/>
                <w:sz w:val="24"/>
                <w:highlight w:val="none"/>
              </w:rPr>
            </w:pPr>
            <w:r>
              <w:rPr>
                <w:b/>
                <w:sz w:val="24"/>
                <w:highlight w:val="none"/>
              </w:rPr>
              <w:t>总投资（万元）</w:t>
            </w:r>
          </w:p>
        </w:tc>
        <w:tc>
          <w:tcPr>
            <w:tcW w:w="2383" w:type="dxa"/>
            <w:noWrap w:val="0"/>
            <w:vAlign w:val="center"/>
          </w:tcPr>
          <w:p w14:paraId="48136185">
            <w:pPr>
              <w:wordWrap w:val="0"/>
              <w:ind w:left="63" w:leftChars="30" w:right="63" w:rightChars="30"/>
              <w:jc w:val="center"/>
              <w:rPr>
                <w:rFonts w:hint="default" w:eastAsia="宋体"/>
                <w:sz w:val="24"/>
                <w:highlight w:val="none"/>
                <w:lang w:val="en-US" w:eastAsia="zh-CN"/>
              </w:rPr>
            </w:pPr>
            <w:r>
              <w:rPr>
                <w:rFonts w:hint="eastAsia"/>
                <w:sz w:val="24"/>
                <w:highlight w:val="none"/>
                <w:lang w:val="en-US" w:eastAsia="zh-CN"/>
              </w:rPr>
              <w:t>8000</w:t>
            </w:r>
          </w:p>
        </w:tc>
        <w:tc>
          <w:tcPr>
            <w:tcW w:w="1889" w:type="dxa"/>
            <w:noWrap w:val="0"/>
            <w:tcMar>
              <w:top w:w="16" w:type="dxa"/>
              <w:left w:w="16" w:type="dxa"/>
              <w:right w:w="16" w:type="dxa"/>
            </w:tcMar>
            <w:vAlign w:val="center"/>
          </w:tcPr>
          <w:p w14:paraId="4F9BCF5A">
            <w:pPr>
              <w:wordWrap w:val="0"/>
              <w:ind w:left="63" w:leftChars="30" w:right="63" w:rightChars="30"/>
              <w:jc w:val="center"/>
              <w:rPr>
                <w:b/>
                <w:sz w:val="24"/>
                <w:highlight w:val="none"/>
              </w:rPr>
            </w:pPr>
            <w:r>
              <w:rPr>
                <w:b/>
                <w:sz w:val="24"/>
                <w:highlight w:val="none"/>
              </w:rPr>
              <w:t>环保投资（万元）</w:t>
            </w:r>
          </w:p>
        </w:tc>
        <w:tc>
          <w:tcPr>
            <w:tcW w:w="3321" w:type="dxa"/>
            <w:gridSpan w:val="2"/>
            <w:noWrap w:val="0"/>
            <w:vAlign w:val="center"/>
          </w:tcPr>
          <w:p w14:paraId="0F41BE55">
            <w:pPr>
              <w:wordWrap w:val="0"/>
              <w:ind w:left="63" w:leftChars="30" w:right="63" w:rightChars="30"/>
              <w:jc w:val="center"/>
              <w:rPr>
                <w:rFonts w:hint="default" w:eastAsia="宋体"/>
                <w:sz w:val="24"/>
                <w:highlight w:val="none"/>
                <w:lang w:val="en-US" w:eastAsia="zh-CN"/>
              </w:rPr>
            </w:pPr>
            <w:bookmarkStart w:id="5" w:name="_GoBack"/>
            <w:bookmarkEnd w:id="5"/>
            <w:r>
              <w:rPr>
                <w:rFonts w:hint="eastAsia"/>
                <w:sz w:val="24"/>
                <w:highlight w:val="none"/>
                <w:lang w:val="en-US" w:eastAsia="zh-CN"/>
              </w:rPr>
              <w:t>218</w:t>
            </w:r>
          </w:p>
        </w:tc>
      </w:tr>
      <w:tr w14:paraId="0A5656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6" w:type="dxa"/>
            <w:bottom w:w="0" w:type="dxa"/>
            <w:right w:w="6" w:type="dxa"/>
          </w:tblCellMar>
        </w:tblPrEx>
        <w:trPr>
          <w:trHeight w:val="23" w:hRule="atLeast"/>
          <w:jc w:val="center"/>
        </w:trPr>
        <w:tc>
          <w:tcPr>
            <w:tcW w:w="1212" w:type="dxa"/>
            <w:noWrap w:val="0"/>
            <w:tcMar>
              <w:top w:w="16" w:type="dxa"/>
              <w:left w:w="16" w:type="dxa"/>
              <w:right w:w="16" w:type="dxa"/>
            </w:tcMar>
            <w:vAlign w:val="center"/>
          </w:tcPr>
          <w:p w14:paraId="3805DE26">
            <w:pPr>
              <w:wordWrap w:val="0"/>
              <w:ind w:left="63" w:leftChars="30" w:right="63" w:rightChars="30"/>
              <w:jc w:val="center"/>
              <w:rPr>
                <w:b/>
                <w:sz w:val="24"/>
                <w:highlight w:val="none"/>
              </w:rPr>
            </w:pPr>
            <w:r>
              <w:rPr>
                <w:b/>
                <w:sz w:val="24"/>
                <w:highlight w:val="none"/>
              </w:rPr>
              <w:t>环保投资占比（%）</w:t>
            </w:r>
          </w:p>
        </w:tc>
        <w:tc>
          <w:tcPr>
            <w:tcW w:w="2383" w:type="dxa"/>
            <w:noWrap w:val="0"/>
            <w:vAlign w:val="center"/>
          </w:tcPr>
          <w:p w14:paraId="66BA8C0C">
            <w:pPr>
              <w:wordWrap w:val="0"/>
              <w:ind w:left="63" w:leftChars="30" w:right="63" w:rightChars="30"/>
              <w:jc w:val="center"/>
              <w:rPr>
                <w:rFonts w:hint="default" w:eastAsia="宋体"/>
                <w:sz w:val="24"/>
                <w:highlight w:val="none"/>
                <w:lang w:val="en-US" w:eastAsia="zh-CN"/>
              </w:rPr>
            </w:pPr>
            <w:r>
              <w:rPr>
                <w:rFonts w:hint="eastAsia"/>
                <w:sz w:val="24"/>
                <w:highlight w:val="none"/>
                <w:lang w:val="en-US" w:eastAsia="zh-CN"/>
              </w:rPr>
              <w:t>2.725</w:t>
            </w:r>
          </w:p>
        </w:tc>
        <w:tc>
          <w:tcPr>
            <w:tcW w:w="1889" w:type="dxa"/>
            <w:noWrap w:val="0"/>
            <w:tcMar>
              <w:top w:w="16" w:type="dxa"/>
              <w:left w:w="16" w:type="dxa"/>
              <w:right w:w="16" w:type="dxa"/>
            </w:tcMar>
            <w:vAlign w:val="center"/>
          </w:tcPr>
          <w:p w14:paraId="58DC02D5">
            <w:pPr>
              <w:wordWrap w:val="0"/>
              <w:ind w:left="63" w:leftChars="30" w:right="63" w:rightChars="30"/>
              <w:jc w:val="center"/>
              <w:rPr>
                <w:sz w:val="24"/>
                <w:highlight w:val="none"/>
              </w:rPr>
            </w:pPr>
            <w:r>
              <w:rPr>
                <w:b/>
                <w:sz w:val="24"/>
                <w:highlight w:val="none"/>
              </w:rPr>
              <w:t>施工工期（月）</w:t>
            </w:r>
          </w:p>
        </w:tc>
        <w:tc>
          <w:tcPr>
            <w:tcW w:w="3321" w:type="dxa"/>
            <w:gridSpan w:val="2"/>
            <w:noWrap w:val="0"/>
            <w:vAlign w:val="center"/>
          </w:tcPr>
          <w:p w14:paraId="4A012834">
            <w:pPr>
              <w:wordWrap w:val="0"/>
              <w:ind w:left="63" w:leftChars="30" w:right="63" w:rightChars="30"/>
              <w:jc w:val="center"/>
              <w:rPr>
                <w:rFonts w:hint="default" w:eastAsia="宋体"/>
                <w:sz w:val="24"/>
                <w:highlight w:val="none"/>
                <w:lang w:val="en-US" w:eastAsia="zh-CN"/>
              </w:rPr>
            </w:pPr>
            <w:r>
              <w:rPr>
                <w:rFonts w:hint="eastAsia"/>
                <w:sz w:val="24"/>
                <w:highlight w:val="none"/>
                <w:lang w:val="en-US" w:eastAsia="zh-CN"/>
              </w:rPr>
              <w:t>3</w:t>
            </w:r>
          </w:p>
        </w:tc>
      </w:tr>
      <w:tr w14:paraId="3D6BFB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6" w:type="dxa"/>
            <w:bottom w:w="0" w:type="dxa"/>
            <w:right w:w="6" w:type="dxa"/>
          </w:tblCellMar>
        </w:tblPrEx>
        <w:trPr>
          <w:trHeight w:val="90" w:hRule="atLeast"/>
          <w:jc w:val="center"/>
        </w:trPr>
        <w:tc>
          <w:tcPr>
            <w:tcW w:w="1212" w:type="dxa"/>
            <w:noWrap w:val="0"/>
            <w:tcMar>
              <w:top w:w="16" w:type="dxa"/>
              <w:left w:w="16" w:type="dxa"/>
              <w:right w:w="16" w:type="dxa"/>
            </w:tcMar>
            <w:vAlign w:val="center"/>
          </w:tcPr>
          <w:p w14:paraId="338D4E3E">
            <w:pPr>
              <w:wordWrap w:val="0"/>
              <w:ind w:left="63" w:leftChars="30" w:right="63" w:rightChars="30"/>
              <w:jc w:val="center"/>
              <w:rPr>
                <w:b/>
                <w:sz w:val="24"/>
              </w:rPr>
            </w:pPr>
            <w:r>
              <w:rPr>
                <w:b/>
                <w:sz w:val="24"/>
              </w:rPr>
              <w:t>是否开工建设</w:t>
            </w:r>
          </w:p>
        </w:tc>
        <w:tc>
          <w:tcPr>
            <w:tcW w:w="2383" w:type="dxa"/>
            <w:noWrap w:val="0"/>
            <w:vAlign w:val="center"/>
          </w:tcPr>
          <w:p w14:paraId="7E5CF6F9">
            <w:pPr>
              <w:wordWrap w:val="0"/>
              <w:ind w:left="63" w:leftChars="30" w:right="63" w:rightChars="30"/>
              <w:rPr>
                <w:sz w:val="24"/>
              </w:rPr>
            </w:pPr>
            <w:r>
              <w:rPr>
                <w:rFonts w:hint="eastAsia" w:ascii="宋体" w:hAnsi="宋体" w:cs="宋体"/>
                <w:szCs w:val="21"/>
                <w:lang w:eastAsia="zh-CN"/>
              </w:rPr>
              <w:t>☑</w:t>
            </w:r>
            <w:r>
              <w:rPr>
                <w:sz w:val="24"/>
              </w:rPr>
              <w:t>否</w:t>
            </w:r>
          </w:p>
          <w:p w14:paraId="60675B73">
            <w:pPr>
              <w:wordWrap w:val="0"/>
              <w:ind w:left="63" w:leftChars="30" w:right="63" w:rightChars="30"/>
              <w:rPr>
                <w:rFonts w:hint="default" w:eastAsia="宋体"/>
                <w:sz w:val="24"/>
                <w:lang w:val="en-US" w:eastAsia="zh-CN"/>
              </w:rPr>
            </w:pPr>
            <w:r>
              <w:rPr>
                <w:rFonts w:hint="eastAsia" w:ascii="宋体" w:hAnsi="宋体" w:cs="宋体"/>
                <w:szCs w:val="21"/>
                <w:lang w:eastAsia="zh-CN"/>
              </w:rPr>
              <w:t>□</w:t>
            </w:r>
            <w:r>
              <w:rPr>
                <w:sz w:val="24"/>
              </w:rPr>
              <w:t>是：</w:t>
            </w:r>
            <w:r>
              <w:rPr>
                <w:rFonts w:hint="eastAsia"/>
                <w:sz w:val="24"/>
                <w:u w:val="single"/>
                <w:lang w:val="en-US" w:eastAsia="zh-CN"/>
              </w:rPr>
              <w:t xml:space="preserve">          </w:t>
            </w:r>
          </w:p>
        </w:tc>
        <w:tc>
          <w:tcPr>
            <w:tcW w:w="1889" w:type="dxa"/>
            <w:noWrap w:val="0"/>
            <w:tcMar>
              <w:top w:w="16" w:type="dxa"/>
              <w:left w:w="16" w:type="dxa"/>
              <w:right w:w="16" w:type="dxa"/>
            </w:tcMar>
            <w:vAlign w:val="center"/>
          </w:tcPr>
          <w:p w14:paraId="51FAA7C4">
            <w:pPr>
              <w:wordWrap w:val="0"/>
              <w:ind w:left="63" w:leftChars="30" w:right="63" w:rightChars="30"/>
              <w:jc w:val="center"/>
              <w:rPr>
                <w:b/>
                <w:sz w:val="24"/>
              </w:rPr>
            </w:pPr>
            <w:r>
              <w:rPr>
                <w:b/>
                <w:sz w:val="24"/>
              </w:rPr>
              <w:t>用地（用海）面积（m</w:t>
            </w:r>
            <w:r>
              <w:rPr>
                <w:b/>
                <w:sz w:val="24"/>
                <w:vertAlign w:val="superscript"/>
              </w:rPr>
              <w:t>2</w:t>
            </w:r>
            <w:r>
              <w:rPr>
                <w:b/>
                <w:sz w:val="24"/>
              </w:rPr>
              <w:t>）</w:t>
            </w:r>
          </w:p>
        </w:tc>
        <w:tc>
          <w:tcPr>
            <w:tcW w:w="3321" w:type="dxa"/>
            <w:gridSpan w:val="2"/>
            <w:noWrap w:val="0"/>
            <w:vAlign w:val="center"/>
          </w:tcPr>
          <w:p w14:paraId="6C1A83E9">
            <w:pPr>
              <w:wordWrap w:val="0"/>
              <w:ind w:left="63" w:leftChars="30" w:right="63" w:rightChars="30"/>
              <w:jc w:val="center"/>
              <w:rPr>
                <w:rFonts w:hint="default" w:eastAsia="宋体"/>
                <w:sz w:val="24"/>
                <w:lang w:val="en-US" w:eastAsia="zh-CN"/>
              </w:rPr>
            </w:pPr>
            <w:r>
              <w:rPr>
                <w:rFonts w:hint="eastAsia"/>
                <w:sz w:val="24"/>
                <w:lang w:val="en-US" w:eastAsia="zh-CN"/>
              </w:rPr>
              <w:t>20576（本次不新增占地）</w:t>
            </w:r>
          </w:p>
        </w:tc>
      </w:tr>
      <w:tr w14:paraId="3CA35E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6" w:type="dxa"/>
            <w:bottom w:w="0" w:type="dxa"/>
            <w:right w:w="6" w:type="dxa"/>
          </w:tblCellMar>
        </w:tblPrEx>
        <w:trPr>
          <w:trHeight w:val="23" w:hRule="atLeast"/>
          <w:jc w:val="center"/>
        </w:trPr>
        <w:tc>
          <w:tcPr>
            <w:tcW w:w="1212" w:type="dxa"/>
            <w:noWrap w:val="0"/>
            <w:vAlign w:val="center"/>
          </w:tcPr>
          <w:p w14:paraId="525F2DA1">
            <w:pPr>
              <w:wordWrap w:val="0"/>
              <w:ind w:left="63" w:leftChars="30" w:right="63" w:rightChars="30"/>
              <w:jc w:val="center"/>
              <w:rPr>
                <w:b/>
                <w:sz w:val="24"/>
              </w:rPr>
            </w:pPr>
            <w:r>
              <w:rPr>
                <w:b/>
                <w:sz w:val="24"/>
              </w:rPr>
              <w:t>专项评价设置情况</w:t>
            </w:r>
          </w:p>
        </w:tc>
        <w:tc>
          <w:tcPr>
            <w:tcW w:w="7593" w:type="dxa"/>
            <w:gridSpan w:val="4"/>
            <w:noWrap w:val="0"/>
            <w:vAlign w:val="center"/>
          </w:tcPr>
          <w:p w14:paraId="7D9B646C">
            <w:pPr>
              <w:wordWrap w:val="0"/>
              <w:autoSpaceDE w:val="0"/>
              <w:autoSpaceDN w:val="0"/>
              <w:spacing w:line="360" w:lineRule="auto"/>
              <w:ind w:left="63" w:leftChars="30" w:right="63" w:rightChars="30" w:firstLine="480" w:firstLineChars="200"/>
              <w:rPr>
                <w:rFonts w:hint="eastAsia" w:eastAsia="宋体"/>
                <w:kern w:val="0"/>
                <w:sz w:val="24"/>
                <w:lang w:eastAsia="zh-CN"/>
              </w:rPr>
            </w:pPr>
            <w:r>
              <w:rPr>
                <w:rFonts w:hint="eastAsia"/>
                <w:kern w:val="0"/>
                <w:sz w:val="24"/>
              </w:rPr>
              <w:t>根据《建设项目环境影响报告表编制技术指南（污染影响类）》中专项评价设置原则，本项目各环境要素专项评价筛选情况见下表</w:t>
            </w:r>
            <w:r>
              <w:rPr>
                <w:rFonts w:hint="eastAsia"/>
                <w:kern w:val="0"/>
                <w:sz w:val="24"/>
                <w:lang w:eastAsia="zh-CN"/>
              </w:rPr>
              <w:t>：</w:t>
            </w:r>
          </w:p>
          <w:p w14:paraId="1C14283F">
            <w:pPr>
              <w:numPr>
                <w:ilvl w:val="0"/>
                <w:numId w:val="3"/>
              </w:numPr>
              <w:wordWrap w:val="0"/>
              <w:ind w:left="63" w:leftChars="30" w:right="63" w:rightChars="30"/>
              <w:jc w:val="center"/>
              <w:rPr>
                <w:rFonts w:hint="eastAsia"/>
                <w:b/>
                <w:szCs w:val="21"/>
              </w:rPr>
            </w:pPr>
            <w:r>
              <w:rPr>
                <w:rFonts w:hint="eastAsia"/>
                <w:b/>
                <w:szCs w:val="21"/>
              </w:rPr>
              <w:t>拟建项目专项评价筛选一览表</w:t>
            </w:r>
          </w:p>
          <w:tbl>
            <w:tblPr>
              <w:tblStyle w:val="26"/>
              <w:tblW w:w="4972"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28"/>
              <w:gridCol w:w="3183"/>
              <w:gridCol w:w="2536"/>
              <w:gridCol w:w="988"/>
            </w:tblGrid>
            <w:tr w14:paraId="6F7E5A0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28" w:type="dxa"/>
                  <w:noWrap w:val="0"/>
                  <w:vAlign w:val="center"/>
                </w:tcPr>
                <w:p w14:paraId="5CBF81C6">
                  <w:pPr>
                    <w:wordWrap w:val="0"/>
                    <w:autoSpaceDE w:val="0"/>
                    <w:autoSpaceDN w:val="0"/>
                    <w:jc w:val="center"/>
                    <w:rPr>
                      <w:kern w:val="0"/>
                      <w:szCs w:val="21"/>
                    </w:rPr>
                  </w:pPr>
                  <w:r>
                    <w:rPr>
                      <w:kern w:val="0"/>
                      <w:szCs w:val="21"/>
                    </w:rPr>
                    <w:t>类别</w:t>
                  </w:r>
                </w:p>
              </w:tc>
              <w:tc>
                <w:tcPr>
                  <w:tcW w:w="3183" w:type="dxa"/>
                  <w:noWrap w:val="0"/>
                  <w:vAlign w:val="center"/>
                </w:tcPr>
                <w:p w14:paraId="70ABE37F">
                  <w:pPr>
                    <w:wordWrap w:val="0"/>
                    <w:autoSpaceDE w:val="0"/>
                    <w:autoSpaceDN w:val="0"/>
                    <w:jc w:val="center"/>
                    <w:rPr>
                      <w:kern w:val="0"/>
                      <w:szCs w:val="21"/>
                    </w:rPr>
                  </w:pPr>
                  <w:r>
                    <w:rPr>
                      <w:kern w:val="0"/>
                      <w:szCs w:val="21"/>
                    </w:rPr>
                    <w:t>专项评价设置原则</w:t>
                  </w:r>
                </w:p>
              </w:tc>
              <w:tc>
                <w:tcPr>
                  <w:tcW w:w="2536" w:type="dxa"/>
                  <w:noWrap w:val="0"/>
                  <w:vAlign w:val="center"/>
                </w:tcPr>
                <w:p w14:paraId="6798410D">
                  <w:pPr>
                    <w:wordWrap w:val="0"/>
                    <w:autoSpaceDE w:val="0"/>
                    <w:autoSpaceDN w:val="0"/>
                    <w:jc w:val="center"/>
                    <w:rPr>
                      <w:kern w:val="0"/>
                      <w:szCs w:val="21"/>
                    </w:rPr>
                  </w:pPr>
                  <w:r>
                    <w:rPr>
                      <w:kern w:val="0"/>
                      <w:szCs w:val="21"/>
                    </w:rPr>
                    <w:t>本项目情况</w:t>
                  </w:r>
                </w:p>
              </w:tc>
              <w:tc>
                <w:tcPr>
                  <w:tcW w:w="988" w:type="dxa"/>
                  <w:noWrap w:val="0"/>
                  <w:vAlign w:val="center"/>
                </w:tcPr>
                <w:p w14:paraId="0D1715D2">
                  <w:pPr>
                    <w:wordWrap w:val="0"/>
                    <w:autoSpaceDE w:val="0"/>
                    <w:autoSpaceDN w:val="0"/>
                    <w:jc w:val="center"/>
                    <w:rPr>
                      <w:kern w:val="0"/>
                      <w:szCs w:val="21"/>
                    </w:rPr>
                  </w:pPr>
                  <w:r>
                    <w:rPr>
                      <w:kern w:val="0"/>
                      <w:szCs w:val="21"/>
                    </w:rPr>
                    <w:t>是否设置</w:t>
                  </w:r>
                </w:p>
              </w:tc>
            </w:tr>
            <w:tr w14:paraId="1C754FC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28" w:type="dxa"/>
                  <w:noWrap w:val="0"/>
                  <w:vAlign w:val="center"/>
                </w:tcPr>
                <w:p w14:paraId="3F8D9B3F">
                  <w:pPr>
                    <w:wordWrap w:val="0"/>
                    <w:autoSpaceDE w:val="0"/>
                    <w:autoSpaceDN w:val="0"/>
                    <w:jc w:val="center"/>
                    <w:rPr>
                      <w:rFonts w:hint="eastAsia"/>
                      <w:kern w:val="0"/>
                      <w:szCs w:val="21"/>
                    </w:rPr>
                  </w:pPr>
                  <w:r>
                    <w:rPr>
                      <w:rFonts w:hint="eastAsia"/>
                      <w:kern w:val="0"/>
                      <w:szCs w:val="21"/>
                    </w:rPr>
                    <w:t>大气</w:t>
                  </w:r>
                </w:p>
              </w:tc>
              <w:tc>
                <w:tcPr>
                  <w:tcW w:w="3183" w:type="dxa"/>
                  <w:noWrap w:val="0"/>
                  <w:vAlign w:val="center"/>
                </w:tcPr>
                <w:p w14:paraId="746E8926">
                  <w:pPr>
                    <w:wordWrap w:val="0"/>
                    <w:autoSpaceDE w:val="0"/>
                    <w:autoSpaceDN w:val="0"/>
                    <w:jc w:val="center"/>
                    <w:rPr>
                      <w:kern w:val="0"/>
                      <w:szCs w:val="21"/>
                    </w:rPr>
                  </w:pPr>
                  <w:r>
                    <w:rPr>
                      <w:kern w:val="0"/>
                      <w:szCs w:val="21"/>
                    </w:rPr>
                    <w:t>排放废气含有毒有害污染物</w:t>
                  </w:r>
                  <w:r>
                    <w:rPr>
                      <w:kern w:val="0"/>
                      <w:szCs w:val="21"/>
                      <w:vertAlign w:val="superscript"/>
                    </w:rPr>
                    <w:t>1</w:t>
                  </w:r>
                  <w:r>
                    <w:rPr>
                      <w:kern w:val="0"/>
                      <w:szCs w:val="21"/>
                    </w:rPr>
                    <w:t>、二噁英、苯并[a]芘、氰化物、氯气且厂界外500米范围内有环境空气保护目标</w:t>
                  </w:r>
                  <w:r>
                    <w:rPr>
                      <w:kern w:val="0"/>
                      <w:szCs w:val="21"/>
                      <w:vertAlign w:val="superscript"/>
                    </w:rPr>
                    <w:t>2</w:t>
                  </w:r>
                  <w:r>
                    <w:rPr>
                      <w:kern w:val="0"/>
                      <w:szCs w:val="21"/>
                    </w:rPr>
                    <w:t>的建设项目</w:t>
                  </w:r>
                </w:p>
              </w:tc>
              <w:tc>
                <w:tcPr>
                  <w:tcW w:w="2536" w:type="dxa"/>
                  <w:noWrap w:val="0"/>
                  <w:vAlign w:val="center"/>
                </w:tcPr>
                <w:p w14:paraId="445B4910">
                  <w:pPr>
                    <w:wordWrap w:val="0"/>
                    <w:autoSpaceDE w:val="0"/>
                    <w:autoSpaceDN w:val="0"/>
                    <w:jc w:val="center"/>
                    <w:rPr>
                      <w:rFonts w:hint="eastAsia" w:eastAsia="宋体"/>
                      <w:kern w:val="0"/>
                      <w:szCs w:val="21"/>
                      <w:lang w:val="en-US" w:eastAsia="zh-CN"/>
                    </w:rPr>
                  </w:pPr>
                  <w:r>
                    <w:rPr>
                      <w:rFonts w:hint="eastAsia"/>
                      <w:kern w:val="0"/>
                      <w:szCs w:val="21"/>
                    </w:rPr>
                    <w:t>本项目</w:t>
                  </w:r>
                  <w:r>
                    <w:rPr>
                      <w:rFonts w:hint="eastAsia"/>
                      <w:kern w:val="0"/>
                      <w:szCs w:val="21"/>
                      <w:lang w:val="en-US" w:eastAsia="zh-CN"/>
                    </w:rPr>
                    <w:t>排放废气中涉及</w:t>
                  </w:r>
                  <w:r>
                    <w:rPr>
                      <w:kern w:val="0"/>
                      <w:szCs w:val="21"/>
                    </w:rPr>
                    <w:t>苯并[a]芘</w:t>
                  </w:r>
                  <w:r>
                    <w:rPr>
                      <w:rFonts w:hint="eastAsia"/>
                      <w:kern w:val="0"/>
                      <w:szCs w:val="21"/>
                      <w:lang w:eastAsia="zh-CN"/>
                    </w:rPr>
                    <w:t>，</w:t>
                  </w:r>
                  <w:r>
                    <w:rPr>
                      <w:rFonts w:hint="eastAsia"/>
                      <w:kern w:val="0"/>
                      <w:szCs w:val="21"/>
                      <w:lang w:val="en-US" w:eastAsia="zh-CN"/>
                    </w:rPr>
                    <w:t>且厂界外500m范围内存在环境敏感目标</w:t>
                  </w:r>
                  <w:r>
                    <w:rPr>
                      <w:rFonts w:hint="eastAsia"/>
                      <w:kern w:val="0"/>
                      <w:szCs w:val="21"/>
                      <w:lang w:eastAsia="zh-CN"/>
                    </w:rPr>
                    <w:t>。</w:t>
                  </w:r>
                </w:p>
              </w:tc>
              <w:tc>
                <w:tcPr>
                  <w:tcW w:w="988" w:type="dxa"/>
                  <w:noWrap w:val="0"/>
                  <w:vAlign w:val="center"/>
                </w:tcPr>
                <w:p w14:paraId="4ED61664">
                  <w:pPr>
                    <w:wordWrap w:val="0"/>
                    <w:autoSpaceDE w:val="0"/>
                    <w:autoSpaceDN w:val="0"/>
                    <w:jc w:val="center"/>
                    <w:rPr>
                      <w:rFonts w:hint="default" w:eastAsia="宋体"/>
                      <w:kern w:val="0"/>
                      <w:szCs w:val="21"/>
                      <w:lang w:val="en-US" w:eastAsia="zh-CN"/>
                    </w:rPr>
                  </w:pPr>
                  <w:r>
                    <w:rPr>
                      <w:rFonts w:hint="eastAsia"/>
                      <w:b/>
                      <w:bCs/>
                      <w:kern w:val="0"/>
                      <w:szCs w:val="21"/>
                      <w:lang w:val="en-US" w:eastAsia="zh-CN"/>
                    </w:rPr>
                    <w:t>是</w:t>
                  </w:r>
                </w:p>
              </w:tc>
            </w:tr>
            <w:tr w14:paraId="6636301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28" w:type="dxa"/>
                  <w:noWrap w:val="0"/>
                  <w:vAlign w:val="center"/>
                </w:tcPr>
                <w:p w14:paraId="0CA90829">
                  <w:pPr>
                    <w:wordWrap w:val="0"/>
                    <w:autoSpaceDE w:val="0"/>
                    <w:autoSpaceDN w:val="0"/>
                    <w:jc w:val="center"/>
                    <w:rPr>
                      <w:rFonts w:hint="eastAsia"/>
                      <w:kern w:val="0"/>
                      <w:szCs w:val="21"/>
                    </w:rPr>
                  </w:pPr>
                  <w:r>
                    <w:rPr>
                      <w:rFonts w:hint="eastAsia"/>
                      <w:kern w:val="0"/>
                      <w:szCs w:val="21"/>
                    </w:rPr>
                    <w:t>地表水</w:t>
                  </w:r>
                </w:p>
              </w:tc>
              <w:tc>
                <w:tcPr>
                  <w:tcW w:w="3183" w:type="dxa"/>
                  <w:noWrap w:val="0"/>
                  <w:vAlign w:val="center"/>
                </w:tcPr>
                <w:p w14:paraId="6FC10FDC">
                  <w:pPr>
                    <w:wordWrap w:val="0"/>
                    <w:autoSpaceDE w:val="0"/>
                    <w:autoSpaceDN w:val="0"/>
                    <w:jc w:val="center"/>
                    <w:rPr>
                      <w:kern w:val="0"/>
                      <w:szCs w:val="21"/>
                    </w:rPr>
                  </w:pPr>
                  <w:r>
                    <w:rPr>
                      <w:kern w:val="0"/>
                      <w:szCs w:val="21"/>
                    </w:rPr>
                    <w:t>新增工业废水直排建设项目（槽罐车外送污水处理厂的除外）：新增废水直排的污水集中处理厂</w:t>
                  </w:r>
                </w:p>
              </w:tc>
              <w:tc>
                <w:tcPr>
                  <w:tcW w:w="2536" w:type="dxa"/>
                  <w:noWrap w:val="0"/>
                  <w:vAlign w:val="center"/>
                </w:tcPr>
                <w:p w14:paraId="521A70D9">
                  <w:pPr>
                    <w:wordWrap w:val="0"/>
                    <w:autoSpaceDE w:val="0"/>
                    <w:autoSpaceDN w:val="0"/>
                    <w:jc w:val="center"/>
                    <w:rPr>
                      <w:kern w:val="0"/>
                      <w:szCs w:val="21"/>
                    </w:rPr>
                  </w:pPr>
                  <w:r>
                    <w:rPr>
                      <w:kern w:val="0"/>
                      <w:szCs w:val="21"/>
                    </w:rPr>
                    <w:t>本项目不涉及废水直接外排，不属于废水直排的污水集中处理厂项目</w:t>
                  </w:r>
                </w:p>
              </w:tc>
              <w:tc>
                <w:tcPr>
                  <w:tcW w:w="988" w:type="dxa"/>
                  <w:noWrap w:val="0"/>
                  <w:vAlign w:val="center"/>
                </w:tcPr>
                <w:p w14:paraId="104F21CF">
                  <w:pPr>
                    <w:wordWrap w:val="0"/>
                    <w:autoSpaceDE w:val="0"/>
                    <w:autoSpaceDN w:val="0"/>
                    <w:jc w:val="center"/>
                    <w:rPr>
                      <w:kern w:val="0"/>
                      <w:szCs w:val="21"/>
                    </w:rPr>
                  </w:pPr>
                  <w:r>
                    <w:rPr>
                      <w:kern w:val="0"/>
                      <w:szCs w:val="21"/>
                    </w:rPr>
                    <w:t>否</w:t>
                  </w:r>
                </w:p>
              </w:tc>
            </w:tr>
            <w:tr w14:paraId="6F9748C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28" w:type="dxa"/>
                  <w:noWrap w:val="0"/>
                  <w:vAlign w:val="center"/>
                </w:tcPr>
                <w:p w14:paraId="371D0A76">
                  <w:pPr>
                    <w:wordWrap w:val="0"/>
                    <w:autoSpaceDE w:val="0"/>
                    <w:autoSpaceDN w:val="0"/>
                    <w:jc w:val="center"/>
                    <w:rPr>
                      <w:kern w:val="0"/>
                      <w:szCs w:val="21"/>
                    </w:rPr>
                  </w:pPr>
                  <w:r>
                    <w:rPr>
                      <w:rFonts w:hint="eastAsia"/>
                      <w:kern w:val="0"/>
                      <w:szCs w:val="21"/>
                    </w:rPr>
                    <w:t>环境风险</w:t>
                  </w:r>
                </w:p>
              </w:tc>
              <w:tc>
                <w:tcPr>
                  <w:tcW w:w="3183" w:type="dxa"/>
                  <w:noWrap w:val="0"/>
                  <w:vAlign w:val="center"/>
                </w:tcPr>
                <w:p w14:paraId="52894BEA">
                  <w:pPr>
                    <w:wordWrap w:val="0"/>
                    <w:autoSpaceDE w:val="0"/>
                    <w:autoSpaceDN w:val="0"/>
                    <w:jc w:val="center"/>
                    <w:rPr>
                      <w:kern w:val="0"/>
                      <w:szCs w:val="21"/>
                    </w:rPr>
                  </w:pPr>
                  <w:r>
                    <w:rPr>
                      <w:kern w:val="0"/>
                      <w:szCs w:val="21"/>
                    </w:rPr>
                    <w:t>有毒有害和易燃易爆危险物质存储量超过临界量</w:t>
                  </w:r>
                  <w:r>
                    <w:rPr>
                      <w:kern w:val="0"/>
                      <w:szCs w:val="21"/>
                      <w:vertAlign w:val="superscript"/>
                    </w:rPr>
                    <w:t>3</w:t>
                  </w:r>
                  <w:r>
                    <w:rPr>
                      <w:kern w:val="0"/>
                      <w:szCs w:val="21"/>
                    </w:rPr>
                    <w:t>的建设项目</w:t>
                  </w:r>
                </w:p>
              </w:tc>
              <w:tc>
                <w:tcPr>
                  <w:tcW w:w="2536" w:type="dxa"/>
                  <w:noWrap w:val="0"/>
                  <w:vAlign w:val="center"/>
                </w:tcPr>
                <w:p w14:paraId="7FD610FF">
                  <w:pPr>
                    <w:wordWrap w:val="0"/>
                    <w:autoSpaceDE w:val="0"/>
                    <w:autoSpaceDN w:val="0"/>
                    <w:jc w:val="center"/>
                    <w:rPr>
                      <w:kern w:val="0"/>
                      <w:szCs w:val="21"/>
                    </w:rPr>
                  </w:pPr>
                  <w:r>
                    <w:rPr>
                      <w:kern w:val="0"/>
                      <w:szCs w:val="21"/>
                    </w:rPr>
                    <w:t>本项目危险物质存储量</w:t>
                  </w:r>
                  <w:r>
                    <w:rPr>
                      <w:rFonts w:hint="eastAsia"/>
                      <w:kern w:val="0"/>
                      <w:szCs w:val="21"/>
                    </w:rPr>
                    <w:t>未</w:t>
                  </w:r>
                  <w:r>
                    <w:rPr>
                      <w:kern w:val="0"/>
                      <w:szCs w:val="21"/>
                    </w:rPr>
                    <w:t>超过临界量</w:t>
                  </w:r>
                </w:p>
              </w:tc>
              <w:tc>
                <w:tcPr>
                  <w:tcW w:w="988" w:type="dxa"/>
                  <w:noWrap w:val="0"/>
                  <w:vAlign w:val="center"/>
                </w:tcPr>
                <w:p w14:paraId="1A5C21A6">
                  <w:pPr>
                    <w:wordWrap w:val="0"/>
                    <w:autoSpaceDE w:val="0"/>
                    <w:autoSpaceDN w:val="0"/>
                    <w:jc w:val="center"/>
                    <w:rPr>
                      <w:kern w:val="0"/>
                      <w:szCs w:val="21"/>
                    </w:rPr>
                  </w:pPr>
                  <w:r>
                    <w:rPr>
                      <w:kern w:val="0"/>
                      <w:szCs w:val="21"/>
                    </w:rPr>
                    <w:t>否</w:t>
                  </w:r>
                </w:p>
              </w:tc>
            </w:tr>
            <w:tr w14:paraId="0D3039A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28" w:type="dxa"/>
                  <w:noWrap w:val="0"/>
                  <w:vAlign w:val="center"/>
                </w:tcPr>
                <w:p w14:paraId="2128F977">
                  <w:pPr>
                    <w:wordWrap w:val="0"/>
                    <w:autoSpaceDE w:val="0"/>
                    <w:autoSpaceDN w:val="0"/>
                    <w:jc w:val="center"/>
                    <w:rPr>
                      <w:kern w:val="0"/>
                      <w:szCs w:val="21"/>
                    </w:rPr>
                  </w:pPr>
                  <w:r>
                    <w:rPr>
                      <w:rFonts w:hint="eastAsia"/>
                      <w:kern w:val="0"/>
                      <w:szCs w:val="21"/>
                    </w:rPr>
                    <w:t>生态</w:t>
                  </w:r>
                </w:p>
              </w:tc>
              <w:tc>
                <w:tcPr>
                  <w:tcW w:w="3183" w:type="dxa"/>
                  <w:noWrap w:val="0"/>
                  <w:vAlign w:val="center"/>
                </w:tcPr>
                <w:p w14:paraId="52110283">
                  <w:pPr>
                    <w:wordWrap w:val="0"/>
                    <w:autoSpaceDE w:val="0"/>
                    <w:autoSpaceDN w:val="0"/>
                    <w:jc w:val="center"/>
                    <w:rPr>
                      <w:kern w:val="0"/>
                      <w:szCs w:val="21"/>
                    </w:rPr>
                  </w:pPr>
                  <w:r>
                    <w:rPr>
                      <w:kern w:val="0"/>
                      <w:szCs w:val="21"/>
                    </w:rPr>
                    <w:t>取水口下游500米范围内有重要水生生物的自然产卵场、索饵场、越冬场和洄游通道的新增河道取水的污染类建设项目</w:t>
                  </w:r>
                </w:p>
              </w:tc>
              <w:tc>
                <w:tcPr>
                  <w:tcW w:w="2536" w:type="dxa"/>
                  <w:noWrap w:val="0"/>
                  <w:vAlign w:val="center"/>
                </w:tcPr>
                <w:p w14:paraId="70B2AAF0">
                  <w:pPr>
                    <w:wordWrap w:val="0"/>
                    <w:autoSpaceDE w:val="0"/>
                    <w:autoSpaceDN w:val="0"/>
                    <w:jc w:val="center"/>
                    <w:rPr>
                      <w:kern w:val="0"/>
                      <w:szCs w:val="21"/>
                    </w:rPr>
                  </w:pPr>
                  <w:r>
                    <w:rPr>
                      <w:kern w:val="0"/>
                      <w:szCs w:val="21"/>
                    </w:rPr>
                    <w:t>本项目不涉及河道取水</w:t>
                  </w:r>
                </w:p>
              </w:tc>
              <w:tc>
                <w:tcPr>
                  <w:tcW w:w="988" w:type="dxa"/>
                  <w:noWrap w:val="0"/>
                  <w:vAlign w:val="center"/>
                </w:tcPr>
                <w:p w14:paraId="012E7E41">
                  <w:pPr>
                    <w:wordWrap w:val="0"/>
                    <w:autoSpaceDE w:val="0"/>
                    <w:autoSpaceDN w:val="0"/>
                    <w:jc w:val="center"/>
                    <w:rPr>
                      <w:kern w:val="0"/>
                      <w:szCs w:val="21"/>
                    </w:rPr>
                  </w:pPr>
                  <w:r>
                    <w:rPr>
                      <w:kern w:val="0"/>
                      <w:szCs w:val="21"/>
                    </w:rPr>
                    <w:t>否</w:t>
                  </w:r>
                </w:p>
              </w:tc>
            </w:tr>
            <w:tr w14:paraId="1E77468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28" w:type="dxa"/>
                  <w:noWrap w:val="0"/>
                  <w:vAlign w:val="center"/>
                </w:tcPr>
                <w:p w14:paraId="202BE411">
                  <w:pPr>
                    <w:wordWrap w:val="0"/>
                    <w:autoSpaceDE w:val="0"/>
                    <w:autoSpaceDN w:val="0"/>
                    <w:jc w:val="center"/>
                    <w:rPr>
                      <w:kern w:val="0"/>
                      <w:szCs w:val="21"/>
                    </w:rPr>
                  </w:pPr>
                  <w:r>
                    <w:rPr>
                      <w:rFonts w:hint="eastAsia"/>
                      <w:kern w:val="0"/>
                      <w:szCs w:val="21"/>
                    </w:rPr>
                    <w:t>海洋</w:t>
                  </w:r>
                </w:p>
              </w:tc>
              <w:tc>
                <w:tcPr>
                  <w:tcW w:w="3183" w:type="dxa"/>
                  <w:noWrap w:val="0"/>
                  <w:vAlign w:val="center"/>
                </w:tcPr>
                <w:p w14:paraId="104067BA">
                  <w:pPr>
                    <w:wordWrap w:val="0"/>
                    <w:autoSpaceDE w:val="0"/>
                    <w:autoSpaceDN w:val="0"/>
                    <w:jc w:val="center"/>
                    <w:rPr>
                      <w:kern w:val="0"/>
                      <w:szCs w:val="21"/>
                    </w:rPr>
                  </w:pPr>
                  <w:r>
                    <w:rPr>
                      <w:kern w:val="0"/>
                      <w:szCs w:val="21"/>
                    </w:rPr>
                    <w:t>直接向海水排放污染物的海洋工程建设项目</w:t>
                  </w:r>
                </w:p>
              </w:tc>
              <w:tc>
                <w:tcPr>
                  <w:tcW w:w="2536" w:type="dxa"/>
                  <w:noWrap w:val="0"/>
                  <w:vAlign w:val="center"/>
                </w:tcPr>
                <w:p w14:paraId="48344FF7">
                  <w:pPr>
                    <w:wordWrap w:val="0"/>
                    <w:autoSpaceDE w:val="0"/>
                    <w:autoSpaceDN w:val="0"/>
                    <w:jc w:val="center"/>
                    <w:rPr>
                      <w:kern w:val="0"/>
                      <w:szCs w:val="21"/>
                    </w:rPr>
                  </w:pPr>
                  <w:r>
                    <w:rPr>
                      <w:kern w:val="0"/>
                      <w:szCs w:val="21"/>
                    </w:rPr>
                    <w:t>本项目不属于海洋工程建设项</w:t>
                  </w:r>
                  <w:r>
                    <w:rPr>
                      <w:rFonts w:hint="eastAsia"/>
                      <w:kern w:val="0"/>
                      <w:szCs w:val="21"/>
                    </w:rPr>
                    <w:t>目</w:t>
                  </w:r>
                </w:p>
              </w:tc>
              <w:tc>
                <w:tcPr>
                  <w:tcW w:w="988" w:type="dxa"/>
                  <w:noWrap w:val="0"/>
                  <w:vAlign w:val="center"/>
                </w:tcPr>
                <w:p w14:paraId="6BBBA505">
                  <w:pPr>
                    <w:wordWrap w:val="0"/>
                    <w:autoSpaceDE w:val="0"/>
                    <w:autoSpaceDN w:val="0"/>
                    <w:jc w:val="center"/>
                    <w:rPr>
                      <w:rFonts w:hint="eastAsia"/>
                      <w:kern w:val="0"/>
                      <w:szCs w:val="21"/>
                    </w:rPr>
                  </w:pPr>
                  <w:r>
                    <w:rPr>
                      <w:kern w:val="0"/>
                      <w:szCs w:val="21"/>
                    </w:rPr>
                    <w:t>否</w:t>
                  </w:r>
                </w:p>
              </w:tc>
            </w:tr>
            <w:tr w14:paraId="782C10E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7535" w:type="dxa"/>
                  <w:gridSpan w:val="4"/>
                  <w:noWrap w:val="0"/>
                  <w:vAlign w:val="center"/>
                </w:tcPr>
                <w:p w14:paraId="15F0E5E9">
                  <w:pPr>
                    <w:wordWrap w:val="0"/>
                    <w:autoSpaceDE w:val="0"/>
                    <w:autoSpaceDN w:val="0"/>
                    <w:jc w:val="center"/>
                    <w:rPr>
                      <w:kern w:val="0"/>
                      <w:szCs w:val="21"/>
                    </w:rPr>
                  </w:pPr>
                  <w:r>
                    <w:rPr>
                      <w:rFonts w:hint="eastAsia"/>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169）附录B、附录C。</w:t>
                  </w:r>
                </w:p>
              </w:tc>
            </w:tr>
          </w:tbl>
          <w:p w14:paraId="4E6D25ED">
            <w:pPr>
              <w:keepNext w:val="0"/>
              <w:keepLines w:val="0"/>
              <w:pageBreakBefore w:val="0"/>
              <w:widowControl w:val="0"/>
              <w:kinsoku/>
              <w:wordWrap w:val="0"/>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kern w:val="0"/>
                <w:sz w:val="21"/>
                <w:szCs w:val="21"/>
              </w:rPr>
            </w:pPr>
          </w:p>
          <w:p w14:paraId="01FB69D4">
            <w:pPr>
              <w:wordWrap w:val="0"/>
              <w:autoSpaceDE w:val="0"/>
              <w:autoSpaceDN w:val="0"/>
              <w:spacing w:line="360" w:lineRule="auto"/>
              <w:ind w:left="63" w:leftChars="30" w:right="63" w:rightChars="30" w:firstLine="480" w:firstLineChars="200"/>
              <w:rPr>
                <w:rFonts w:hint="eastAsia"/>
                <w:kern w:val="0"/>
                <w:sz w:val="24"/>
              </w:rPr>
            </w:pPr>
            <w:r>
              <w:rPr>
                <w:rFonts w:hint="eastAsia"/>
                <w:kern w:val="0"/>
                <w:sz w:val="24"/>
              </w:rPr>
              <w:t>此外，本项目土壤、声环境不开展专项评价，项目不涉及集中式饮用水水源和热水、矿泉水、温泉等特殊地下水资源保护区，因此不开展地下水专项评价。</w:t>
            </w:r>
          </w:p>
          <w:p w14:paraId="5A531801">
            <w:pPr>
              <w:wordWrap w:val="0"/>
              <w:autoSpaceDE w:val="0"/>
              <w:autoSpaceDN w:val="0"/>
              <w:spacing w:line="360" w:lineRule="auto"/>
              <w:ind w:left="63" w:leftChars="30" w:right="63" w:rightChars="30" w:firstLine="482" w:firstLineChars="200"/>
              <w:rPr>
                <w:rFonts w:hint="eastAsia"/>
                <w:kern w:val="0"/>
                <w:sz w:val="24"/>
              </w:rPr>
            </w:pPr>
            <w:r>
              <w:rPr>
                <w:rFonts w:hint="eastAsia"/>
                <w:b/>
                <w:bCs/>
                <w:kern w:val="0"/>
                <w:sz w:val="24"/>
              </w:rPr>
              <w:t>综上，本项目需设置</w:t>
            </w:r>
            <w:r>
              <w:rPr>
                <w:rFonts w:hint="eastAsia"/>
                <w:b/>
                <w:bCs/>
                <w:kern w:val="0"/>
                <w:sz w:val="24"/>
                <w:lang w:val="en-US" w:eastAsia="zh-CN"/>
              </w:rPr>
              <w:t>大气</w:t>
            </w:r>
            <w:r>
              <w:rPr>
                <w:rFonts w:hint="eastAsia"/>
                <w:b/>
                <w:bCs/>
                <w:kern w:val="0"/>
                <w:sz w:val="24"/>
              </w:rPr>
              <w:t>专项评价。</w:t>
            </w:r>
          </w:p>
        </w:tc>
      </w:tr>
      <w:tr w14:paraId="31A1B4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6" w:type="dxa"/>
            <w:bottom w:w="0" w:type="dxa"/>
            <w:right w:w="6" w:type="dxa"/>
          </w:tblCellMar>
        </w:tblPrEx>
        <w:trPr>
          <w:trHeight w:val="23" w:hRule="atLeast"/>
          <w:jc w:val="center"/>
        </w:trPr>
        <w:tc>
          <w:tcPr>
            <w:tcW w:w="1212" w:type="dxa"/>
            <w:noWrap w:val="0"/>
            <w:vAlign w:val="center"/>
          </w:tcPr>
          <w:p w14:paraId="29EFC087">
            <w:pPr>
              <w:wordWrap w:val="0"/>
              <w:autoSpaceDE w:val="0"/>
              <w:autoSpaceDN w:val="0"/>
              <w:ind w:left="63" w:leftChars="30" w:right="63" w:rightChars="30"/>
              <w:jc w:val="center"/>
              <w:rPr>
                <w:rFonts w:hint="eastAsia"/>
                <w:kern w:val="0"/>
                <w:sz w:val="24"/>
              </w:rPr>
            </w:pPr>
            <w:r>
              <w:rPr>
                <w:rFonts w:hint="eastAsia"/>
                <w:b/>
                <w:bCs/>
                <w:kern w:val="0"/>
                <w:sz w:val="24"/>
              </w:rPr>
              <w:t>规划情况</w:t>
            </w:r>
          </w:p>
        </w:tc>
        <w:tc>
          <w:tcPr>
            <w:tcW w:w="7593" w:type="dxa"/>
            <w:gridSpan w:val="4"/>
            <w:noWrap w:val="0"/>
            <w:vAlign w:val="center"/>
          </w:tcPr>
          <w:p w14:paraId="725A0A52">
            <w:pPr>
              <w:keepNext w:val="0"/>
              <w:keepLines w:val="0"/>
              <w:pageBreakBefore w:val="0"/>
              <w:widowControl w:val="0"/>
              <w:kinsoku/>
              <w:wordWrap w:val="0"/>
              <w:overflowPunct/>
              <w:topLinePunct w:val="0"/>
              <w:autoSpaceDE w:val="0"/>
              <w:autoSpaceDN w:val="0"/>
              <w:bidi w:val="0"/>
              <w:adjustRightInd/>
              <w:snapToGrid/>
              <w:spacing w:line="360" w:lineRule="auto"/>
              <w:ind w:left="0" w:leftChars="0" w:right="0" w:rightChars="0" w:firstLine="482" w:firstLineChars="200"/>
              <w:jc w:val="both"/>
              <w:textAlignment w:val="auto"/>
              <w:rPr>
                <w:rFonts w:hint="eastAsia" w:eastAsia="宋体"/>
                <w:kern w:val="0"/>
                <w:sz w:val="24"/>
                <w:lang w:eastAsia="zh-CN"/>
              </w:rPr>
            </w:pPr>
            <w:r>
              <w:rPr>
                <w:rFonts w:hint="eastAsia" w:eastAsia="宋体"/>
                <w:b/>
                <w:bCs/>
                <w:kern w:val="0"/>
                <w:sz w:val="24"/>
                <w:lang w:eastAsia="zh-CN"/>
              </w:rPr>
              <w:t>规划名称：</w:t>
            </w:r>
            <w:r>
              <w:rPr>
                <w:rFonts w:hint="eastAsia" w:eastAsia="宋体"/>
                <w:kern w:val="0"/>
                <w:sz w:val="24"/>
                <w:lang w:eastAsia="zh-CN"/>
              </w:rPr>
              <w:t>《达州市通川区东岳新型工业集聚区规划》</w:t>
            </w:r>
          </w:p>
          <w:p w14:paraId="329E965C">
            <w:pPr>
              <w:keepNext w:val="0"/>
              <w:keepLines w:val="0"/>
              <w:pageBreakBefore w:val="0"/>
              <w:widowControl w:val="0"/>
              <w:kinsoku/>
              <w:wordWrap w:val="0"/>
              <w:overflowPunct/>
              <w:topLinePunct w:val="0"/>
              <w:autoSpaceDE w:val="0"/>
              <w:autoSpaceDN w:val="0"/>
              <w:bidi w:val="0"/>
              <w:adjustRightInd/>
              <w:snapToGrid/>
              <w:spacing w:line="360" w:lineRule="auto"/>
              <w:ind w:left="0" w:leftChars="0" w:right="0" w:rightChars="0" w:firstLine="482" w:firstLineChars="200"/>
              <w:jc w:val="both"/>
              <w:textAlignment w:val="auto"/>
              <w:rPr>
                <w:rFonts w:hint="eastAsia" w:eastAsia="宋体"/>
                <w:kern w:val="0"/>
                <w:sz w:val="24"/>
                <w:lang w:eastAsia="zh-CN"/>
              </w:rPr>
            </w:pPr>
            <w:r>
              <w:rPr>
                <w:rFonts w:hint="eastAsia" w:eastAsia="宋体"/>
                <w:b/>
                <w:bCs/>
                <w:kern w:val="0"/>
                <w:sz w:val="24"/>
                <w:lang w:eastAsia="zh-CN"/>
              </w:rPr>
              <w:t>规划区范围：</w:t>
            </w:r>
            <w:r>
              <w:rPr>
                <w:rFonts w:hint="eastAsia" w:eastAsia="宋体"/>
                <w:kern w:val="0"/>
                <w:sz w:val="24"/>
                <w:lang w:eastAsia="zh-CN"/>
              </w:rPr>
              <w:t>东以达州市环城高速为界，北至魏兴接壤处，西至襄渝铁路复线以东，南至双龙镇接壤处，规划面积7.34km</w:t>
            </w:r>
            <w:r>
              <w:rPr>
                <w:rFonts w:hint="eastAsia" w:eastAsia="宋体"/>
                <w:kern w:val="0"/>
                <w:sz w:val="24"/>
                <w:vertAlign w:val="superscript"/>
                <w:lang w:eastAsia="zh-CN"/>
              </w:rPr>
              <w:t>2</w:t>
            </w:r>
            <w:r>
              <w:rPr>
                <w:rFonts w:hint="eastAsia" w:eastAsia="宋体"/>
                <w:kern w:val="0"/>
                <w:sz w:val="24"/>
                <w:lang w:eastAsia="zh-CN"/>
              </w:rPr>
              <w:t>。</w:t>
            </w:r>
          </w:p>
          <w:p w14:paraId="74DEE716">
            <w:pPr>
              <w:keepNext w:val="0"/>
              <w:keepLines w:val="0"/>
              <w:pageBreakBefore w:val="0"/>
              <w:widowControl w:val="0"/>
              <w:kinsoku/>
              <w:wordWrap w:val="0"/>
              <w:overflowPunct/>
              <w:topLinePunct w:val="0"/>
              <w:autoSpaceDE w:val="0"/>
              <w:autoSpaceDN w:val="0"/>
              <w:bidi w:val="0"/>
              <w:adjustRightInd/>
              <w:snapToGrid/>
              <w:spacing w:line="360" w:lineRule="auto"/>
              <w:ind w:left="0" w:leftChars="0" w:right="0" w:rightChars="0" w:firstLine="482" w:firstLineChars="200"/>
              <w:jc w:val="both"/>
              <w:textAlignment w:val="auto"/>
              <w:rPr>
                <w:rFonts w:hint="eastAsia" w:eastAsia="宋体"/>
                <w:kern w:val="0"/>
                <w:sz w:val="24"/>
                <w:lang w:eastAsia="zh-CN"/>
              </w:rPr>
            </w:pPr>
            <w:r>
              <w:rPr>
                <w:rFonts w:hint="eastAsia" w:eastAsia="宋体"/>
                <w:b/>
                <w:bCs/>
                <w:kern w:val="0"/>
                <w:sz w:val="24"/>
                <w:lang w:eastAsia="zh-CN"/>
              </w:rPr>
              <w:t>规划期限：</w:t>
            </w:r>
            <w:r>
              <w:rPr>
                <w:rFonts w:hint="eastAsia" w:eastAsia="宋体"/>
                <w:kern w:val="0"/>
                <w:sz w:val="24"/>
                <w:lang w:eastAsia="zh-CN"/>
              </w:rPr>
              <w:t>近期建设（2014-2020年）、远期建设（2021-2030年）</w:t>
            </w:r>
          </w:p>
          <w:p w14:paraId="2E1C1998">
            <w:pPr>
              <w:keepNext w:val="0"/>
              <w:keepLines w:val="0"/>
              <w:pageBreakBefore w:val="0"/>
              <w:widowControl w:val="0"/>
              <w:kinsoku/>
              <w:wordWrap w:val="0"/>
              <w:overflowPunct/>
              <w:topLinePunct w:val="0"/>
              <w:autoSpaceDE w:val="0"/>
              <w:autoSpaceDN w:val="0"/>
              <w:bidi w:val="0"/>
              <w:adjustRightInd/>
              <w:snapToGrid/>
              <w:spacing w:line="360" w:lineRule="auto"/>
              <w:ind w:left="0" w:leftChars="0" w:right="0" w:rightChars="0" w:firstLine="482" w:firstLineChars="200"/>
              <w:jc w:val="both"/>
              <w:textAlignment w:val="auto"/>
              <w:rPr>
                <w:rFonts w:hint="eastAsia" w:eastAsia="宋体"/>
                <w:kern w:val="0"/>
                <w:sz w:val="24"/>
                <w:lang w:eastAsia="zh-CN"/>
              </w:rPr>
            </w:pPr>
            <w:r>
              <w:rPr>
                <w:rFonts w:hint="eastAsia" w:eastAsia="宋体"/>
                <w:b/>
                <w:bCs/>
                <w:kern w:val="0"/>
                <w:sz w:val="24"/>
                <w:lang w:eastAsia="zh-CN"/>
              </w:rPr>
              <w:t>功能定位：</w:t>
            </w:r>
            <w:r>
              <w:rPr>
                <w:rFonts w:hint="eastAsia" w:eastAsia="宋体"/>
                <w:kern w:val="0"/>
                <w:sz w:val="24"/>
                <w:lang w:eastAsia="zh-CN"/>
              </w:rPr>
              <w:t>达州市通川区东岳新型工业集聚区定位发展成以轻工电子、新材料、节能环保、机械制造产业为主导，同时承接部分传统产业退城进郊的新型工业集聚区。</w:t>
            </w:r>
          </w:p>
        </w:tc>
      </w:tr>
      <w:tr w14:paraId="68C453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6" w:type="dxa"/>
            <w:bottom w:w="0" w:type="dxa"/>
            <w:right w:w="6" w:type="dxa"/>
          </w:tblCellMar>
        </w:tblPrEx>
        <w:trPr>
          <w:trHeight w:val="90" w:hRule="atLeast"/>
          <w:jc w:val="center"/>
        </w:trPr>
        <w:tc>
          <w:tcPr>
            <w:tcW w:w="1212" w:type="dxa"/>
            <w:noWrap w:val="0"/>
            <w:vAlign w:val="center"/>
          </w:tcPr>
          <w:p w14:paraId="0F39EF23">
            <w:pPr>
              <w:wordWrap w:val="0"/>
              <w:autoSpaceDE w:val="0"/>
              <w:autoSpaceDN w:val="0"/>
              <w:ind w:left="63" w:leftChars="30" w:right="63" w:rightChars="30"/>
              <w:jc w:val="center"/>
              <w:rPr>
                <w:rFonts w:hint="eastAsia"/>
                <w:kern w:val="0"/>
                <w:sz w:val="24"/>
              </w:rPr>
            </w:pPr>
            <w:r>
              <w:rPr>
                <w:rFonts w:hint="eastAsia"/>
                <w:b/>
                <w:bCs/>
                <w:kern w:val="0"/>
                <w:sz w:val="24"/>
              </w:rPr>
              <w:t>规划环境影响评价情况</w:t>
            </w:r>
          </w:p>
        </w:tc>
        <w:tc>
          <w:tcPr>
            <w:tcW w:w="7593" w:type="dxa"/>
            <w:gridSpan w:val="4"/>
            <w:noWrap w:val="0"/>
            <w:vAlign w:val="center"/>
          </w:tcPr>
          <w:p w14:paraId="11650838">
            <w:pPr>
              <w:keepNext w:val="0"/>
              <w:keepLines w:val="0"/>
              <w:pageBreakBefore w:val="0"/>
              <w:widowControl/>
              <w:kinsoku/>
              <w:wordWrap w:val="0"/>
              <w:overflowPunct/>
              <w:topLinePunct w:val="0"/>
              <w:autoSpaceDE/>
              <w:autoSpaceDN/>
              <w:bidi w:val="0"/>
              <w:adjustRightInd/>
              <w:snapToGrid/>
              <w:spacing w:line="360" w:lineRule="auto"/>
              <w:ind w:right="0" w:rightChars="0" w:firstLine="482" w:firstLineChars="200"/>
              <w:jc w:val="both"/>
              <w:textAlignment w:val="auto"/>
              <w:rPr>
                <w:rFonts w:hint="eastAsia" w:eastAsia="宋体"/>
                <w:kern w:val="0"/>
                <w:sz w:val="24"/>
                <w:lang w:val="en-US" w:eastAsia="zh-CN"/>
              </w:rPr>
            </w:pPr>
            <w:r>
              <w:rPr>
                <w:rFonts w:hint="eastAsia" w:eastAsia="宋体"/>
                <w:b/>
                <w:bCs/>
                <w:kern w:val="0"/>
                <w:sz w:val="24"/>
                <w:lang w:val="en-US" w:eastAsia="zh-CN"/>
              </w:rPr>
              <w:t>规划环境影响评价文件名称：</w:t>
            </w:r>
            <w:r>
              <w:rPr>
                <w:rFonts w:hint="eastAsia" w:eastAsia="宋体"/>
                <w:kern w:val="0"/>
                <w:sz w:val="24"/>
                <w:lang w:val="en-US" w:eastAsia="zh-CN"/>
              </w:rPr>
              <w:t>《达州市通川区东岳新型工业聚集区规划环境影响报告书》</w:t>
            </w:r>
          </w:p>
          <w:p w14:paraId="668CDEFC">
            <w:pPr>
              <w:keepNext w:val="0"/>
              <w:keepLines w:val="0"/>
              <w:pageBreakBefore w:val="0"/>
              <w:widowControl/>
              <w:kinsoku/>
              <w:wordWrap w:val="0"/>
              <w:overflowPunct/>
              <w:topLinePunct w:val="0"/>
              <w:autoSpaceDE/>
              <w:autoSpaceDN/>
              <w:bidi w:val="0"/>
              <w:adjustRightInd/>
              <w:snapToGrid/>
              <w:spacing w:line="360" w:lineRule="auto"/>
              <w:ind w:right="0" w:rightChars="0" w:firstLine="482" w:firstLineChars="200"/>
              <w:jc w:val="both"/>
              <w:textAlignment w:val="auto"/>
              <w:rPr>
                <w:rFonts w:hint="eastAsia" w:eastAsia="宋体"/>
                <w:kern w:val="0"/>
                <w:sz w:val="24"/>
                <w:lang w:val="en-US" w:eastAsia="zh-CN"/>
              </w:rPr>
            </w:pPr>
            <w:r>
              <w:rPr>
                <w:rFonts w:hint="eastAsia" w:eastAsia="宋体"/>
                <w:b/>
                <w:bCs/>
                <w:kern w:val="0"/>
                <w:sz w:val="24"/>
                <w:lang w:val="en-US" w:eastAsia="zh-CN"/>
              </w:rPr>
              <w:t>审查机关：</w:t>
            </w:r>
            <w:r>
              <w:rPr>
                <w:rFonts w:hint="eastAsia" w:eastAsia="宋体"/>
                <w:kern w:val="0"/>
                <w:sz w:val="24"/>
                <w:lang w:val="en-US" w:eastAsia="zh-CN"/>
              </w:rPr>
              <w:t>达州市通川区环境保护局</w:t>
            </w:r>
            <w:r>
              <w:rPr>
                <w:rFonts w:hint="eastAsia"/>
                <w:kern w:val="0"/>
                <w:sz w:val="24"/>
                <w:lang w:val="en-US" w:eastAsia="zh-CN"/>
              </w:rPr>
              <w:t>（现已更名为达州市通川生态环境局）</w:t>
            </w:r>
          </w:p>
          <w:p w14:paraId="50A404FC">
            <w:pPr>
              <w:keepNext w:val="0"/>
              <w:keepLines w:val="0"/>
              <w:pageBreakBefore w:val="0"/>
              <w:widowControl/>
              <w:kinsoku/>
              <w:wordWrap w:val="0"/>
              <w:overflowPunct/>
              <w:topLinePunct w:val="0"/>
              <w:autoSpaceDE/>
              <w:autoSpaceDN/>
              <w:bidi w:val="0"/>
              <w:adjustRightInd/>
              <w:snapToGrid/>
              <w:spacing w:line="360" w:lineRule="auto"/>
              <w:ind w:right="0" w:rightChars="0" w:firstLine="482" w:firstLineChars="200"/>
              <w:jc w:val="both"/>
              <w:textAlignment w:val="auto"/>
              <w:rPr>
                <w:rFonts w:hint="eastAsia" w:eastAsia="宋体"/>
                <w:kern w:val="0"/>
                <w:sz w:val="24"/>
                <w:lang w:val="en-US" w:eastAsia="zh-CN"/>
              </w:rPr>
            </w:pPr>
            <w:r>
              <w:rPr>
                <w:rFonts w:hint="eastAsia" w:eastAsia="宋体"/>
                <w:b/>
                <w:bCs/>
                <w:kern w:val="0"/>
                <w:sz w:val="24"/>
                <w:lang w:val="en-US" w:eastAsia="zh-CN"/>
              </w:rPr>
              <w:t>审查文件名称及文号：</w:t>
            </w:r>
            <w:r>
              <w:rPr>
                <w:rFonts w:hint="eastAsia" w:eastAsia="宋体"/>
                <w:kern w:val="0"/>
                <w:sz w:val="24"/>
                <w:lang w:val="en-US" w:eastAsia="zh-CN"/>
              </w:rPr>
              <w:t>《关于&lt;达州市通川区东岳新型工业聚集区规划环境影响报告书&gt;审查意见的函》（通区环函【2015】122号）</w:t>
            </w:r>
          </w:p>
        </w:tc>
      </w:tr>
      <w:tr w14:paraId="090CB2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6" w:type="dxa"/>
            <w:bottom w:w="0" w:type="dxa"/>
            <w:right w:w="6" w:type="dxa"/>
          </w:tblCellMar>
        </w:tblPrEx>
        <w:trPr>
          <w:trHeight w:val="90" w:hRule="atLeast"/>
          <w:jc w:val="center"/>
        </w:trPr>
        <w:tc>
          <w:tcPr>
            <w:tcW w:w="1212" w:type="dxa"/>
            <w:noWrap w:val="0"/>
            <w:vAlign w:val="center"/>
          </w:tcPr>
          <w:p w14:paraId="3D91F41D">
            <w:pPr>
              <w:wordWrap w:val="0"/>
              <w:ind w:left="63" w:leftChars="30" w:right="63" w:rightChars="30"/>
              <w:jc w:val="center"/>
              <w:outlineLvl w:val="1"/>
              <w:rPr>
                <w:b/>
                <w:sz w:val="24"/>
              </w:rPr>
            </w:pPr>
            <w:r>
              <w:rPr>
                <w:b/>
                <w:sz w:val="24"/>
              </w:rPr>
              <w:t>规划及规划环境影响评价符合性分析</w:t>
            </w:r>
          </w:p>
        </w:tc>
        <w:tc>
          <w:tcPr>
            <w:tcW w:w="7593" w:type="dxa"/>
            <w:gridSpan w:val="4"/>
            <w:noWrap w:val="0"/>
            <w:vAlign w:val="center"/>
          </w:tcPr>
          <w:p w14:paraId="25C255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1、项目用地符合性分析</w:t>
            </w:r>
          </w:p>
          <w:p w14:paraId="1E218F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本项目选址位于达州市通川区东岳镇有力村九组，</w:t>
            </w:r>
            <w:r>
              <w:rPr>
                <w:rFonts w:hint="eastAsia" w:cs="Times New Roman"/>
                <w:sz w:val="24"/>
                <w:szCs w:val="24"/>
                <w:lang w:val="en-US" w:eastAsia="zh-CN"/>
              </w:rPr>
              <w:t>在原项目用地范围内进行改扩建，不新增占地，</w:t>
            </w:r>
            <w:r>
              <w:rPr>
                <w:rFonts w:hint="default" w:ascii="Times New Roman" w:hAnsi="Times New Roman" w:eastAsia="宋体" w:cs="Times New Roman"/>
                <w:sz w:val="24"/>
                <w:szCs w:val="24"/>
                <w:lang w:val="en-US" w:eastAsia="zh-CN"/>
              </w:rPr>
              <w:t>根据</w:t>
            </w:r>
            <w:r>
              <w:rPr>
                <w:rFonts w:hint="eastAsia" w:cs="Times New Roman"/>
                <w:sz w:val="24"/>
                <w:szCs w:val="24"/>
                <w:lang w:val="en-US" w:eastAsia="zh-CN"/>
              </w:rPr>
              <w:t>《达州市通川区城乡规划编制中心关于环保节能公路新材料生产示范基地项预选址意见的函》（通区规编函【2021】150号）及</w:t>
            </w:r>
            <w:r>
              <w:rPr>
                <w:rFonts w:hint="default" w:ascii="Times New Roman" w:hAnsi="Times New Roman" w:eastAsia="宋体" w:cs="Times New Roman"/>
                <w:sz w:val="24"/>
                <w:szCs w:val="24"/>
                <w:lang w:val="en-US" w:eastAsia="zh-CN"/>
              </w:rPr>
              <w:t>《达州市通川区东岳新型工业聚集区控制性详细规划图》，项目所在地块规划为工业用地，本项目的建设不改变该地块的使用性质，符合</w:t>
            </w:r>
            <w:r>
              <w:rPr>
                <w:rFonts w:hint="eastAsia" w:cs="Times New Roman"/>
                <w:sz w:val="24"/>
                <w:szCs w:val="24"/>
                <w:lang w:val="en-US" w:eastAsia="zh-CN"/>
              </w:rPr>
              <w:t>达州市通川区</w:t>
            </w:r>
            <w:r>
              <w:rPr>
                <w:rFonts w:hint="default" w:ascii="Times New Roman" w:hAnsi="Times New Roman" w:eastAsia="宋体" w:cs="Times New Roman"/>
                <w:sz w:val="24"/>
                <w:szCs w:val="24"/>
                <w:lang w:val="en-US" w:eastAsia="zh-CN"/>
              </w:rPr>
              <w:t>现行的土地利用规划。</w:t>
            </w:r>
          </w:p>
          <w:p w14:paraId="48CE0F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同时，根据</w:t>
            </w:r>
            <w:r>
              <w:rPr>
                <w:rFonts w:hint="eastAsia" w:cs="Times New Roman"/>
                <w:sz w:val="24"/>
                <w:szCs w:val="24"/>
                <w:lang w:val="en-US" w:eastAsia="zh-CN"/>
              </w:rPr>
              <w:t>《自然资源要素支撑产业高质量发展指导目录（2024年本）》</w:t>
            </w:r>
            <w:r>
              <w:rPr>
                <w:rFonts w:hint="default" w:ascii="Times New Roman" w:hAnsi="Times New Roman" w:eastAsia="宋体" w:cs="Times New Roman"/>
                <w:sz w:val="24"/>
                <w:szCs w:val="24"/>
                <w:lang w:val="en-US" w:eastAsia="zh-CN"/>
              </w:rPr>
              <w:t>，本项目不属于限制用地和禁止用地项目</w:t>
            </w:r>
            <w:r>
              <w:rPr>
                <w:rFonts w:hint="eastAsia" w:cs="Times New Roman"/>
                <w:sz w:val="24"/>
                <w:szCs w:val="24"/>
                <w:lang w:val="en-US" w:eastAsia="zh-CN"/>
              </w:rPr>
              <w:t>，为允许类</w:t>
            </w:r>
            <w:r>
              <w:rPr>
                <w:rFonts w:hint="default" w:ascii="Times New Roman" w:hAnsi="Times New Roman" w:eastAsia="宋体" w:cs="Times New Roman"/>
                <w:sz w:val="24"/>
                <w:szCs w:val="24"/>
                <w:lang w:val="en-US" w:eastAsia="zh-CN"/>
              </w:rPr>
              <w:t>。</w:t>
            </w:r>
          </w:p>
          <w:p w14:paraId="1FDEDE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因此本项目符合</w:t>
            </w:r>
            <w:r>
              <w:rPr>
                <w:rFonts w:hint="eastAsia" w:cs="Times New Roman"/>
                <w:b/>
                <w:bCs/>
                <w:sz w:val="24"/>
                <w:szCs w:val="24"/>
                <w:lang w:val="en-US" w:eastAsia="zh-CN"/>
              </w:rPr>
              <w:t>达州市通川区</w:t>
            </w:r>
            <w:r>
              <w:rPr>
                <w:rFonts w:hint="default" w:ascii="Times New Roman" w:hAnsi="Times New Roman" w:eastAsia="宋体" w:cs="Times New Roman"/>
                <w:b/>
                <w:bCs/>
                <w:sz w:val="24"/>
                <w:szCs w:val="24"/>
                <w:lang w:val="en-US" w:eastAsia="zh-CN"/>
              </w:rPr>
              <w:t>土地利用规划，用地合法。</w:t>
            </w:r>
          </w:p>
          <w:p w14:paraId="3B61CC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2、与园区规划环评及审查意见的符合性分析</w:t>
            </w:r>
          </w:p>
          <w:p w14:paraId="12A036C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达州市通川区东岳新型工业集聚区规划区范围：东以达州市环城高速为界，北至魏兴接壤处，西至襄渝铁路复线以东，南至双龙镇接壤处，规划面积7.34km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w:t>
            </w:r>
          </w:p>
          <w:p w14:paraId="4A48E1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《达州市通川区东岳新型工业集聚区规划环境影响报告书》于2015年取得了原达州市通川区环境保护局的环评批复（通区环函</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2015</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122号，详见附件）。根据规划及规划环评，本项目的建设与其符合性分析如下：</w:t>
            </w:r>
          </w:p>
          <w:p w14:paraId="3C344B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规划区功能定位：</w:t>
            </w:r>
            <w:r>
              <w:rPr>
                <w:rFonts w:hint="default" w:ascii="Times New Roman" w:hAnsi="Times New Roman" w:eastAsia="宋体" w:cs="Times New Roman"/>
                <w:sz w:val="24"/>
                <w:szCs w:val="24"/>
                <w:lang w:val="en-US" w:eastAsia="zh-CN"/>
              </w:rPr>
              <w:t>达州市通川区东岳新型工业集聚区定位发展成以轻工电子、新材料、节能环保、机械制造产业为主导，同时承接部分传统产业退城进郊的新型工业集聚区。</w:t>
            </w:r>
          </w:p>
          <w:p w14:paraId="02F4BAC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根据规划及规划环评，工业集聚区鼓励和限制入驻企业类型如下：</w:t>
            </w:r>
          </w:p>
          <w:p w14:paraId="3E5B82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1）禁止及限制类企业</w:t>
            </w:r>
          </w:p>
          <w:p w14:paraId="4E959D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禁止引进不符合国家产业政策、不满足行业准入条件的项目。</w:t>
            </w:r>
          </w:p>
          <w:p w14:paraId="3E8D2B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禁止引进对水环境影响严重的工业企业，如：屠宰、电镀、制革、洗选、印染、含发酵工艺的生物制药等对水环境污染重的企业；禁止引进对大气环境影响严重的工业企业：电石、冶炼、焦化、煤化工、黄磷等对大气环境污染重的企业；以及其他重污染工业企业。</w:t>
            </w:r>
          </w:p>
          <w:p w14:paraId="5B5F8C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禁止引进技术落后，项目清洁生产水平不能达到行业清洁生产标准二级标准要求或低于全国同类企业平均污渍生产水平的项目。</w:t>
            </w:r>
          </w:p>
          <w:p w14:paraId="7BDF10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禁止引进与园区主导产业不相容的项目。</w:t>
            </w:r>
          </w:p>
          <w:p w14:paraId="6D816E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2）鼓励类企业</w:t>
            </w:r>
          </w:p>
          <w:p w14:paraId="7D217D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在用水、节水、排水设计等方面达到国内先进水平；清洁生产标准达到过优于国家先进水平的项目；轻工电子、新材料、节能环保、机械制造等产业符合现行国家产业政策行业，符合规划区规划产业，企业效益明显，对区域不造成明显污染，遵循清洁生产及循环经济的项目。</w:t>
            </w:r>
          </w:p>
          <w:p w14:paraId="6EF1FF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3）允许类企业</w:t>
            </w:r>
          </w:p>
          <w:p w14:paraId="759C0F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不排斥与区域或各产业片区主业不相禁忌和不形成交叉影响的企业入驻。</w:t>
            </w:r>
          </w:p>
          <w:p w14:paraId="0C0DB7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4）清洁生产门槛</w:t>
            </w:r>
          </w:p>
          <w:p w14:paraId="06357A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入园企业必须采用国际、国内先进水平的生产工艺、设备及污染治理技术，物耗、能耗、水耗等至少应达到相应行业的清洁生产水平二级或国内先进水平。</w:t>
            </w:r>
          </w:p>
          <w:p w14:paraId="7E3D3B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根据园区功能分区图</w:t>
            </w:r>
            <w:r>
              <w:rPr>
                <w:rFonts w:hint="default" w:ascii="Times New Roman" w:hAnsi="Times New Roman" w:eastAsia="宋体" w:cs="Times New Roman"/>
                <w:sz w:val="24"/>
                <w:szCs w:val="24"/>
                <w:highlight w:val="none"/>
                <w:lang w:val="en-US" w:eastAsia="zh-CN"/>
              </w:rPr>
              <w:t>（见附图</w:t>
            </w:r>
            <w:r>
              <w:rPr>
                <w:rFonts w:hint="eastAsia" w:cs="Times New Roman"/>
                <w:sz w:val="24"/>
                <w:szCs w:val="24"/>
                <w:highlight w:val="none"/>
                <w:lang w:val="en-US" w:eastAsia="zh-CN"/>
              </w:rPr>
              <w:t>7</w:t>
            </w:r>
            <w:r>
              <w:rPr>
                <w:rFonts w:hint="default"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lang w:val="en-US" w:eastAsia="zh-CN"/>
              </w:rPr>
              <w:t>，本项目位于规划的综合工业区</w:t>
            </w:r>
            <w:r>
              <w:rPr>
                <w:rFonts w:hint="eastAsia" w:cs="Times New Roman"/>
                <w:sz w:val="24"/>
                <w:szCs w:val="24"/>
                <w:lang w:val="en-US" w:eastAsia="zh-CN"/>
              </w:rPr>
              <w:t>内，</w:t>
            </w:r>
            <w:r>
              <w:rPr>
                <w:rFonts w:hint="default" w:ascii="Times New Roman" w:hAnsi="Times New Roman" w:eastAsia="宋体" w:cs="Times New Roman"/>
                <w:sz w:val="24"/>
                <w:szCs w:val="24"/>
                <w:lang w:val="en-US" w:eastAsia="zh-CN"/>
              </w:rPr>
              <w:t>本项目主要生产</w:t>
            </w:r>
            <w:r>
              <w:rPr>
                <w:rFonts w:hint="eastAsia" w:cs="Times New Roman"/>
                <w:sz w:val="24"/>
                <w:szCs w:val="24"/>
                <w:lang w:val="en-US" w:eastAsia="zh-CN"/>
              </w:rPr>
              <w:t>普通沥青混凝土、热再生沥青混凝土、乳化沥青及煤粉</w:t>
            </w:r>
            <w:r>
              <w:rPr>
                <w:rFonts w:hint="default" w:ascii="Times New Roman" w:hAnsi="Times New Roman" w:eastAsia="宋体" w:cs="Times New Roman"/>
                <w:sz w:val="24"/>
                <w:szCs w:val="24"/>
                <w:lang w:val="en-US" w:eastAsia="zh-CN"/>
              </w:rPr>
              <w:t>，不属于园区禁止及限制引入类企业，本项目符合国家现行产业政策，采用天然气作为燃料，属于清洁能源，通过采取环评提出的各项治理措施后，对区域不造成明显污染，属于允许入园企业，因此，本项目的建设与园区行业准入要求及功能分区相符，符合园区规划。</w:t>
            </w:r>
          </w:p>
        </w:tc>
      </w:tr>
      <w:tr w14:paraId="7840A6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6" w:type="dxa"/>
            <w:bottom w:w="0" w:type="dxa"/>
            <w:right w:w="6" w:type="dxa"/>
          </w:tblCellMar>
        </w:tblPrEx>
        <w:trPr>
          <w:trHeight w:val="90" w:hRule="atLeast"/>
          <w:jc w:val="center"/>
        </w:trPr>
        <w:tc>
          <w:tcPr>
            <w:tcW w:w="1212" w:type="dxa"/>
            <w:noWrap w:val="0"/>
            <w:vAlign w:val="center"/>
          </w:tcPr>
          <w:p w14:paraId="6ED9C0B1">
            <w:pPr>
              <w:wordWrap w:val="0"/>
              <w:ind w:left="63" w:leftChars="30" w:right="63" w:rightChars="30"/>
              <w:jc w:val="center"/>
              <w:outlineLvl w:val="1"/>
              <w:rPr>
                <w:b/>
                <w:sz w:val="24"/>
              </w:rPr>
            </w:pPr>
            <w:r>
              <w:rPr>
                <w:b/>
                <w:sz w:val="24"/>
              </w:rPr>
              <w:t>其他符合性分析</w:t>
            </w:r>
          </w:p>
        </w:tc>
        <w:tc>
          <w:tcPr>
            <w:tcW w:w="7593" w:type="dxa"/>
            <w:gridSpan w:val="4"/>
            <w:tcBorders>
              <w:bottom w:val="single" w:color="auto" w:sz="8" w:space="0"/>
            </w:tcBorders>
            <w:noWrap w:val="0"/>
            <w:vAlign w:val="center"/>
          </w:tcPr>
          <w:p w14:paraId="73D11021">
            <w:pPr>
              <w:keepNext w:val="0"/>
              <w:keepLines w:val="0"/>
              <w:pageBreakBefore w:val="0"/>
              <w:kinsoku/>
              <w:wordWrap w:val="0"/>
              <w:overflowPunct/>
              <w:topLinePunct w:val="0"/>
              <w:autoSpaceDE w:val="0"/>
              <w:autoSpaceDN w:val="0"/>
              <w:bidi w:val="0"/>
              <w:adjustRightInd/>
              <w:snapToGrid/>
              <w:spacing w:line="360" w:lineRule="auto"/>
              <w:ind w:left="0" w:leftChars="0" w:right="0" w:rightChars="0" w:firstLine="482" w:firstLineChars="200"/>
              <w:textAlignment w:val="auto"/>
              <w:rPr>
                <w:rFonts w:hint="default" w:ascii="Times New Roman" w:hAnsi="Times New Roman" w:eastAsia="宋体" w:cs="Times New Roman"/>
                <w:b/>
                <w:sz w:val="24"/>
                <w:szCs w:val="28"/>
              </w:rPr>
            </w:pPr>
            <w:r>
              <w:rPr>
                <w:rFonts w:hint="default" w:ascii="Times New Roman" w:hAnsi="Times New Roman" w:eastAsia="宋体" w:cs="Times New Roman"/>
                <w:b/>
                <w:sz w:val="24"/>
                <w:szCs w:val="28"/>
              </w:rPr>
              <w:t>1、产业政策符合性分析</w:t>
            </w:r>
          </w:p>
          <w:p w14:paraId="72E2A8A6">
            <w:pPr>
              <w:keepNext w:val="0"/>
              <w:keepLines w:val="0"/>
              <w:pageBreakBefore w:val="0"/>
              <w:widowControl/>
              <w:kinsoku/>
              <w:wordWrap w:val="0"/>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根据《国民经济行业分类》（GB/T4754-2017），本项目属于“制造业”中的煤制品制造</w:t>
            </w:r>
            <w:r>
              <w:rPr>
                <w:rFonts w:hint="eastAsia" w:cs="Times New Roman"/>
                <w:kern w:val="0"/>
                <w:sz w:val="24"/>
                <w:lang w:eastAsia="zh-CN"/>
              </w:rPr>
              <w:t>（</w:t>
            </w:r>
            <w:r>
              <w:rPr>
                <w:rFonts w:hint="default" w:ascii="Times New Roman" w:hAnsi="Times New Roman" w:eastAsia="宋体" w:cs="Times New Roman"/>
                <w:kern w:val="0"/>
                <w:sz w:val="24"/>
              </w:rPr>
              <w:t>行业代码为C</w:t>
            </w:r>
            <w:r>
              <w:rPr>
                <w:rFonts w:hint="eastAsia" w:ascii="Times New Roman" w:hAnsi="Times New Roman" w:eastAsia="宋体" w:cs="Times New Roman"/>
                <w:kern w:val="0"/>
                <w:sz w:val="24"/>
                <w:lang w:val="en-US" w:eastAsia="zh-CN"/>
              </w:rPr>
              <w:t>2</w:t>
            </w:r>
            <w:r>
              <w:rPr>
                <w:rFonts w:hint="eastAsia" w:cs="Times New Roman"/>
                <w:kern w:val="0"/>
                <w:sz w:val="24"/>
                <w:lang w:val="en-US" w:eastAsia="zh-CN"/>
              </w:rPr>
              <w:t>524</w:t>
            </w:r>
            <w:r>
              <w:rPr>
                <w:rFonts w:hint="eastAsia" w:cs="Times New Roman"/>
                <w:kern w:val="0"/>
                <w:sz w:val="24"/>
                <w:lang w:eastAsia="zh-CN"/>
              </w:rPr>
              <w:t>）</w:t>
            </w:r>
            <w:r>
              <w:rPr>
                <w:rFonts w:hint="eastAsia" w:cs="Times New Roman"/>
                <w:kern w:val="0"/>
                <w:sz w:val="24"/>
                <w:lang w:val="en-US" w:eastAsia="zh-CN"/>
              </w:rPr>
              <w:t>及</w:t>
            </w:r>
            <w:r>
              <w:rPr>
                <w:rFonts w:hint="default" w:ascii="Times New Roman" w:hAnsi="Times New Roman" w:eastAsia="宋体" w:cs="Times New Roman"/>
                <w:kern w:val="0"/>
                <w:sz w:val="24"/>
              </w:rPr>
              <w:t>其他非金属矿物制品制造</w:t>
            </w:r>
            <w:r>
              <w:rPr>
                <w:rFonts w:hint="eastAsia" w:cs="Times New Roman"/>
                <w:kern w:val="0"/>
                <w:sz w:val="24"/>
                <w:lang w:eastAsia="zh-CN"/>
              </w:rPr>
              <w:t>（</w:t>
            </w:r>
            <w:r>
              <w:rPr>
                <w:rFonts w:hint="default" w:ascii="Times New Roman" w:hAnsi="Times New Roman" w:eastAsia="宋体" w:cs="Times New Roman"/>
                <w:kern w:val="0"/>
                <w:sz w:val="24"/>
              </w:rPr>
              <w:t>行业代码为C3099</w:t>
            </w:r>
            <w:r>
              <w:rPr>
                <w:rFonts w:hint="eastAsia" w:cs="Times New Roman"/>
                <w:kern w:val="0"/>
                <w:sz w:val="24"/>
                <w:lang w:eastAsia="zh-CN"/>
              </w:rPr>
              <w:t>）</w:t>
            </w:r>
            <w:r>
              <w:rPr>
                <w:rFonts w:hint="default" w:ascii="Times New Roman" w:hAnsi="Times New Roman" w:eastAsia="宋体" w:cs="Times New Roman"/>
                <w:kern w:val="0"/>
                <w:sz w:val="24"/>
              </w:rPr>
              <w:t>。</w:t>
            </w:r>
          </w:p>
          <w:p w14:paraId="6BFDE201">
            <w:pPr>
              <w:keepNext w:val="0"/>
              <w:keepLines w:val="0"/>
              <w:pageBreakBefore w:val="0"/>
              <w:kinsoku/>
              <w:wordWrap w:val="0"/>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根据《产业结构调整指导目录（20</w:t>
            </w:r>
            <w:r>
              <w:rPr>
                <w:rFonts w:hint="eastAsia" w:ascii="Times New Roman" w:hAnsi="Times New Roman" w:eastAsia="宋体" w:cs="Times New Roman"/>
                <w:kern w:val="0"/>
                <w:sz w:val="24"/>
                <w:lang w:val="en-US" w:eastAsia="zh-CN"/>
              </w:rPr>
              <w:t>24</w:t>
            </w:r>
            <w:r>
              <w:rPr>
                <w:rFonts w:hint="default" w:ascii="Times New Roman" w:hAnsi="Times New Roman" w:eastAsia="宋体" w:cs="Times New Roman"/>
                <w:kern w:val="0"/>
                <w:sz w:val="24"/>
              </w:rPr>
              <w:t>年本）》</w:t>
            </w:r>
            <w:r>
              <w:rPr>
                <w:rFonts w:hint="eastAsia" w:cs="Times New Roman"/>
                <w:kern w:val="0"/>
                <w:sz w:val="24"/>
                <w:lang w:eastAsia="zh-CN"/>
              </w:rPr>
              <w:t>（</w:t>
            </w:r>
            <w:r>
              <w:rPr>
                <w:rFonts w:hint="default" w:ascii="Times New Roman" w:hAnsi="Times New Roman" w:eastAsia="宋体" w:cs="Times New Roman"/>
                <w:kern w:val="0"/>
                <w:sz w:val="24"/>
              </w:rPr>
              <w:t>中华人民共和国国家发展和改革委员会令第7号</w:t>
            </w:r>
            <w:r>
              <w:rPr>
                <w:rFonts w:hint="eastAsia" w:cs="Times New Roman"/>
                <w:kern w:val="0"/>
                <w:sz w:val="24"/>
                <w:lang w:eastAsia="zh-CN"/>
              </w:rPr>
              <w:t>）</w:t>
            </w:r>
            <w:r>
              <w:rPr>
                <w:rFonts w:hint="default" w:ascii="Times New Roman" w:hAnsi="Times New Roman" w:eastAsia="宋体" w:cs="Times New Roman"/>
                <w:kern w:val="0"/>
                <w:sz w:val="24"/>
              </w:rPr>
              <w:t>，本项目不属于“鼓励类”、“限制类”、“淘汰类”，根据国务院发布的《促进产业结构调整暂行规定》（国发</w:t>
            </w:r>
            <w:r>
              <w:rPr>
                <w:rFonts w:hint="eastAsia" w:cs="Times New Roman"/>
                <w:kern w:val="0"/>
                <w:sz w:val="24"/>
                <w:lang w:eastAsia="zh-CN"/>
              </w:rPr>
              <w:t>【2005】40号</w:t>
            </w:r>
            <w:r>
              <w:rPr>
                <w:rFonts w:hint="default" w:ascii="Times New Roman" w:hAnsi="Times New Roman" w:eastAsia="宋体" w:cs="Times New Roman"/>
                <w:kern w:val="0"/>
                <w:sz w:val="24"/>
              </w:rPr>
              <w:t>）第十三条规定：不属于鼓励类、限制类和淘汰类，且符合国家有关法律、规范和政策规定的，视为“允许类”。</w:t>
            </w:r>
          </w:p>
          <w:p w14:paraId="36B292C2">
            <w:pPr>
              <w:keepNext w:val="0"/>
              <w:keepLines w:val="0"/>
              <w:pageBreakBefore w:val="0"/>
              <w:kinsoku/>
              <w:wordWrap w:val="0"/>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highlight w:val="none"/>
              </w:rPr>
              <w:t>202</w:t>
            </w:r>
            <w:r>
              <w:rPr>
                <w:rFonts w:hint="eastAsia" w:cs="Times New Roman"/>
                <w:kern w:val="0"/>
                <w:sz w:val="24"/>
                <w:highlight w:val="none"/>
                <w:lang w:val="en-US" w:eastAsia="zh-CN"/>
              </w:rPr>
              <w:t>5</w:t>
            </w:r>
            <w:r>
              <w:rPr>
                <w:rFonts w:hint="default" w:ascii="Times New Roman" w:hAnsi="Times New Roman" w:eastAsia="宋体" w:cs="Times New Roman"/>
                <w:kern w:val="0"/>
                <w:sz w:val="24"/>
                <w:highlight w:val="none"/>
              </w:rPr>
              <w:t>年</w:t>
            </w:r>
            <w:r>
              <w:rPr>
                <w:rFonts w:hint="eastAsia" w:cs="Times New Roman"/>
                <w:kern w:val="0"/>
                <w:sz w:val="24"/>
                <w:highlight w:val="none"/>
                <w:lang w:val="en-US" w:eastAsia="zh-CN"/>
              </w:rPr>
              <w:t>4</w:t>
            </w:r>
            <w:r>
              <w:rPr>
                <w:rFonts w:hint="default" w:ascii="Times New Roman" w:hAnsi="Times New Roman" w:eastAsia="宋体" w:cs="Times New Roman"/>
                <w:kern w:val="0"/>
                <w:sz w:val="24"/>
                <w:highlight w:val="none"/>
              </w:rPr>
              <w:t>月</w:t>
            </w:r>
            <w:r>
              <w:rPr>
                <w:rFonts w:hint="eastAsia" w:cs="Times New Roman"/>
                <w:kern w:val="0"/>
                <w:sz w:val="24"/>
                <w:highlight w:val="none"/>
                <w:lang w:val="en-US" w:eastAsia="zh-CN"/>
              </w:rPr>
              <w:t>2</w:t>
            </w:r>
            <w:r>
              <w:rPr>
                <w:rFonts w:hint="default" w:ascii="Times New Roman" w:hAnsi="Times New Roman" w:eastAsia="宋体" w:cs="Times New Roman"/>
                <w:kern w:val="0"/>
                <w:sz w:val="24"/>
                <w:highlight w:val="none"/>
              </w:rPr>
              <w:t>日，通川区经济和信息化局根据《企业投资项目核准和备案管理条例》《四川省企业投资项目核准和备案管理条例》及相关规定，以“川投资备【2504-511702-07-02-139290】JXQB-0206号”对本项目进行了备案（详见附件）。</w:t>
            </w:r>
          </w:p>
          <w:p w14:paraId="62A5E4E6">
            <w:pPr>
              <w:keepNext w:val="0"/>
              <w:keepLines w:val="0"/>
              <w:pageBreakBefore w:val="0"/>
              <w:kinsoku/>
              <w:wordWrap w:val="0"/>
              <w:overflowPunct/>
              <w:topLinePunct w:val="0"/>
              <w:autoSpaceDE w:val="0"/>
              <w:autoSpaceDN w:val="0"/>
              <w:bidi w:val="0"/>
              <w:adjustRightInd/>
              <w:snapToGrid/>
              <w:spacing w:line="360" w:lineRule="auto"/>
              <w:ind w:left="0" w:leftChars="0" w:right="0" w:rightChars="0" w:firstLine="482" w:firstLineChars="200"/>
              <w:textAlignment w:val="auto"/>
              <w:rPr>
                <w:rFonts w:hint="default" w:ascii="Times New Roman" w:hAnsi="Times New Roman" w:eastAsia="宋体" w:cs="Times New Roman"/>
                <w:b/>
                <w:bCs/>
                <w:kern w:val="0"/>
                <w:sz w:val="24"/>
                <w:u w:val="single"/>
              </w:rPr>
            </w:pPr>
            <w:r>
              <w:rPr>
                <w:rFonts w:hint="default" w:ascii="Times New Roman" w:hAnsi="Times New Roman" w:eastAsia="宋体" w:cs="Times New Roman"/>
                <w:b/>
                <w:bCs/>
                <w:kern w:val="0"/>
                <w:sz w:val="24"/>
              </w:rPr>
              <w:t>因此本项目建设符合国家现行产业政策。</w:t>
            </w:r>
          </w:p>
          <w:p w14:paraId="68B114B3">
            <w:pPr>
              <w:keepNext w:val="0"/>
              <w:keepLines w:val="0"/>
              <w:pageBreakBefore w:val="0"/>
              <w:kinsoku/>
              <w:wordWrap w:val="0"/>
              <w:overflowPunct/>
              <w:topLinePunct w:val="0"/>
              <w:autoSpaceDE w:val="0"/>
              <w:autoSpaceDN w:val="0"/>
              <w:bidi w:val="0"/>
              <w:adjustRightInd/>
              <w:snapToGrid/>
              <w:spacing w:line="360" w:lineRule="auto"/>
              <w:ind w:left="0" w:leftChars="0" w:right="0" w:rightChars="0" w:firstLine="482" w:firstLineChars="200"/>
              <w:textAlignment w:val="auto"/>
              <w:rPr>
                <w:rFonts w:hint="eastAsia" w:cs="Times New Roman"/>
                <w:b/>
                <w:bCs w:val="0"/>
                <w:sz w:val="24"/>
                <w:szCs w:val="28"/>
                <w:lang w:val="en-US" w:eastAsia="zh-CN"/>
              </w:rPr>
            </w:pPr>
            <w:r>
              <w:rPr>
                <w:rFonts w:hint="eastAsia" w:cs="Times New Roman"/>
                <w:b/>
                <w:bCs w:val="0"/>
                <w:sz w:val="24"/>
                <w:szCs w:val="28"/>
                <w:lang w:val="en-US" w:eastAsia="zh-CN"/>
              </w:rPr>
              <w:t>2、与饮用水源保护区的符合性分析</w:t>
            </w:r>
          </w:p>
          <w:p w14:paraId="44F6F72E">
            <w:pPr>
              <w:keepNext w:val="0"/>
              <w:keepLines w:val="0"/>
              <w:pageBreakBefore w:val="0"/>
              <w:kinsoku/>
              <w:wordWrap w:val="0"/>
              <w:overflowPunct/>
              <w:topLinePunct w:val="0"/>
              <w:autoSpaceDE w:val="0"/>
              <w:autoSpaceDN w:val="0"/>
              <w:bidi w:val="0"/>
              <w:adjustRightInd/>
              <w:snapToGrid/>
              <w:spacing w:line="360" w:lineRule="auto"/>
              <w:ind w:left="0" w:leftChars="0" w:right="0" w:rightChars="0" w:firstLine="480" w:firstLineChars="200"/>
              <w:textAlignment w:val="auto"/>
              <w:rPr>
                <w:rFonts w:hint="eastAsia" w:cs="Times New Roman"/>
                <w:b w:val="0"/>
                <w:bCs/>
                <w:sz w:val="24"/>
                <w:szCs w:val="28"/>
                <w:lang w:val="en-US" w:eastAsia="zh-CN"/>
              </w:rPr>
            </w:pPr>
            <w:r>
              <w:rPr>
                <w:rFonts w:hint="eastAsia" w:cs="Times New Roman"/>
                <w:b w:val="0"/>
                <w:bCs/>
                <w:sz w:val="24"/>
                <w:szCs w:val="28"/>
                <w:lang w:val="en-US" w:eastAsia="zh-CN"/>
              </w:rPr>
              <w:t>本项目位于东岳镇场镇北面，与项目有关的地表水体为西面的双龙河。根据达州市人民政府《关于通川区乡镇集中式饮用水水源地保护区划定调整的批复》（达市府函【2019】165号），已撤销《达州市人民政府关于划定农村建制乡（镇）集中式饮用水水源保护区的通知》（达市府发【2006】66号）中东岳镇、双龙镇的乡镇集中式饮用水水源地保护区。目前，东岳场镇、双龙场镇均使用自来水，均未在双龙河流域设置取水点。</w:t>
            </w:r>
          </w:p>
          <w:p w14:paraId="6E8E860E">
            <w:pPr>
              <w:keepNext w:val="0"/>
              <w:keepLines w:val="0"/>
              <w:pageBreakBefore w:val="0"/>
              <w:kinsoku/>
              <w:wordWrap w:val="0"/>
              <w:overflowPunct/>
              <w:topLinePunct w:val="0"/>
              <w:autoSpaceDE w:val="0"/>
              <w:autoSpaceDN w:val="0"/>
              <w:bidi w:val="0"/>
              <w:adjustRightInd/>
              <w:snapToGrid/>
              <w:spacing w:line="360" w:lineRule="auto"/>
              <w:ind w:left="0" w:leftChars="0" w:right="0" w:rightChars="0" w:firstLine="480" w:firstLineChars="200"/>
              <w:textAlignment w:val="auto"/>
              <w:rPr>
                <w:rFonts w:hint="eastAsia" w:cs="Times New Roman"/>
                <w:b w:val="0"/>
                <w:bCs/>
                <w:sz w:val="24"/>
                <w:szCs w:val="28"/>
                <w:lang w:val="en-US" w:eastAsia="zh-CN"/>
              </w:rPr>
            </w:pPr>
            <w:r>
              <w:rPr>
                <w:rFonts w:hint="eastAsia" w:cs="Times New Roman"/>
                <w:b w:val="0"/>
                <w:bCs/>
                <w:sz w:val="24"/>
                <w:szCs w:val="28"/>
                <w:lang w:val="en-US" w:eastAsia="zh-CN"/>
              </w:rPr>
              <w:t>因此，本项目建设区域不在饮用水源保护区范围。</w:t>
            </w:r>
          </w:p>
          <w:p w14:paraId="2960E070">
            <w:pPr>
              <w:keepNext w:val="0"/>
              <w:keepLines w:val="0"/>
              <w:pageBreakBefore w:val="0"/>
              <w:kinsoku/>
              <w:wordWrap w:val="0"/>
              <w:overflowPunct/>
              <w:topLinePunct w:val="0"/>
              <w:autoSpaceDE w:val="0"/>
              <w:autoSpaceDN w:val="0"/>
              <w:bidi w:val="0"/>
              <w:adjustRightInd/>
              <w:snapToGrid/>
              <w:spacing w:line="360" w:lineRule="auto"/>
              <w:ind w:left="0" w:leftChars="0" w:right="0" w:rightChars="0" w:firstLine="482" w:firstLineChars="200"/>
              <w:textAlignment w:val="auto"/>
              <w:rPr>
                <w:rFonts w:hint="default" w:ascii="Times New Roman" w:hAnsi="Times New Roman" w:eastAsia="宋体" w:cs="Times New Roman"/>
                <w:bCs/>
                <w:sz w:val="24"/>
                <w:szCs w:val="28"/>
              </w:rPr>
            </w:pPr>
            <w:r>
              <w:rPr>
                <w:rFonts w:hint="eastAsia" w:cs="Times New Roman"/>
                <w:b/>
                <w:sz w:val="24"/>
                <w:szCs w:val="28"/>
                <w:lang w:val="en-US" w:eastAsia="zh-CN"/>
              </w:rPr>
              <w:t>3</w:t>
            </w:r>
            <w:r>
              <w:rPr>
                <w:rFonts w:hint="default" w:ascii="Times New Roman" w:hAnsi="Times New Roman" w:eastAsia="宋体" w:cs="Times New Roman"/>
                <w:b/>
                <w:sz w:val="24"/>
                <w:szCs w:val="28"/>
              </w:rPr>
              <w:t>、与四川省生态环境分区管控的符合性分析</w:t>
            </w:r>
          </w:p>
          <w:p w14:paraId="26663C9D">
            <w:pPr>
              <w:keepNext w:val="0"/>
              <w:keepLines w:val="0"/>
              <w:pageBreakBefore w:val="0"/>
              <w:kinsoku/>
              <w:wordWrap w:val="0"/>
              <w:overflowPunct/>
              <w:topLinePunct w:val="0"/>
              <w:autoSpaceDE w:val="0"/>
              <w:autoSpaceDN w:val="0"/>
              <w:bidi w:val="0"/>
              <w:adjustRightInd/>
              <w:snapToGrid/>
              <w:spacing w:line="360" w:lineRule="auto"/>
              <w:ind w:left="0" w:leftChars="0" w:right="0" w:rightChars="0" w:firstLine="482" w:firstLineChars="200"/>
              <w:textAlignment w:val="auto"/>
              <w:rPr>
                <w:rFonts w:hint="default" w:ascii="Times New Roman" w:hAnsi="Times New Roman" w:eastAsia="宋体" w:cs="Times New Roman"/>
                <w:b/>
                <w:sz w:val="24"/>
                <w:szCs w:val="28"/>
              </w:rPr>
            </w:pPr>
            <w:r>
              <w:rPr>
                <w:rFonts w:hint="default" w:ascii="Times New Roman" w:hAnsi="Times New Roman" w:eastAsia="宋体" w:cs="Times New Roman"/>
                <w:b/>
                <w:sz w:val="24"/>
                <w:szCs w:val="28"/>
              </w:rPr>
              <w:t>（1）生态环境分区管控单元</w:t>
            </w:r>
          </w:p>
          <w:p w14:paraId="04C0DAEF">
            <w:pPr>
              <w:keepNext w:val="0"/>
              <w:keepLines w:val="0"/>
              <w:pageBreakBefore w:val="0"/>
              <w:kinsoku/>
              <w:wordWrap w:val="0"/>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Cs/>
                <w:sz w:val="24"/>
                <w:szCs w:val="28"/>
              </w:rPr>
            </w:pPr>
            <w:r>
              <w:rPr>
                <w:rFonts w:hint="default" w:ascii="Times New Roman" w:hAnsi="Times New Roman" w:eastAsia="宋体" w:cs="Times New Roman"/>
                <w:b w:val="0"/>
                <w:bCs/>
                <w:sz w:val="24"/>
                <w:szCs w:val="28"/>
              </w:rPr>
              <w:t>项目位于</w:t>
            </w:r>
            <w:r>
              <w:rPr>
                <w:rFonts w:hint="eastAsia" w:cs="Times New Roman"/>
                <w:b w:val="0"/>
                <w:bCs/>
                <w:sz w:val="24"/>
                <w:szCs w:val="28"/>
                <w:lang w:val="en-US" w:eastAsia="zh-CN"/>
              </w:rPr>
              <w:t>达州市通川区</w:t>
            </w:r>
            <w:r>
              <w:rPr>
                <w:rFonts w:hint="default" w:ascii="Times New Roman" w:hAnsi="Times New Roman" w:eastAsia="宋体" w:cs="Times New Roman"/>
                <w:b w:val="0"/>
                <w:bCs/>
                <w:sz w:val="24"/>
                <w:szCs w:val="28"/>
              </w:rPr>
              <w:t>，项目中心点经纬度为：107.482018°，31.327271°。经查询四川省政务服务网“四川生态环境分区管控数据分析系统”在线系统，项目共涉及</w:t>
            </w:r>
            <w:r>
              <w:rPr>
                <w:rFonts w:hint="eastAsia" w:ascii="Times New Roman" w:hAnsi="Times New Roman" w:eastAsia="宋体" w:cs="Times New Roman"/>
                <w:b w:val="0"/>
                <w:bCs/>
                <w:sz w:val="24"/>
                <w:szCs w:val="28"/>
                <w:lang w:val="en-US" w:eastAsia="zh-CN"/>
              </w:rPr>
              <w:t>5</w:t>
            </w:r>
            <w:r>
              <w:rPr>
                <w:rFonts w:hint="default" w:ascii="Times New Roman" w:hAnsi="Times New Roman" w:eastAsia="宋体" w:cs="Times New Roman"/>
                <w:b w:val="0"/>
                <w:bCs/>
                <w:sz w:val="24"/>
                <w:szCs w:val="28"/>
              </w:rPr>
              <w:t>个管控单元，具体见下表</w:t>
            </w:r>
            <w:r>
              <w:rPr>
                <w:rFonts w:hint="eastAsia" w:ascii="Times New Roman" w:hAnsi="Times New Roman" w:eastAsia="宋体" w:cs="Times New Roman"/>
                <w:b w:val="0"/>
                <w:bCs/>
                <w:sz w:val="24"/>
                <w:szCs w:val="28"/>
                <w:lang w:eastAsia="zh-CN"/>
              </w:rPr>
              <w:t>：</w:t>
            </w:r>
          </w:p>
          <w:p w14:paraId="3F2F7EA6">
            <w:pPr>
              <w:numPr>
                <w:ilvl w:val="0"/>
                <w:numId w:val="3"/>
              </w:numPr>
              <w:wordWrap w:val="0"/>
              <w:ind w:left="63" w:leftChars="30" w:right="63" w:rightChars="30"/>
              <w:jc w:val="center"/>
              <w:rPr>
                <w:rFonts w:hint="eastAsia" w:ascii="Times New Roman" w:hAnsi="Times New Roman" w:eastAsia="宋体" w:cs="Times New Roman"/>
                <w:b/>
                <w:szCs w:val="21"/>
              </w:rPr>
            </w:pPr>
            <w:r>
              <w:rPr>
                <w:rFonts w:hint="eastAsia" w:ascii="Times New Roman" w:hAnsi="Times New Roman" w:eastAsia="宋体" w:cs="Times New Roman"/>
                <w:b/>
                <w:szCs w:val="21"/>
              </w:rPr>
              <w:t>本项目涉及的</w:t>
            </w:r>
            <w:r>
              <w:rPr>
                <w:rFonts w:hint="eastAsia" w:cs="Times New Roman"/>
                <w:b/>
                <w:szCs w:val="21"/>
                <w:lang w:val="en-US" w:eastAsia="zh-CN"/>
              </w:rPr>
              <w:t>达州市</w:t>
            </w:r>
            <w:r>
              <w:rPr>
                <w:rFonts w:hint="eastAsia" w:ascii="Times New Roman" w:hAnsi="Times New Roman" w:eastAsia="宋体" w:cs="Times New Roman"/>
                <w:b/>
                <w:szCs w:val="21"/>
              </w:rPr>
              <w:t>环境管控单元</w:t>
            </w:r>
          </w:p>
          <w:tbl>
            <w:tblPr>
              <w:tblStyle w:val="26"/>
              <w:tblW w:w="492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17"/>
              <w:gridCol w:w="1633"/>
              <w:gridCol w:w="870"/>
              <w:gridCol w:w="690"/>
              <w:gridCol w:w="1026"/>
              <w:gridCol w:w="2120"/>
            </w:tblGrid>
            <w:tr w14:paraId="09A39D2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tblHeader/>
                <w:jc w:val="center"/>
              </w:trPr>
              <w:tc>
                <w:tcPr>
                  <w:tcW w:w="749" w:type="pct"/>
                  <w:tcBorders>
                    <w:tl2br w:val="nil"/>
                    <w:tr2bl w:val="nil"/>
                  </w:tcBorders>
                  <w:noWrap w:val="0"/>
                  <w:vAlign w:val="center"/>
                </w:tcPr>
                <w:p w14:paraId="0AB8B2E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环境管控单元编码</w:t>
                  </w:r>
                </w:p>
              </w:tc>
              <w:tc>
                <w:tcPr>
                  <w:tcW w:w="1095" w:type="pct"/>
                  <w:tcBorders>
                    <w:tl2br w:val="nil"/>
                    <w:tr2bl w:val="nil"/>
                  </w:tcBorders>
                  <w:noWrap w:val="0"/>
                  <w:vAlign w:val="center"/>
                </w:tcPr>
                <w:p w14:paraId="197A1E5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环境管控单元名称</w:t>
                  </w:r>
                </w:p>
              </w:tc>
              <w:tc>
                <w:tcPr>
                  <w:tcW w:w="583" w:type="pct"/>
                  <w:tcBorders>
                    <w:tl2br w:val="nil"/>
                    <w:tr2bl w:val="nil"/>
                  </w:tcBorders>
                  <w:noWrap w:val="0"/>
                  <w:vAlign w:val="center"/>
                </w:tcPr>
                <w:p w14:paraId="62E2E83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所属市（州）</w:t>
                  </w:r>
                </w:p>
              </w:tc>
              <w:tc>
                <w:tcPr>
                  <w:tcW w:w="462" w:type="pct"/>
                  <w:tcBorders>
                    <w:tl2br w:val="nil"/>
                    <w:tr2bl w:val="nil"/>
                  </w:tcBorders>
                  <w:noWrap w:val="0"/>
                  <w:vAlign w:val="center"/>
                </w:tcPr>
                <w:p w14:paraId="4F4DEE3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所属区县</w:t>
                  </w:r>
                </w:p>
              </w:tc>
              <w:tc>
                <w:tcPr>
                  <w:tcW w:w="688" w:type="pct"/>
                  <w:tcBorders>
                    <w:tl2br w:val="nil"/>
                    <w:tr2bl w:val="nil"/>
                  </w:tcBorders>
                  <w:noWrap w:val="0"/>
                  <w:vAlign w:val="center"/>
                </w:tcPr>
                <w:p w14:paraId="2890A6E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准入清单类型</w:t>
                  </w:r>
                </w:p>
              </w:tc>
              <w:tc>
                <w:tcPr>
                  <w:tcW w:w="1421" w:type="pct"/>
                  <w:tcBorders>
                    <w:tl2br w:val="nil"/>
                    <w:tr2bl w:val="nil"/>
                  </w:tcBorders>
                  <w:noWrap w:val="0"/>
                  <w:vAlign w:val="center"/>
                </w:tcPr>
                <w:p w14:paraId="4F804D6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管控类型</w:t>
                  </w:r>
                </w:p>
              </w:tc>
            </w:tr>
            <w:tr w14:paraId="3C96ECB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tblHeader/>
                <w:jc w:val="center"/>
              </w:trPr>
              <w:tc>
                <w:tcPr>
                  <w:tcW w:w="1117" w:type="dxa"/>
                  <w:tcBorders>
                    <w:tl2br w:val="nil"/>
                    <w:tr2bl w:val="nil"/>
                  </w:tcBorders>
                  <w:noWrap w:val="0"/>
                  <w:vAlign w:val="center"/>
                </w:tcPr>
                <w:p w14:paraId="372158C0">
                  <w:pPr>
                    <w:pStyle w:val="91"/>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kern w:val="2"/>
                      <w:sz w:val="21"/>
                      <w:szCs w:val="21"/>
                      <w:lang w:val="en-US" w:eastAsia="zh-CN" w:bidi="ar-SA"/>
                    </w:rPr>
                  </w:pPr>
                  <w:r>
                    <w:rPr>
                      <w:rStyle w:val="28"/>
                      <w:rFonts w:hint="default" w:ascii="Times New Roman" w:hAnsi="Times New Roman" w:eastAsia="宋体" w:cs="Times New Roman"/>
                      <w:kern w:val="2"/>
                      <w:sz w:val="21"/>
                      <w:szCs w:val="21"/>
                      <w:lang w:val="en-US" w:eastAsia="zh-CN" w:bidi="ar-SA"/>
                    </w:rPr>
                    <w:t>YS5117022210002</w:t>
                  </w:r>
                </w:p>
              </w:tc>
              <w:tc>
                <w:tcPr>
                  <w:tcW w:w="1633" w:type="dxa"/>
                  <w:tcBorders>
                    <w:tl2br w:val="nil"/>
                    <w:tr2bl w:val="nil"/>
                  </w:tcBorders>
                  <w:noWrap w:val="0"/>
                  <w:vAlign w:val="center"/>
                </w:tcPr>
                <w:p w14:paraId="107D15BA">
                  <w:pPr>
                    <w:pStyle w:val="91"/>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kern w:val="2"/>
                      <w:sz w:val="21"/>
                      <w:szCs w:val="21"/>
                      <w:lang w:val="en-US" w:eastAsia="zh-CN" w:bidi="ar-SA"/>
                    </w:rPr>
                  </w:pPr>
                  <w:r>
                    <w:rPr>
                      <w:rStyle w:val="28"/>
                      <w:rFonts w:hint="default" w:ascii="Times New Roman" w:hAnsi="Times New Roman" w:eastAsia="宋体" w:cs="Times New Roman"/>
                      <w:kern w:val="2"/>
                      <w:sz w:val="21"/>
                      <w:szCs w:val="21"/>
                      <w:lang w:val="en-US" w:eastAsia="zh-CN" w:bidi="ar-SA"/>
                    </w:rPr>
                    <w:t>州河-通川区-车家河-控制单元</w:t>
                  </w:r>
                </w:p>
              </w:tc>
              <w:tc>
                <w:tcPr>
                  <w:tcW w:w="870" w:type="dxa"/>
                  <w:tcBorders>
                    <w:tl2br w:val="nil"/>
                    <w:tr2bl w:val="nil"/>
                  </w:tcBorders>
                  <w:noWrap w:val="0"/>
                  <w:vAlign w:val="center"/>
                </w:tcPr>
                <w:p w14:paraId="1B930447">
                  <w:pPr>
                    <w:pStyle w:val="91"/>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kern w:val="2"/>
                      <w:sz w:val="21"/>
                      <w:szCs w:val="21"/>
                      <w:lang w:val="en-US" w:eastAsia="zh-CN" w:bidi="ar-SA"/>
                    </w:rPr>
                  </w:pPr>
                  <w:r>
                    <w:rPr>
                      <w:rStyle w:val="28"/>
                      <w:rFonts w:hint="default" w:ascii="Times New Roman" w:hAnsi="Times New Roman" w:eastAsia="宋体" w:cs="Times New Roman"/>
                      <w:kern w:val="2"/>
                      <w:sz w:val="21"/>
                      <w:szCs w:val="21"/>
                      <w:lang w:val="en-US" w:eastAsia="zh-CN" w:bidi="ar-SA"/>
                    </w:rPr>
                    <w:t>达州市</w:t>
                  </w:r>
                </w:p>
              </w:tc>
              <w:tc>
                <w:tcPr>
                  <w:tcW w:w="690" w:type="dxa"/>
                  <w:tcBorders>
                    <w:tl2br w:val="nil"/>
                    <w:tr2bl w:val="nil"/>
                  </w:tcBorders>
                  <w:noWrap w:val="0"/>
                  <w:vAlign w:val="center"/>
                </w:tcPr>
                <w:p w14:paraId="50F23A67">
                  <w:pPr>
                    <w:pStyle w:val="91"/>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kern w:val="2"/>
                      <w:sz w:val="21"/>
                      <w:szCs w:val="21"/>
                      <w:lang w:val="en-US" w:eastAsia="zh-CN" w:bidi="ar-SA"/>
                    </w:rPr>
                  </w:pPr>
                  <w:r>
                    <w:rPr>
                      <w:rStyle w:val="28"/>
                      <w:rFonts w:hint="default" w:ascii="Times New Roman" w:hAnsi="Times New Roman" w:eastAsia="宋体" w:cs="Times New Roman"/>
                      <w:kern w:val="2"/>
                      <w:sz w:val="21"/>
                      <w:szCs w:val="21"/>
                      <w:lang w:val="en-US" w:eastAsia="zh-CN" w:bidi="ar-SA"/>
                    </w:rPr>
                    <w:t>通川区</w:t>
                  </w:r>
                </w:p>
              </w:tc>
              <w:tc>
                <w:tcPr>
                  <w:tcW w:w="1026" w:type="dxa"/>
                  <w:tcBorders>
                    <w:tl2br w:val="nil"/>
                    <w:tr2bl w:val="nil"/>
                  </w:tcBorders>
                  <w:noWrap w:val="0"/>
                  <w:vAlign w:val="center"/>
                </w:tcPr>
                <w:p w14:paraId="46AD719F">
                  <w:pPr>
                    <w:pStyle w:val="91"/>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kern w:val="2"/>
                      <w:sz w:val="21"/>
                      <w:szCs w:val="21"/>
                      <w:lang w:val="en-US" w:eastAsia="zh-CN" w:bidi="ar-SA"/>
                    </w:rPr>
                  </w:pPr>
                  <w:r>
                    <w:rPr>
                      <w:rStyle w:val="28"/>
                      <w:rFonts w:hint="default" w:ascii="Times New Roman" w:hAnsi="Times New Roman" w:eastAsia="宋体" w:cs="Times New Roman"/>
                      <w:kern w:val="2"/>
                      <w:sz w:val="21"/>
                      <w:szCs w:val="21"/>
                      <w:lang w:val="en-US" w:eastAsia="zh-CN" w:bidi="ar-SA"/>
                    </w:rPr>
                    <w:t>水环境管控分区</w:t>
                  </w:r>
                </w:p>
              </w:tc>
              <w:tc>
                <w:tcPr>
                  <w:tcW w:w="2120" w:type="dxa"/>
                  <w:tcBorders>
                    <w:tl2br w:val="nil"/>
                    <w:tr2bl w:val="nil"/>
                  </w:tcBorders>
                  <w:noWrap w:val="0"/>
                  <w:vAlign w:val="center"/>
                </w:tcPr>
                <w:p w14:paraId="5D4A117D">
                  <w:pPr>
                    <w:pStyle w:val="91"/>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kern w:val="2"/>
                      <w:sz w:val="21"/>
                      <w:szCs w:val="21"/>
                      <w:lang w:val="en-US" w:eastAsia="zh-CN" w:bidi="ar-SA"/>
                    </w:rPr>
                  </w:pPr>
                  <w:r>
                    <w:rPr>
                      <w:rStyle w:val="28"/>
                      <w:rFonts w:hint="default" w:ascii="Times New Roman" w:hAnsi="Times New Roman" w:eastAsia="宋体" w:cs="Times New Roman"/>
                      <w:kern w:val="2"/>
                      <w:sz w:val="21"/>
                      <w:szCs w:val="21"/>
                      <w:lang w:val="en-US" w:eastAsia="zh-CN" w:bidi="ar-SA"/>
                    </w:rPr>
                    <w:t>水环境工业污染重点管控区</w:t>
                  </w:r>
                </w:p>
              </w:tc>
            </w:tr>
            <w:tr w14:paraId="287D5F8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tblHeader/>
                <w:jc w:val="center"/>
              </w:trPr>
              <w:tc>
                <w:tcPr>
                  <w:tcW w:w="1117" w:type="dxa"/>
                  <w:tcBorders>
                    <w:tl2br w:val="nil"/>
                    <w:tr2bl w:val="nil"/>
                  </w:tcBorders>
                  <w:noWrap w:val="0"/>
                  <w:vAlign w:val="center"/>
                </w:tcPr>
                <w:p w14:paraId="0A08D238">
                  <w:pPr>
                    <w:pStyle w:val="91"/>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kern w:val="2"/>
                      <w:sz w:val="21"/>
                      <w:szCs w:val="21"/>
                      <w:lang w:val="en-US" w:eastAsia="zh-CN" w:bidi="ar-SA"/>
                    </w:rPr>
                  </w:pPr>
                  <w:r>
                    <w:rPr>
                      <w:rStyle w:val="28"/>
                      <w:rFonts w:hint="default" w:ascii="Times New Roman" w:hAnsi="Times New Roman" w:eastAsia="宋体" w:cs="Times New Roman"/>
                      <w:kern w:val="2"/>
                      <w:sz w:val="21"/>
                      <w:szCs w:val="21"/>
                      <w:lang w:val="en-US" w:eastAsia="zh-CN" w:bidi="ar-SA"/>
                    </w:rPr>
                    <w:t>YS5117022310002</w:t>
                  </w:r>
                </w:p>
              </w:tc>
              <w:tc>
                <w:tcPr>
                  <w:tcW w:w="1633" w:type="dxa"/>
                  <w:tcBorders>
                    <w:tl2br w:val="nil"/>
                    <w:tr2bl w:val="nil"/>
                  </w:tcBorders>
                  <w:noWrap w:val="0"/>
                  <w:vAlign w:val="center"/>
                </w:tcPr>
                <w:p w14:paraId="37F75AE3">
                  <w:pPr>
                    <w:pStyle w:val="91"/>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kern w:val="2"/>
                      <w:sz w:val="21"/>
                      <w:szCs w:val="21"/>
                      <w:lang w:val="en-US" w:eastAsia="zh-CN" w:bidi="ar-SA"/>
                    </w:rPr>
                  </w:pPr>
                  <w:r>
                    <w:rPr>
                      <w:rStyle w:val="28"/>
                      <w:rFonts w:hint="default" w:ascii="Times New Roman" w:hAnsi="Times New Roman" w:eastAsia="宋体" w:cs="Times New Roman"/>
                      <w:kern w:val="2"/>
                      <w:sz w:val="21"/>
                      <w:szCs w:val="21"/>
                      <w:lang w:val="en-US" w:eastAsia="zh-CN" w:bidi="ar-SA"/>
                    </w:rPr>
                    <w:t>东岳新型工业集聚区</w:t>
                  </w:r>
                </w:p>
              </w:tc>
              <w:tc>
                <w:tcPr>
                  <w:tcW w:w="870" w:type="dxa"/>
                  <w:tcBorders>
                    <w:tl2br w:val="nil"/>
                    <w:tr2bl w:val="nil"/>
                  </w:tcBorders>
                  <w:noWrap w:val="0"/>
                  <w:vAlign w:val="center"/>
                </w:tcPr>
                <w:p w14:paraId="6C566277">
                  <w:pPr>
                    <w:pStyle w:val="91"/>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kern w:val="2"/>
                      <w:sz w:val="21"/>
                      <w:szCs w:val="21"/>
                      <w:lang w:val="en-US" w:eastAsia="zh-CN" w:bidi="ar-SA"/>
                    </w:rPr>
                  </w:pPr>
                  <w:r>
                    <w:rPr>
                      <w:rStyle w:val="28"/>
                      <w:rFonts w:hint="default" w:ascii="Times New Roman" w:hAnsi="Times New Roman" w:eastAsia="宋体" w:cs="Times New Roman"/>
                      <w:kern w:val="2"/>
                      <w:sz w:val="21"/>
                      <w:szCs w:val="21"/>
                      <w:lang w:val="en-US" w:eastAsia="zh-CN" w:bidi="ar-SA"/>
                    </w:rPr>
                    <w:t>达州市</w:t>
                  </w:r>
                </w:p>
              </w:tc>
              <w:tc>
                <w:tcPr>
                  <w:tcW w:w="690" w:type="dxa"/>
                  <w:tcBorders>
                    <w:tl2br w:val="nil"/>
                    <w:tr2bl w:val="nil"/>
                  </w:tcBorders>
                  <w:noWrap w:val="0"/>
                  <w:vAlign w:val="center"/>
                </w:tcPr>
                <w:p w14:paraId="597ACA1E">
                  <w:pPr>
                    <w:pStyle w:val="91"/>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kern w:val="2"/>
                      <w:sz w:val="21"/>
                      <w:szCs w:val="21"/>
                      <w:lang w:val="en-US" w:eastAsia="zh-CN" w:bidi="ar-SA"/>
                    </w:rPr>
                  </w:pPr>
                  <w:r>
                    <w:rPr>
                      <w:rStyle w:val="28"/>
                      <w:rFonts w:hint="default" w:ascii="Times New Roman" w:hAnsi="Times New Roman" w:eastAsia="宋体" w:cs="Times New Roman"/>
                      <w:kern w:val="2"/>
                      <w:sz w:val="21"/>
                      <w:szCs w:val="21"/>
                      <w:lang w:val="en-US" w:eastAsia="zh-CN" w:bidi="ar-SA"/>
                    </w:rPr>
                    <w:t>通川区</w:t>
                  </w:r>
                </w:p>
              </w:tc>
              <w:tc>
                <w:tcPr>
                  <w:tcW w:w="1026" w:type="dxa"/>
                  <w:tcBorders>
                    <w:tl2br w:val="nil"/>
                    <w:tr2bl w:val="nil"/>
                  </w:tcBorders>
                  <w:noWrap w:val="0"/>
                  <w:vAlign w:val="center"/>
                </w:tcPr>
                <w:p w14:paraId="497DBFCB">
                  <w:pPr>
                    <w:pStyle w:val="91"/>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kern w:val="2"/>
                      <w:sz w:val="21"/>
                      <w:szCs w:val="21"/>
                      <w:lang w:val="en-US" w:eastAsia="zh-CN" w:bidi="ar-SA"/>
                    </w:rPr>
                  </w:pPr>
                  <w:r>
                    <w:rPr>
                      <w:rStyle w:val="28"/>
                      <w:rFonts w:hint="default" w:ascii="Times New Roman" w:hAnsi="Times New Roman" w:eastAsia="宋体" w:cs="Times New Roman"/>
                      <w:kern w:val="2"/>
                      <w:sz w:val="21"/>
                      <w:szCs w:val="21"/>
                      <w:lang w:val="en-US" w:eastAsia="zh-CN" w:bidi="ar-SA"/>
                    </w:rPr>
                    <w:t>大气环境管控分区</w:t>
                  </w:r>
                </w:p>
              </w:tc>
              <w:tc>
                <w:tcPr>
                  <w:tcW w:w="2120" w:type="dxa"/>
                  <w:tcBorders>
                    <w:tl2br w:val="nil"/>
                    <w:tr2bl w:val="nil"/>
                  </w:tcBorders>
                  <w:noWrap w:val="0"/>
                  <w:vAlign w:val="center"/>
                </w:tcPr>
                <w:p w14:paraId="3BB9DB6B">
                  <w:pPr>
                    <w:pStyle w:val="91"/>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kern w:val="2"/>
                      <w:sz w:val="21"/>
                      <w:szCs w:val="21"/>
                      <w:lang w:val="en-US" w:eastAsia="zh-CN" w:bidi="ar-SA"/>
                    </w:rPr>
                  </w:pPr>
                  <w:r>
                    <w:rPr>
                      <w:rStyle w:val="28"/>
                      <w:rFonts w:hint="default" w:ascii="Times New Roman" w:hAnsi="Times New Roman" w:eastAsia="宋体" w:cs="Times New Roman"/>
                      <w:kern w:val="2"/>
                      <w:sz w:val="21"/>
                      <w:szCs w:val="21"/>
                      <w:lang w:val="en-US" w:eastAsia="zh-CN" w:bidi="ar-SA"/>
                    </w:rPr>
                    <w:t>大气环境高排放重点管控区</w:t>
                  </w:r>
                </w:p>
              </w:tc>
            </w:tr>
            <w:tr w14:paraId="7874228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tblHeader/>
                <w:jc w:val="center"/>
              </w:trPr>
              <w:tc>
                <w:tcPr>
                  <w:tcW w:w="1117" w:type="dxa"/>
                  <w:tcBorders>
                    <w:tl2br w:val="nil"/>
                    <w:tr2bl w:val="nil"/>
                  </w:tcBorders>
                  <w:noWrap w:val="0"/>
                  <w:vAlign w:val="center"/>
                </w:tcPr>
                <w:p w14:paraId="5F2C71F6">
                  <w:pPr>
                    <w:pStyle w:val="91"/>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kern w:val="2"/>
                      <w:sz w:val="21"/>
                      <w:szCs w:val="21"/>
                      <w:lang w:val="en-US" w:eastAsia="zh-CN" w:bidi="ar-SA"/>
                    </w:rPr>
                  </w:pPr>
                  <w:r>
                    <w:rPr>
                      <w:rStyle w:val="28"/>
                      <w:rFonts w:hint="default" w:ascii="Times New Roman" w:hAnsi="Times New Roman" w:eastAsia="宋体" w:cs="Times New Roman"/>
                      <w:kern w:val="2"/>
                      <w:sz w:val="21"/>
                      <w:szCs w:val="21"/>
                      <w:lang w:val="en-US" w:eastAsia="zh-CN" w:bidi="ar-SA"/>
                    </w:rPr>
                    <w:t>YS5117022530001</w:t>
                  </w:r>
                </w:p>
              </w:tc>
              <w:tc>
                <w:tcPr>
                  <w:tcW w:w="1633" w:type="dxa"/>
                  <w:tcBorders>
                    <w:tl2br w:val="nil"/>
                    <w:tr2bl w:val="nil"/>
                  </w:tcBorders>
                  <w:noWrap w:val="0"/>
                  <w:vAlign w:val="center"/>
                </w:tcPr>
                <w:p w14:paraId="29D7DA17">
                  <w:pPr>
                    <w:pStyle w:val="91"/>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kern w:val="2"/>
                      <w:sz w:val="21"/>
                      <w:szCs w:val="21"/>
                      <w:lang w:val="en-US" w:eastAsia="zh-CN" w:bidi="ar-SA"/>
                    </w:rPr>
                  </w:pPr>
                  <w:r>
                    <w:rPr>
                      <w:rStyle w:val="28"/>
                      <w:rFonts w:hint="default" w:ascii="Times New Roman" w:hAnsi="Times New Roman" w:eastAsia="宋体" w:cs="Times New Roman"/>
                      <w:kern w:val="2"/>
                      <w:sz w:val="21"/>
                      <w:szCs w:val="21"/>
                      <w:lang w:val="en-US" w:eastAsia="zh-CN" w:bidi="ar-SA"/>
                    </w:rPr>
                    <w:t>通川区城镇开发边界</w:t>
                  </w:r>
                </w:p>
              </w:tc>
              <w:tc>
                <w:tcPr>
                  <w:tcW w:w="870" w:type="dxa"/>
                  <w:tcBorders>
                    <w:tl2br w:val="nil"/>
                    <w:tr2bl w:val="nil"/>
                  </w:tcBorders>
                  <w:noWrap w:val="0"/>
                  <w:vAlign w:val="center"/>
                </w:tcPr>
                <w:p w14:paraId="2C74F518">
                  <w:pPr>
                    <w:pStyle w:val="91"/>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kern w:val="2"/>
                      <w:sz w:val="21"/>
                      <w:szCs w:val="21"/>
                      <w:lang w:val="en-US" w:eastAsia="zh-CN" w:bidi="ar-SA"/>
                    </w:rPr>
                  </w:pPr>
                  <w:r>
                    <w:rPr>
                      <w:rStyle w:val="28"/>
                      <w:rFonts w:hint="default" w:ascii="Times New Roman" w:hAnsi="Times New Roman" w:eastAsia="宋体" w:cs="Times New Roman"/>
                      <w:kern w:val="2"/>
                      <w:sz w:val="21"/>
                      <w:szCs w:val="21"/>
                      <w:lang w:val="en-US" w:eastAsia="zh-CN" w:bidi="ar-SA"/>
                    </w:rPr>
                    <w:t>达州市</w:t>
                  </w:r>
                </w:p>
              </w:tc>
              <w:tc>
                <w:tcPr>
                  <w:tcW w:w="690" w:type="dxa"/>
                  <w:tcBorders>
                    <w:tl2br w:val="nil"/>
                    <w:tr2bl w:val="nil"/>
                  </w:tcBorders>
                  <w:noWrap w:val="0"/>
                  <w:vAlign w:val="center"/>
                </w:tcPr>
                <w:p w14:paraId="5D2445E0">
                  <w:pPr>
                    <w:pStyle w:val="91"/>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kern w:val="2"/>
                      <w:sz w:val="21"/>
                      <w:szCs w:val="21"/>
                      <w:lang w:val="en-US" w:eastAsia="zh-CN" w:bidi="ar-SA"/>
                    </w:rPr>
                  </w:pPr>
                  <w:r>
                    <w:rPr>
                      <w:rStyle w:val="28"/>
                      <w:rFonts w:hint="default" w:ascii="Times New Roman" w:hAnsi="Times New Roman" w:eastAsia="宋体" w:cs="Times New Roman"/>
                      <w:kern w:val="2"/>
                      <w:sz w:val="21"/>
                      <w:szCs w:val="21"/>
                      <w:lang w:val="en-US" w:eastAsia="zh-CN" w:bidi="ar-SA"/>
                    </w:rPr>
                    <w:t>通川区</w:t>
                  </w:r>
                </w:p>
              </w:tc>
              <w:tc>
                <w:tcPr>
                  <w:tcW w:w="1026" w:type="dxa"/>
                  <w:tcBorders>
                    <w:tl2br w:val="nil"/>
                    <w:tr2bl w:val="nil"/>
                  </w:tcBorders>
                  <w:noWrap w:val="0"/>
                  <w:vAlign w:val="center"/>
                </w:tcPr>
                <w:p w14:paraId="1F95958D">
                  <w:pPr>
                    <w:pStyle w:val="91"/>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kern w:val="2"/>
                      <w:sz w:val="21"/>
                      <w:szCs w:val="21"/>
                      <w:lang w:val="en-US" w:eastAsia="zh-CN" w:bidi="ar-SA"/>
                    </w:rPr>
                  </w:pPr>
                  <w:r>
                    <w:rPr>
                      <w:rStyle w:val="28"/>
                      <w:rFonts w:hint="default" w:ascii="Times New Roman" w:hAnsi="Times New Roman" w:eastAsia="宋体" w:cs="Times New Roman"/>
                      <w:kern w:val="2"/>
                      <w:sz w:val="21"/>
                      <w:szCs w:val="21"/>
                      <w:lang w:val="en-US" w:eastAsia="zh-CN" w:bidi="ar-SA"/>
                    </w:rPr>
                    <w:t>资源管控分区</w:t>
                  </w:r>
                </w:p>
              </w:tc>
              <w:tc>
                <w:tcPr>
                  <w:tcW w:w="2120" w:type="dxa"/>
                  <w:tcBorders>
                    <w:tl2br w:val="nil"/>
                    <w:tr2bl w:val="nil"/>
                  </w:tcBorders>
                  <w:noWrap w:val="0"/>
                  <w:vAlign w:val="center"/>
                </w:tcPr>
                <w:p w14:paraId="644C4E79">
                  <w:pPr>
                    <w:pStyle w:val="91"/>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kern w:val="2"/>
                      <w:sz w:val="21"/>
                      <w:szCs w:val="21"/>
                      <w:lang w:val="en-US" w:eastAsia="zh-CN" w:bidi="ar-SA"/>
                    </w:rPr>
                  </w:pPr>
                  <w:r>
                    <w:rPr>
                      <w:rStyle w:val="28"/>
                      <w:rFonts w:hint="default" w:ascii="Times New Roman" w:hAnsi="Times New Roman" w:eastAsia="宋体" w:cs="Times New Roman"/>
                      <w:kern w:val="2"/>
                      <w:sz w:val="21"/>
                      <w:szCs w:val="21"/>
                      <w:lang w:val="en-US" w:eastAsia="zh-CN" w:bidi="ar-SA"/>
                    </w:rPr>
                    <w:t>土地资源重点管控区</w:t>
                  </w:r>
                </w:p>
              </w:tc>
            </w:tr>
            <w:tr w14:paraId="298E74F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tblHeader/>
                <w:jc w:val="center"/>
              </w:trPr>
              <w:tc>
                <w:tcPr>
                  <w:tcW w:w="1117" w:type="dxa"/>
                  <w:tcBorders>
                    <w:tl2br w:val="nil"/>
                    <w:tr2bl w:val="nil"/>
                  </w:tcBorders>
                  <w:noWrap w:val="0"/>
                  <w:vAlign w:val="center"/>
                </w:tcPr>
                <w:p w14:paraId="43687315">
                  <w:pPr>
                    <w:pStyle w:val="91"/>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kern w:val="2"/>
                      <w:sz w:val="21"/>
                      <w:szCs w:val="21"/>
                      <w:lang w:val="en-US" w:eastAsia="zh-CN" w:bidi="ar-SA"/>
                    </w:rPr>
                  </w:pPr>
                  <w:r>
                    <w:rPr>
                      <w:rStyle w:val="28"/>
                      <w:rFonts w:hint="default" w:ascii="Times New Roman" w:hAnsi="Times New Roman" w:eastAsia="宋体" w:cs="Times New Roman"/>
                      <w:kern w:val="2"/>
                      <w:sz w:val="21"/>
                      <w:szCs w:val="21"/>
                      <w:lang w:val="en-US" w:eastAsia="zh-CN" w:bidi="ar-SA"/>
                    </w:rPr>
                    <w:t>YS5117022550001</w:t>
                  </w:r>
                </w:p>
              </w:tc>
              <w:tc>
                <w:tcPr>
                  <w:tcW w:w="1633" w:type="dxa"/>
                  <w:tcBorders>
                    <w:tl2br w:val="nil"/>
                    <w:tr2bl w:val="nil"/>
                  </w:tcBorders>
                  <w:noWrap w:val="0"/>
                  <w:vAlign w:val="center"/>
                </w:tcPr>
                <w:p w14:paraId="7DB23BAD">
                  <w:pPr>
                    <w:pStyle w:val="91"/>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kern w:val="2"/>
                      <w:sz w:val="21"/>
                      <w:szCs w:val="21"/>
                      <w:lang w:val="en-US" w:eastAsia="zh-CN" w:bidi="ar-SA"/>
                    </w:rPr>
                  </w:pPr>
                  <w:r>
                    <w:rPr>
                      <w:rStyle w:val="28"/>
                      <w:rFonts w:hint="default" w:ascii="Times New Roman" w:hAnsi="Times New Roman" w:eastAsia="宋体" w:cs="Times New Roman"/>
                      <w:kern w:val="2"/>
                      <w:sz w:val="21"/>
                      <w:szCs w:val="21"/>
                      <w:lang w:val="en-US" w:eastAsia="zh-CN" w:bidi="ar-SA"/>
                    </w:rPr>
                    <w:t>通川区自然资源重点管控区</w:t>
                  </w:r>
                </w:p>
              </w:tc>
              <w:tc>
                <w:tcPr>
                  <w:tcW w:w="870" w:type="dxa"/>
                  <w:tcBorders>
                    <w:tl2br w:val="nil"/>
                    <w:tr2bl w:val="nil"/>
                  </w:tcBorders>
                  <w:noWrap w:val="0"/>
                  <w:vAlign w:val="center"/>
                </w:tcPr>
                <w:p w14:paraId="0E66F3CA">
                  <w:pPr>
                    <w:pStyle w:val="91"/>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kern w:val="2"/>
                      <w:sz w:val="21"/>
                      <w:szCs w:val="21"/>
                      <w:lang w:val="en-US" w:eastAsia="zh-CN" w:bidi="ar-SA"/>
                    </w:rPr>
                  </w:pPr>
                  <w:r>
                    <w:rPr>
                      <w:rStyle w:val="28"/>
                      <w:rFonts w:hint="default" w:ascii="Times New Roman" w:hAnsi="Times New Roman" w:eastAsia="宋体" w:cs="Times New Roman"/>
                      <w:kern w:val="2"/>
                      <w:sz w:val="21"/>
                      <w:szCs w:val="21"/>
                      <w:lang w:val="en-US" w:eastAsia="zh-CN" w:bidi="ar-SA"/>
                    </w:rPr>
                    <w:t>达州市</w:t>
                  </w:r>
                </w:p>
              </w:tc>
              <w:tc>
                <w:tcPr>
                  <w:tcW w:w="690" w:type="dxa"/>
                  <w:tcBorders>
                    <w:tl2br w:val="nil"/>
                    <w:tr2bl w:val="nil"/>
                  </w:tcBorders>
                  <w:noWrap w:val="0"/>
                  <w:vAlign w:val="center"/>
                </w:tcPr>
                <w:p w14:paraId="4D583E08">
                  <w:pPr>
                    <w:pStyle w:val="91"/>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kern w:val="2"/>
                      <w:sz w:val="21"/>
                      <w:szCs w:val="21"/>
                      <w:lang w:val="en-US" w:eastAsia="zh-CN" w:bidi="ar-SA"/>
                    </w:rPr>
                  </w:pPr>
                  <w:r>
                    <w:rPr>
                      <w:rStyle w:val="28"/>
                      <w:rFonts w:hint="default" w:ascii="Times New Roman" w:hAnsi="Times New Roman" w:eastAsia="宋体" w:cs="Times New Roman"/>
                      <w:kern w:val="2"/>
                      <w:sz w:val="21"/>
                      <w:szCs w:val="21"/>
                      <w:lang w:val="en-US" w:eastAsia="zh-CN" w:bidi="ar-SA"/>
                    </w:rPr>
                    <w:t>通川区</w:t>
                  </w:r>
                </w:p>
              </w:tc>
              <w:tc>
                <w:tcPr>
                  <w:tcW w:w="1026" w:type="dxa"/>
                  <w:tcBorders>
                    <w:tl2br w:val="nil"/>
                    <w:tr2bl w:val="nil"/>
                  </w:tcBorders>
                  <w:noWrap w:val="0"/>
                  <w:vAlign w:val="center"/>
                </w:tcPr>
                <w:p w14:paraId="0E63F854">
                  <w:pPr>
                    <w:pStyle w:val="91"/>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kern w:val="2"/>
                      <w:sz w:val="21"/>
                      <w:szCs w:val="21"/>
                      <w:lang w:val="en-US" w:eastAsia="zh-CN" w:bidi="ar-SA"/>
                    </w:rPr>
                  </w:pPr>
                  <w:r>
                    <w:rPr>
                      <w:rStyle w:val="28"/>
                      <w:rFonts w:hint="default" w:ascii="Times New Roman" w:hAnsi="Times New Roman" w:eastAsia="宋体" w:cs="Times New Roman"/>
                      <w:kern w:val="2"/>
                      <w:sz w:val="21"/>
                      <w:szCs w:val="21"/>
                      <w:lang w:val="en-US" w:eastAsia="zh-CN" w:bidi="ar-SA"/>
                    </w:rPr>
                    <w:t>资源管控分区</w:t>
                  </w:r>
                </w:p>
              </w:tc>
              <w:tc>
                <w:tcPr>
                  <w:tcW w:w="2120" w:type="dxa"/>
                  <w:tcBorders>
                    <w:tl2br w:val="nil"/>
                    <w:tr2bl w:val="nil"/>
                  </w:tcBorders>
                  <w:noWrap w:val="0"/>
                  <w:vAlign w:val="center"/>
                </w:tcPr>
                <w:p w14:paraId="57E91736">
                  <w:pPr>
                    <w:pStyle w:val="91"/>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kern w:val="2"/>
                      <w:sz w:val="21"/>
                      <w:szCs w:val="21"/>
                      <w:lang w:val="en-US" w:eastAsia="zh-CN" w:bidi="ar-SA"/>
                    </w:rPr>
                  </w:pPr>
                  <w:r>
                    <w:rPr>
                      <w:rStyle w:val="28"/>
                      <w:rFonts w:hint="default" w:ascii="Times New Roman" w:hAnsi="Times New Roman" w:eastAsia="宋体" w:cs="Times New Roman"/>
                      <w:kern w:val="2"/>
                      <w:sz w:val="21"/>
                      <w:szCs w:val="21"/>
                      <w:lang w:val="en-US" w:eastAsia="zh-CN" w:bidi="ar-SA"/>
                    </w:rPr>
                    <w:t>自然资源重点管控区</w:t>
                  </w:r>
                </w:p>
              </w:tc>
            </w:tr>
            <w:tr w14:paraId="1F52AA7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tblHeader/>
                <w:jc w:val="center"/>
              </w:trPr>
              <w:tc>
                <w:tcPr>
                  <w:tcW w:w="1117" w:type="dxa"/>
                  <w:tcBorders>
                    <w:tl2br w:val="nil"/>
                    <w:tr2bl w:val="nil"/>
                  </w:tcBorders>
                  <w:noWrap w:val="0"/>
                  <w:vAlign w:val="center"/>
                </w:tcPr>
                <w:p w14:paraId="1B6E5B46">
                  <w:pPr>
                    <w:pStyle w:val="91"/>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kern w:val="2"/>
                      <w:sz w:val="21"/>
                      <w:szCs w:val="21"/>
                      <w:lang w:val="en-US" w:eastAsia="zh-CN" w:bidi="ar-SA"/>
                    </w:rPr>
                  </w:pPr>
                  <w:r>
                    <w:rPr>
                      <w:rStyle w:val="28"/>
                      <w:rFonts w:hint="default" w:ascii="Times New Roman" w:hAnsi="Times New Roman" w:eastAsia="宋体" w:cs="Times New Roman"/>
                      <w:kern w:val="2"/>
                      <w:sz w:val="21"/>
                      <w:szCs w:val="21"/>
                      <w:lang w:val="en-US" w:eastAsia="zh-CN" w:bidi="ar-SA"/>
                    </w:rPr>
                    <w:t>ZH51170220003</w:t>
                  </w:r>
                </w:p>
              </w:tc>
              <w:tc>
                <w:tcPr>
                  <w:tcW w:w="1633" w:type="dxa"/>
                  <w:tcBorders>
                    <w:tl2br w:val="nil"/>
                    <w:tr2bl w:val="nil"/>
                  </w:tcBorders>
                  <w:noWrap w:val="0"/>
                  <w:vAlign w:val="center"/>
                </w:tcPr>
                <w:p w14:paraId="42BA4617">
                  <w:pPr>
                    <w:pStyle w:val="91"/>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kern w:val="2"/>
                      <w:sz w:val="21"/>
                      <w:szCs w:val="21"/>
                      <w:lang w:val="en-US" w:eastAsia="zh-CN" w:bidi="ar-SA"/>
                    </w:rPr>
                  </w:pPr>
                  <w:r>
                    <w:rPr>
                      <w:rStyle w:val="28"/>
                      <w:rFonts w:hint="default" w:ascii="Times New Roman" w:hAnsi="Times New Roman" w:eastAsia="宋体" w:cs="Times New Roman"/>
                      <w:kern w:val="2"/>
                      <w:sz w:val="21"/>
                      <w:szCs w:val="21"/>
                      <w:lang w:val="en-US" w:eastAsia="zh-CN" w:bidi="ar-SA"/>
                    </w:rPr>
                    <w:t>达州市通川区东岳新型工业集聚区</w:t>
                  </w:r>
                </w:p>
              </w:tc>
              <w:tc>
                <w:tcPr>
                  <w:tcW w:w="870" w:type="dxa"/>
                  <w:tcBorders>
                    <w:tl2br w:val="nil"/>
                    <w:tr2bl w:val="nil"/>
                  </w:tcBorders>
                  <w:noWrap w:val="0"/>
                  <w:vAlign w:val="center"/>
                </w:tcPr>
                <w:p w14:paraId="55D77708">
                  <w:pPr>
                    <w:pStyle w:val="91"/>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kern w:val="2"/>
                      <w:sz w:val="21"/>
                      <w:szCs w:val="21"/>
                      <w:lang w:val="en-US" w:eastAsia="zh-CN" w:bidi="ar-SA"/>
                    </w:rPr>
                  </w:pPr>
                  <w:r>
                    <w:rPr>
                      <w:rStyle w:val="28"/>
                      <w:rFonts w:hint="default" w:ascii="Times New Roman" w:hAnsi="Times New Roman" w:eastAsia="宋体" w:cs="Times New Roman"/>
                      <w:kern w:val="2"/>
                      <w:sz w:val="21"/>
                      <w:szCs w:val="21"/>
                      <w:lang w:val="en-US" w:eastAsia="zh-CN" w:bidi="ar-SA"/>
                    </w:rPr>
                    <w:t>达州市</w:t>
                  </w:r>
                </w:p>
              </w:tc>
              <w:tc>
                <w:tcPr>
                  <w:tcW w:w="690" w:type="dxa"/>
                  <w:tcBorders>
                    <w:tl2br w:val="nil"/>
                    <w:tr2bl w:val="nil"/>
                  </w:tcBorders>
                  <w:noWrap w:val="0"/>
                  <w:vAlign w:val="center"/>
                </w:tcPr>
                <w:p w14:paraId="0BC7649F">
                  <w:pPr>
                    <w:pStyle w:val="91"/>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kern w:val="2"/>
                      <w:sz w:val="21"/>
                      <w:szCs w:val="21"/>
                      <w:lang w:val="en-US" w:eastAsia="zh-CN" w:bidi="ar-SA"/>
                    </w:rPr>
                  </w:pPr>
                  <w:r>
                    <w:rPr>
                      <w:rStyle w:val="28"/>
                      <w:rFonts w:hint="default" w:ascii="Times New Roman" w:hAnsi="Times New Roman" w:eastAsia="宋体" w:cs="Times New Roman"/>
                      <w:kern w:val="2"/>
                      <w:sz w:val="21"/>
                      <w:szCs w:val="21"/>
                      <w:lang w:val="en-US" w:eastAsia="zh-CN" w:bidi="ar-SA"/>
                    </w:rPr>
                    <w:t>通川区</w:t>
                  </w:r>
                </w:p>
              </w:tc>
              <w:tc>
                <w:tcPr>
                  <w:tcW w:w="1026" w:type="dxa"/>
                  <w:tcBorders>
                    <w:tl2br w:val="nil"/>
                    <w:tr2bl w:val="nil"/>
                  </w:tcBorders>
                  <w:noWrap w:val="0"/>
                  <w:vAlign w:val="center"/>
                </w:tcPr>
                <w:p w14:paraId="78955CF5">
                  <w:pPr>
                    <w:pStyle w:val="91"/>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kern w:val="2"/>
                      <w:sz w:val="21"/>
                      <w:szCs w:val="21"/>
                      <w:lang w:val="en-US" w:eastAsia="zh-CN" w:bidi="ar-SA"/>
                    </w:rPr>
                  </w:pPr>
                  <w:r>
                    <w:rPr>
                      <w:rStyle w:val="28"/>
                      <w:rFonts w:hint="default" w:ascii="Times New Roman" w:hAnsi="Times New Roman" w:eastAsia="宋体" w:cs="Times New Roman"/>
                      <w:kern w:val="2"/>
                      <w:sz w:val="21"/>
                      <w:szCs w:val="21"/>
                      <w:lang w:val="en-US" w:eastAsia="zh-CN" w:bidi="ar-SA"/>
                    </w:rPr>
                    <w:t>环境综合管控单元</w:t>
                  </w:r>
                </w:p>
              </w:tc>
              <w:tc>
                <w:tcPr>
                  <w:tcW w:w="2120" w:type="dxa"/>
                  <w:tcBorders>
                    <w:tl2br w:val="nil"/>
                    <w:tr2bl w:val="nil"/>
                  </w:tcBorders>
                  <w:noWrap w:val="0"/>
                  <w:vAlign w:val="center"/>
                </w:tcPr>
                <w:p w14:paraId="663D4CF6">
                  <w:pPr>
                    <w:pStyle w:val="91"/>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Style w:val="28"/>
                      <w:rFonts w:hint="default" w:ascii="Times New Roman" w:hAnsi="Times New Roman" w:eastAsia="宋体" w:cs="Times New Roman"/>
                      <w:kern w:val="2"/>
                      <w:sz w:val="21"/>
                      <w:szCs w:val="21"/>
                      <w:lang w:val="en-US" w:eastAsia="zh-CN" w:bidi="ar-SA"/>
                    </w:rPr>
                  </w:pPr>
                  <w:r>
                    <w:rPr>
                      <w:rStyle w:val="28"/>
                      <w:rFonts w:hint="default" w:ascii="Times New Roman" w:hAnsi="Times New Roman" w:eastAsia="宋体" w:cs="Times New Roman"/>
                      <w:kern w:val="2"/>
                      <w:sz w:val="21"/>
                      <w:szCs w:val="21"/>
                      <w:lang w:val="en-US" w:eastAsia="zh-CN" w:bidi="ar-SA"/>
                    </w:rPr>
                    <w:t>环境综合管控单元工业重点管控单元</w:t>
                  </w:r>
                </w:p>
              </w:tc>
            </w:tr>
          </w:tbl>
          <w:p w14:paraId="57C51F3D">
            <w:pPr>
              <w:pStyle w:val="63"/>
              <w:jc w:val="center"/>
              <w:rPr>
                <w:rFonts w:hint="eastAsia"/>
                <w:b w:val="0"/>
                <w:color w:val="auto"/>
                <w:kern w:val="0"/>
                <w:szCs w:val="21"/>
                <w:highlight w:val="none"/>
              </w:rPr>
            </w:pPr>
          </w:p>
          <w:p w14:paraId="39BF50F9">
            <w:pPr>
              <w:keepNext w:val="0"/>
              <w:keepLines w:val="0"/>
              <w:pageBreakBefore w:val="0"/>
              <w:kinsoku/>
              <w:wordWrap w:val="0"/>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Cs/>
                <w:sz w:val="24"/>
                <w:szCs w:val="28"/>
              </w:rPr>
            </w:pPr>
            <w:r>
              <w:rPr>
                <w:rFonts w:hint="eastAsia" w:ascii="Times New Roman" w:hAnsi="Times New Roman" w:eastAsia="宋体" w:cs="Times New Roman"/>
                <w:b w:val="0"/>
                <w:bCs/>
                <w:sz w:val="24"/>
                <w:szCs w:val="28"/>
                <w:lang w:eastAsia="zh-CN"/>
              </w:rPr>
              <w:t>本项目在四川省“生态环境分区管控符合性分析系统”数据分析系统查询结果详见下图：</w:t>
            </w:r>
          </w:p>
          <w:p w14:paraId="0932D9F2">
            <w:pPr>
              <w:keepNext w:val="0"/>
              <w:keepLines w:val="0"/>
              <w:pageBreakBefore w:val="0"/>
              <w:widowControl w:val="0"/>
              <w:kinsoku/>
              <w:wordWrap w:val="0"/>
              <w:overflowPunct/>
              <w:topLinePunct w:val="0"/>
              <w:autoSpaceDE w:val="0"/>
              <w:autoSpaceDN w:val="0"/>
              <w:bidi w:val="0"/>
              <w:adjustRightInd/>
              <w:snapToGrid/>
              <w:spacing w:line="240" w:lineRule="auto"/>
              <w:ind w:right="0" w:rightChars="0"/>
              <w:jc w:val="center"/>
              <w:textAlignment w:val="auto"/>
              <w:rPr>
                <w:rFonts w:hint="eastAsia" w:ascii="Times New Roman" w:hAnsi="Times New Roman" w:eastAsia="宋体" w:cs="Times New Roman"/>
                <w:bCs/>
                <w:sz w:val="21"/>
                <w:szCs w:val="21"/>
                <w:lang w:eastAsia="zh-CN"/>
              </w:rPr>
            </w:pPr>
            <w:r>
              <w:rPr>
                <w:rFonts w:hint="eastAsia" w:ascii="Times New Roman" w:hAnsi="Times New Roman" w:eastAsia="宋体" w:cs="Times New Roman"/>
                <w:bCs/>
                <w:sz w:val="21"/>
                <w:szCs w:val="21"/>
                <w:lang w:eastAsia="zh-CN"/>
              </w:rPr>
              <w:drawing>
                <wp:inline distT="0" distB="0" distL="114300" distR="114300">
                  <wp:extent cx="4809490" cy="4118610"/>
                  <wp:effectExtent l="0" t="0" r="6350" b="11430"/>
                  <wp:docPr id="230" name="图片 230" descr="QQ20250227-16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QQ20250227-161615"/>
                          <pic:cNvPicPr>
                            <a:picLocks noChangeAspect="1"/>
                          </pic:cNvPicPr>
                        </pic:nvPicPr>
                        <pic:blipFill>
                          <a:blip r:embed="rId7"/>
                          <a:stretch>
                            <a:fillRect/>
                          </a:stretch>
                        </pic:blipFill>
                        <pic:spPr>
                          <a:xfrm>
                            <a:off x="0" y="0"/>
                            <a:ext cx="4809490" cy="4118610"/>
                          </a:xfrm>
                          <a:prstGeom prst="rect">
                            <a:avLst/>
                          </a:prstGeom>
                        </pic:spPr>
                      </pic:pic>
                    </a:graphicData>
                  </a:graphic>
                </wp:inline>
              </w:drawing>
            </w:r>
          </w:p>
          <w:p w14:paraId="347D082C">
            <w:pPr>
              <w:keepNext w:val="0"/>
              <w:keepLines w:val="0"/>
              <w:pageBreakBefore w:val="0"/>
              <w:widowControl w:val="0"/>
              <w:kinsoku/>
              <w:wordWrap w:val="0"/>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val="en-US" w:eastAsia="zh-CN"/>
              </w:rPr>
              <w:t xml:space="preserve">图1-1    </w:t>
            </w:r>
            <w:r>
              <w:rPr>
                <w:rFonts w:hint="default" w:ascii="Times New Roman" w:hAnsi="Times New Roman" w:eastAsia="宋体" w:cs="Times New Roman"/>
                <w:b/>
                <w:bCs/>
                <w:sz w:val="21"/>
                <w:szCs w:val="21"/>
                <w:lang w:eastAsia="zh-CN"/>
              </w:rPr>
              <w:t>本项目所在环境管控单元和要素管控分区查询结果</w:t>
            </w:r>
          </w:p>
          <w:p w14:paraId="72BF4D0D">
            <w:pPr>
              <w:pStyle w:val="63"/>
              <w:spacing w:line="360" w:lineRule="auto"/>
              <w:ind w:firstLine="480" w:firstLineChars="200"/>
              <w:jc w:val="both"/>
              <w:rPr>
                <w:rFonts w:hint="eastAsia"/>
                <w:b w:val="0"/>
                <w:color w:val="auto"/>
                <w:kern w:val="0"/>
                <w:sz w:val="24"/>
                <w:highlight w:val="none"/>
              </w:rPr>
            </w:pPr>
            <w:r>
              <w:rPr>
                <w:rFonts w:hint="eastAsia" w:ascii="Times New Roman" w:hAnsi="Times New Roman" w:eastAsia="宋体" w:cs="Times New Roman"/>
                <w:b w:val="0"/>
                <w:bCs/>
                <w:sz w:val="24"/>
                <w:szCs w:val="28"/>
                <w:lang w:eastAsia="zh-CN"/>
              </w:rPr>
              <w:t>本项目与管控单元相对位置如下图所示：</w:t>
            </w:r>
          </w:p>
          <w:p w14:paraId="14AA0E62">
            <w:pPr>
              <w:pStyle w:val="63"/>
              <w:spacing w:line="360" w:lineRule="auto"/>
              <w:ind w:firstLine="480" w:firstLineChars="200"/>
              <w:jc w:val="both"/>
              <w:rPr>
                <w:rFonts w:hint="eastAsia"/>
                <w:b w:val="0"/>
                <w:color w:val="auto"/>
                <w:kern w:val="0"/>
                <w:sz w:val="24"/>
                <w:highlight w:val="none"/>
              </w:rPr>
            </w:pPr>
            <w:r>
              <w:rPr>
                <w:rFonts w:hint="eastAsia"/>
                <w:b w:val="0"/>
                <w:color w:val="auto"/>
                <w:kern w:val="0"/>
                <w:sz w:val="24"/>
                <w:highlight w:val="none"/>
              </w:rPr>
              <w:t>四川省达州市瑞欣路面材料有限责任公司2025年环保节能沥青混凝土生产技改扩能项目位于达州市通川区环境综合管控单元工业重点管控单元（管控单元名称：达州市通川区东岳新型工业集聚区，管控单元编号：ZH51170220003）</w:t>
            </w:r>
          </w:p>
          <w:p w14:paraId="60E99078">
            <w:pPr>
              <w:keepNext w:val="0"/>
              <w:keepLines w:val="0"/>
              <w:pageBreakBefore w:val="0"/>
              <w:kinsoku/>
              <w:wordWrap w:val="0"/>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Cs/>
                <w:sz w:val="24"/>
                <w:szCs w:val="28"/>
              </w:rPr>
            </w:pPr>
            <w:r>
              <w:rPr>
                <w:rFonts w:hint="eastAsia"/>
                <w:b w:val="0"/>
                <w:color w:val="auto"/>
                <w:kern w:val="0"/>
                <w:sz w:val="24"/>
                <w:highlight w:val="none"/>
              </w:rPr>
              <w:t>项目与管控单元相对位置如下图所示：（图中▼表示项目位置）</w:t>
            </w:r>
          </w:p>
          <w:p w14:paraId="33C33B5C">
            <w:pPr>
              <w:keepNext w:val="0"/>
              <w:keepLines w:val="0"/>
              <w:pageBreakBefore w:val="0"/>
              <w:widowControl w:val="0"/>
              <w:kinsoku/>
              <w:wordWrap w:val="0"/>
              <w:overflowPunct/>
              <w:topLinePunct w:val="0"/>
              <w:autoSpaceDE w:val="0"/>
              <w:autoSpaceDN w:val="0"/>
              <w:bidi w:val="0"/>
              <w:adjustRightInd/>
              <w:snapToGrid/>
              <w:spacing w:line="240" w:lineRule="auto"/>
              <w:ind w:right="0" w:rightChars="0" w:firstLine="0" w:firstLineChars="0"/>
              <w:jc w:val="center"/>
              <w:textAlignment w:val="auto"/>
              <w:rPr>
                <w:rFonts w:hint="default" w:ascii="Times New Roman" w:hAnsi="Times New Roman" w:eastAsia="宋体" w:cs="Times New Roman"/>
                <w:bCs/>
                <w:sz w:val="21"/>
                <w:szCs w:val="21"/>
              </w:rPr>
            </w:pPr>
            <w:r>
              <w:rPr>
                <w:rFonts w:hint="default" w:ascii="Helvetica" w:hAnsi="Helvetica" w:eastAsia="Helvetica"/>
                <w:sz w:val="28"/>
                <w:szCs w:val="24"/>
              </w:rPr>
              <w:drawing>
                <wp:inline distT="0" distB="0" distL="114300" distR="114300">
                  <wp:extent cx="4775835" cy="3376930"/>
                  <wp:effectExtent l="0" t="0" r="9525" b="6350"/>
                  <wp:docPr id="2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
                          <pic:cNvPicPr>
                            <a:picLocks noChangeAspect="1"/>
                          </pic:cNvPicPr>
                        </pic:nvPicPr>
                        <pic:blipFill>
                          <a:blip r:embed="rId8"/>
                          <a:stretch>
                            <a:fillRect/>
                          </a:stretch>
                        </pic:blipFill>
                        <pic:spPr>
                          <a:xfrm>
                            <a:off x="0" y="0"/>
                            <a:ext cx="4775835" cy="3376930"/>
                          </a:xfrm>
                          <a:prstGeom prst="rect">
                            <a:avLst/>
                          </a:prstGeom>
                          <a:noFill/>
                          <a:ln>
                            <a:noFill/>
                          </a:ln>
                        </pic:spPr>
                      </pic:pic>
                    </a:graphicData>
                  </a:graphic>
                </wp:inline>
              </w:drawing>
            </w:r>
          </w:p>
          <w:p w14:paraId="77484C40">
            <w:pPr>
              <w:keepNext w:val="0"/>
              <w:keepLines w:val="0"/>
              <w:pageBreakBefore w:val="0"/>
              <w:widowControl w:val="0"/>
              <w:kinsoku/>
              <w:wordWrap w:val="0"/>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
                <w:bCs/>
                <w:sz w:val="21"/>
                <w:szCs w:val="21"/>
                <w:lang w:val="en-US" w:eastAsia="zh-CN"/>
              </w:rPr>
              <w:t xml:space="preserve">图1-2    </w:t>
            </w:r>
            <w:r>
              <w:rPr>
                <w:rFonts w:hint="default" w:ascii="Times New Roman" w:hAnsi="Times New Roman" w:eastAsia="宋体" w:cs="Times New Roman"/>
                <w:b/>
                <w:bCs/>
                <w:sz w:val="21"/>
                <w:szCs w:val="21"/>
                <w:lang w:eastAsia="zh-CN"/>
              </w:rPr>
              <w:t>环境综合管控单元</w:t>
            </w:r>
            <w:r>
              <w:rPr>
                <w:rFonts w:hint="default" w:ascii="Times New Roman" w:hAnsi="Times New Roman" w:eastAsia="宋体" w:cs="Times New Roman"/>
                <w:b/>
                <w:bCs/>
                <w:sz w:val="21"/>
                <w:szCs w:val="21"/>
                <w:lang w:val="en-US" w:eastAsia="zh-CN"/>
              </w:rPr>
              <w:t>相对位置</w:t>
            </w:r>
            <w:r>
              <w:rPr>
                <w:rFonts w:hint="default" w:ascii="Times New Roman" w:hAnsi="Times New Roman" w:eastAsia="宋体" w:cs="Times New Roman"/>
                <w:b/>
                <w:bCs/>
                <w:sz w:val="21"/>
                <w:szCs w:val="21"/>
                <w:lang w:eastAsia="zh-CN"/>
              </w:rPr>
              <w:t>图（图中▼表示项目位置）</w:t>
            </w:r>
          </w:p>
          <w:p w14:paraId="7FB09462">
            <w:pPr>
              <w:widowControl w:val="0"/>
              <w:spacing w:after="0" w:line="360" w:lineRule="auto"/>
              <w:ind w:firstLine="482" w:firstLineChars="200"/>
              <w:jc w:val="both"/>
              <w:rPr>
                <w:rFonts w:hint="eastAsia" w:ascii="Times New Roman" w:hAnsi="Times New Roman" w:eastAsia="宋体" w:cs="Times New Roman"/>
                <w:b/>
                <w:bCs/>
                <w:color w:val="auto"/>
                <w:kern w:val="2"/>
                <w:sz w:val="24"/>
                <w:szCs w:val="20"/>
                <w:highlight w:val="none"/>
                <w:lang w:val="en-US" w:eastAsia="zh-CN" w:bidi="ar-SA"/>
              </w:rPr>
            </w:pPr>
            <w:r>
              <w:rPr>
                <w:rFonts w:hint="eastAsia" w:ascii="Times New Roman" w:hAnsi="Times New Roman" w:eastAsia="宋体" w:cs="Times New Roman"/>
                <w:b/>
                <w:bCs/>
                <w:color w:val="auto"/>
                <w:kern w:val="2"/>
                <w:sz w:val="24"/>
                <w:szCs w:val="20"/>
                <w:highlight w:val="none"/>
                <w:lang w:val="en-US" w:eastAsia="zh-CN" w:bidi="ar-SA"/>
              </w:rPr>
              <w:t>（2）与环境管控单元及生态环境准入清单的符合性分析</w:t>
            </w:r>
          </w:p>
          <w:p w14:paraId="0E766D88">
            <w:pPr>
              <w:keepNext w:val="0"/>
              <w:keepLines w:val="0"/>
              <w:pageBreakBefore w:val="0"/>
              <w:kinsoku/>
              <w:wordWrap w:val="0"/>
              <w:overflowPunct/>
              <w:topLinePunct w:val="0"/>
              <w:autoSpaceDE w:val="0"/>
              <w:autoSpaceDN w:val="0"/>
              <w:bidi w:val="0"/>
              <w:adjustRightInd/>
              <w:snapToGrid/>
              <w:spacing w:line="360" w:lineRule="auto"/>
              <w:ind w:left="0" w:leftChars="0" w:right="0" w:rightChars="0" w:firstLine="480" w:firstLineChars="200"/>
              <w:textAlignment w:val="auto"/>
              <w:rPr>
                <w:rFonts w:hint="eastAsia"/>
                <w:kern w:val="0"/>
                <w:szCs w:val="21"/>
              </w:rPr>
            </w:pPr>
            <w:r>
              <w:rPr>
                <w:rFonts w:hint="eastAsia" w:ascii="Times New Roman" w:hAnsi="Times New Roman"/>
                <w:b w:val="0"/>
                <w:bCs w:val="0"/>
                <w:color w:val="auto"/>
                <w:kern w:val="0"/>
                <w:sz w:val="24"/>
                <w:lang w:val="en-US" w:eastAsia="zh-CN"/>
              </w:rPr>
              <w:t>根据四川省“生态环境分区管控符合性分析系统”查询结果，</w:t>
            </w:r>
            <w:r>
              <w:rPr>
                <w:rFonts w:hint="eastAsia"/>
                <w:bCs/>
                <w:color w:val="auto"/>
                <w:sz w:val="24"/>
                <w:szCs w:val="32"/>
              </w:rPr>
              <w:t>本项目与各环境管控单元环境准入符合性分析如下：</w:t>
            </w:r>
          </w:p>
        </w:tc>
      </w:tr>
    </w:tbl>
    <w:p w14:paraId="2AEEA37C">
      <w:pPr>
        <w:pStyle w:val="22"/>
        <w:wordWrap w:val="0"/>
        <w:spacing w:before="0" w:beforeAutospacing="0" w:after="0" w:afterAutospacing="0"/>
        <w:jc w:val="both"/>
        <w:outlineLvl w:val="0"/>
        <w:rPr>
          <w:rFonts w:ascii="Times New Roman" w:hAnsi="Times New Roman" w:eastAsia="黑体"/>
          <w:snapToGrid w:val="0"/>
          <w:sz w:val="30"/>
          <w:szCs w:val="30"/>
        </w:rPr>
        <w:sectPr>
          <w:footerReference r:id="rId4" w:type="default"/>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
        <w:gridCol w:w="13069"/>
      </w:tblGrid>
      <w:tr w14:paraId="5923A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dxa"/>
            <w:noWrap w:val="0"/>
            <w:vAlign w:val="center"/>
          </w:tcPr>
          <w:p w14:paraId="5CDD75AF">
            <w:pPr>
              <w:pStyle w:val="22"/>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黑体"/>
                <w:snapToGrid w:val="0"/>
                <w:color w:val="auto"/>
                <w:sz w:val="30"/>
                <w:szCs w:val="30"/>
                <w:highlight w:val="none"/>
                <w:vertAlign w:val="baseline"/>
              </w:rPr>
            </w:pPr>
            <w:r>
              <w:rPr>
                <w:rFonts w:hint="default" w:ascii="Times New Roman" w:hAnsi="Times New Roman" w:eastAsia="宋体" w:cs="Times New Roman"/>
                <w:snapToGrid w:val="0"/>
                <w:color w:val="auto"/>
                <w:sz w:val="24"/>
                <w:szCs w:val="24"/>
                <w:highlight w:val="none"/>
                <w:vertAlign w:val="baseline"/>
              </w:rPr>
              <w:t>其他符合性分析</w:t>
            </w:r>
          </w:p>
        </w:tc>
        <w:tc>
          <w:tcPr>
            <w:tcW w:w="13069" w:type="dxa"/>
            <w:noWrap w:val="0"/>
            <w:vAlign w:val="top"/>
          </w:tcPr>
          <w:p w14:paraId="2A8E0AFA">
            <w:pPr>
              <w:numPr>
                <w:ilvl w:val="0"/>
                <w:numId w:val="3"/>
              </w:numPr>
              <w:wordWrap w:val="0"/>
              <w:ind w:left="63" w:leftChars="30" w:right="63" w:rightChars="30"/>
              <w:jc w:val="center"/>
              <w:rPr>
                <w:rFonts w:hint="eastAsia" w:ascii="Times New Roman" w:hAnsi="Times New Roman" w:eastAsia="宋体" w:cs="Times New Roman"/>
                <w:b/>
                <w:szCs w:val="21"/>
              </w:rPr>
            </w:pPr>
            <w:r>
              <w:rPr>
                <w:rFonts w:hint="eastAsia" w:ascii="Times New Roman" w:hAnsi="Times New Roman" w:eastAsia="宋体" w:cs="Times New Roman"/>
                <w:b/>
                <w:szCs w:val="21"/>
              </w:rPr>
              <w:t>本项目与各环境管控单元符合性分析</w:t>
            </w:r>
          </w:p>
          <w:tbl>
            <w:tblPr>
              <w:tblStyle w:val="26"/>
              <w:tblW w:w="12985"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850"/>
              <w:gridCol w:w="616"/>
              <w:gridCol w:w="979"/>
              <w:gridCol w:w="6141"/>
              <w:gridCol w:w="2514"/>
              <w:gridCol w:w="885"/>
            </w:tblGrid>
            <w:tr w14:paraId="38D0668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586" w:type="dxa"/>
                  <w:gridSpan w:val="4"/>
                  <w:noWrap w:val="0"/>
                  <w:vAlign w:val="center"/>
                </w:tcPr>
                <w:p w14:paraId="477108DC">
                  <w:pPr>
                    <w:pStyle w:val="63"/>
                    <w:spacing w:line="240" w:lineRule="exact"/>
                    <w:jc w:val="center"/>
                    <w:rPr>
                      <w:bCs/>
                      <w:color w:val="auto"/>
                      <w:kern w:val="0"/>
                      <w:szCs w:val="21"/>
                      <w:highlight w:val="none"/>
                    </w:rPr>
                  </w:pPr>
                  <w:r>
                    <w:rPr>
                      <w:rFonts w:hint="eastAsia"/>
                      <w:bCs/>
                      <w:color w:val="auto"/>
                      <w:kern w:val="0"/>
                      <w:szCs w:val="21"/>
                      <w:highlight w:val="none"/>
                    </w:rPr>
                    <w:t>“三线一单”的具体要求</w:t>
                  </w:r>
                </w:p>
              </w:tc>
              <w:tc>
                <w:tcPr>
                  <w:tcW w:w="2514" w:type="dxa"/>
                  <w:vMerge w:val="restart"/>
                  <w:noWrap w:val="0"/>
                  <w:vAlign w:val="center"/>
                </w:tcPr>
                <w:p w14:paraId="7A47AE88">
                  <w:pPr>
                    <w:pStyle w:val="63"/>
                    <w:spacing w:line="240" w:lineRule="exact"/>
                    <w:jc w:val="center"/>
                    <w:rPr>
                      <w:rFonts w:hint="eastAsia"/>
                      <w:bCs/>
                      <w:color w:val="auto"/>
                      <w:kern w:val="0"/>
                      <w:szCs w:val="21"/>
                      <w:highlight w:val="none"/>
                    </w:rPr>
                  </w:pPr>
                  <w:r>
                    <w:rPr>
                      <w:rFonts w:hint="eastAsia"/>
                      <w:bCs/>
                      <w:color w:val="auto"/>
                      <w:kern w:val="0"/>
                      <w:szCs w:val="21"/>
                      <w:highlight w:val="none"/>
                    </w:rPr>
                    <w:t>项目对应情况介绍</w:t>
                  </w:r>
                </w:p>
              </w:tc>
              <w:tc>
                <w:tcPr>
                  <w:tcW w:w="885" w:type="dxa"/>
                  <w:vMerge w:val="restart"/>
                  <w:noWrap w:val="0"/>
                  <w:vAlign w:val="center"/>
                </w:tcPr>
                <w:p w14:paraId="02BAAC64">
                  <w:pPr>
                    <w:pStyle w:val="63"/>
                    <w:spacing w:line="240" w:lineRule="exact"/>
                    <w:jc w:val="center"/>
                    <w:rPr>
                      <w:rFonts w:hint="eastAsia"/>
                      <w:bCs/>
                      <w:color w:val="auto"/>
                      <w:kern w:val="0"/>
                      <w:szCs w:val="21"/>
                      <w:highlight w:val="none"/>
                    </w:rPr>
                  </w:pPr>
                  <w:r>
                    <w:rPr>
                      <w:rFonts w:hint="eastAsia"/>
                      <w:bCs/>
                      <w:color w:val="auto"/>
                      <w:kern w:val="0"/>
                      <w:szCs w:val="21"/>
                      <w:highlight w:val="none"/>
                    </w:rPr>
                    <w:t>符合性分析</w:t>
                  </w:r>
                </w:p>
              </w:tc>
            </w:tr>
            <w:tr w14:paraId="73E5D34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445" w:type="dxa"/>
                  <w:gridSpan w:val="3"/>
                  <w:noWrap w:val="0"/>
                  <w:vAlign w:val="center"/>
                </w:tcPr>
                <w:p w14:paraId="03EBFF1A">
                  <w:pPr>
                    <w:pStyle w:val="63"/>
                    <w:spacing w:line="240" w:lineRule="exact"/>
                    <w:jc w:val="center"/>
                    <w:rPr>
                      <w:rFonts w:hint="eastAsia"/>
                      <w:bCs/>
                      <w:color w:val="auto"/>
                      <w:kern w:val="0"/>
                      <w:szCs w:val="21"/>
                      <w:highlight w:val="none"/>
                    </w:rPr>
                  </w:pPr>
                  <w:r>
                    <w:rPr>
                      <w:rFonts w:hint="eastAsia"/>
                      <w:bCs/>
                      <w:color w:val="auto"/>
                      <w:kern w:val="0"/>
                      <w:szCs w:val="21"/>
                      <w:highlight w:val="none"/>
                    </w:rPr>
                    <w:t>类别</w:t>
                  </w:r>
                </w:p>
              </w:tc>
              <w:tc>
                <w:tcPr>
                  <w:tcW w:w="6141" w:type="dxa"/>
                  <w:noWrap w:val="0"/>
                  <w:vAlign w:val="center"/>
                </w:tcPr>
                <w:p w14:paraId="48743182">
                  <w:pPr>
                    <w:pStyle w:val="63"/>
                    <w:spacing w:line="240" w:lineRule="exact"/>
                    <w:jc w:val="center"/>
                    <w:rPr>
                      <w:rFonts w:hint="eastAsia"/>
                      <w:bCs/>
                      <w:color w:val="auto"/>
                      <w:kern w:val="0"/>
                      <w:szCs w:val="21"/>
                      <w:highlight w:val="none"/>
                    </w:rPr>
                  </w:pPr>
                  <w:r>
                    <w:rPr>
                      <w:rFonts w:hint="eastAsia"/>
                      <w:bCs/>
                      <w:color w:val="auto"/>
                      <w:kern w:val="0"/>
                      <w:szCs w:val="21"/>
                      <w:highlight w:val="none"/>
                    </w:rPr>
                    <w:t>对应管控要求</w:t>
                  </w:r>
                </w:p>
              </w:tc>
              <w:tc>
                <w:tcPr>
                  <w:tcW w:w="2514" w:type="dxa"/>
                  <w:vMerge w:val="continue"/>
                  <w:noWrap w:val="0"/>
                  <w:vAlign w:val="center"/>
                </w:tcPr>
                <w:p w14:paraId="402FED00">
                  <w:pPr>
                    <w:pStyle w:val="63"/>
                    <w:spacing w:line="240" w:lineRule="exact"/>
                    <w:jc w:val="center"/>
                    <w:rPr>
                      <w:bCs/>
                      <w:color w:val="auto"/>
                      <w:kern w:val="0"/>
                      <w:szCs w:val="21"/>
                      <w:highlight w:val="none"/>
                    </w:rPr>
                  </w:pPr>
                </w:p>
              </w:tc>
              <w:tc>
                <w:tcPr>
                  <w:tcW w:w="885" w:type="dxa"/>
                  <w:vMerge w:val="continue"/>
                  <w:noWrap w:val="0"/>
                  <w:vAlign w:val="center"/>
                </w:tcPr>
                <w:p w14:paraId="1BEC782A">
                  <w:pPr>
                    <w:pStyle w:val="63"/>
                    <w:spacing w:line="240" w:lineRule="exact"/>
                    <w:jc w:val="center"/>
                    <w:rPr>
                      <w:rFonts w:hint="eastAsia"/>
                      <w:bCs/>
                      <w:color w:val="auto"/>
                      <w:kern w:val="0"/>
                      <w:szCs w:val="21"/>
                      <w:highlight w:val="none"/>
                    </w:rPr>
                  </w:pPr>
                </w:p>
              </w:tc>
            </w:tr>
            <w:tr w14:paraId="6BF5A4A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850" w:type="dxa"/>
                  <w:vMerge w:val="restart"/>
                  <w:noWrap w:val="0"/>
                  <w:vAlign w:val="center"/>
                </w:tcPr>
                <w:p w14:paraId="798F8D14">
                  <w:pPr>
                    <w:pStyle w:val="63"/>
                    <w:spacing w:line="240" w:lineRule="exact"/>
                    <w:jc w:val="center"/>
                    <w:rPr>
                      <w:rFonts w:hint="eastAsia"/>
                      <w:b w:val="0"/>
                      <w:color w:val="auto"/>
                      <w:kern w:val="0"/>
                      <w:szCs w:val="21"/>
                      <w:highlight w:val="none"/>
                    </w:rPr>
                  </w:pPr>
                  <w:r>
                    <w:rPr>
                      <w:rFonts w:hint="eastAsia"/>
                      <w:b w:val="0"/>
                      <w:color w:val="auto"/>
                      <w:kern w:val="0"/>
                      <w:szCs w:val="21"/>
                      <w:highlight w:val="none"/>
                    </w:rPr>
                    <w:t>达州市通川区东岳新型工业集聚区ZH51170220003</w:t>
                  </w:r>
                </w:p>
              </w:tc>
              <w:tc>
                <w:tcPr>
                  <w:tcW w:w="616" w:type="dxa"/>
                  <w:vMerge w:val="restart"/>
                  <w:noWrap w:val="0"/>
                  <w:vAlign w:val="center"/>
                </w:tcPr>
                <w:p w14:paraId="32F5BB14">
                  <w:pPr>
                    <w:pStyle w:val="63"/>
                    <w:spacing w:line="240" w:lineRule="exact"/>
                    <w:jc w:val="center"/>
                    <w:rPr>
                      <w:b w:val="0"/>
                      <w:color w:val="auto"/>
                      <w:kern w:val="0"/>
                      <w:szCs w:val="21"/>
                      <w:highlight w:val="none"/>
                    </w:rPr>
                  </w:pPr>
                  <w:r>
                    <w:rPr>
                      <w:rFonts w:hint="eastAsia"/>
                      <w:b w:val="0"/>
                      <w:color w:val="auto"/>
                      <w:kern w:val="0"/>
                      <w:szCs w:val="21"/>
                      <w:highlight w:val="none"/>
                      <w:lang w:val="en-US" w:eastAsia="zh-CN"/>
                    </w:rPr>
                    <w:t>达州市</w:t>
                  </w:r>
                  <w:r>
                    <w:rPr>
                      <w:rFonts w:hint="eastAsia"/>
                      <w:b w:val="0"/>
                      <w:color w:val="auto"/>
                      <w:kern w:val="0"/>
                      <w:szCs w:val="21"/>
                      <w:highlight w:val="none"/>
                    </w:rPr>
                    <w:t>普适性清单</w:t>
                  </w:r>
                </w:p>
              </w:tc>
              <w:tc>
                <w:tcPr>
                  <w:tcW w:w="979" w:type="dxa"/>
                  <w:noWrap w:val="0"/>
                  <w:vAlign w:val="center"/>
                </w:tcPr>
                <w:p w14:paraId="66725638">
                  <w:pPr>
                    <w:pStyle w:val="63"/>
                    <w:spacing w:line="240" w:lineRule="exact"/>
                    <w:jc w:val="center"/>
                    <w:rPr>
                      <w:b w:val="0"/>
                      <w:color w:val="auto"/>
                      <w:kern w:val="0"/>
                      <w:szCs w:val="21"/>
                      <w:highlight w:val="none"/>
                    </w:rPr>
                  </w:pPr>
                  <w:r>
                    <w:rPr>
                      <w:b w:val="0"/>
                      <w:color w:val="auto"/>
                      <w:kern w:val="0"/>
                      <w:szCs w:val="21"/>
                      <w:highlight w:val="none"/>
                    </w:rPr>
                    <w:t>空间布局约束</w:t>
                  </w:r>
                </w:p>
              </w:tc>
              <w:tc>
                <w:tcPr>
                  <w:tcW w:w="6141" w:type="dxa"/>
                  <w:noWrap w:val="0"/>
                  <w:vAlign w:val="center"/>
                </w:tcPr>
                <w:p w14:paraId="4E713614">
                  <w:pPr>
                    <w:pStyle w:val="63"/>
                    <w:spacing w:line="240" w:lineRule="exact"/>
                    <w:jc w:val="both"/>
                    <w:rPr>
                      <w:rFonts w:hint="eastAsia" w:eastAsia="宋体"/>
                      <w:b/>
                      <w:bCs/>
                      <w:color w:val="auto"/>
                      <w:kern w:val="0"/>
                      <w:szCs w:val="21"/>
                      <w:highlight w:val="none"/>
                      <w:lang w:eastAsia="zh-CN"/>
                    </w:rPr>
                  </w:pPr>
                  <w:r>
                    <w:rPr>
                      <w:rFonts w:hint="eastAsia"/>
                      <w:b/>
                      <w:bCs/>
                      <w:color w:val="auto"/>
                      <w:kern w:val="0"/>
                      <w:szCs w:val="21"/>
                      <w:highlight w:val="none"/>
                    </w:rPr>
                    <w:t>禁止开发建设活动的要求</w:t>
                  </w:r>
                </w:p>
                <w:p w14:paraId="355293CE">
                  <w:pPr>
                    <w:pStyle w:val="63"/>
                    <w:spacing w:line="240" w:lineRule="exact"/>
                    <w:jc w:val="both"/>
                    <w:rPr>
                      <w:rFonts w:hint="eastAsia"/>
                      <w:b w:val="0"/>
                      <w:bCs w:val="0"/>
                      <w:color w:val="auto"/>
                      <w:kern w:val="0"/>
                      <w:szCs w:val="21"/>
                      <w:highlight w:val="none"/>
                    </w:rPr>
                  </w:pPr>
                  <w:r>
                    <w:rPr>
                      <w:rFonts w:hint="eastAsia"/>
                      <w:b w:val="0"/>
                      <w:bCs w:val="0"/>
                      <w:color w:val="auto"/>
                      <w:kern w:val="0"/>
                      <w:szCs w:val="21"/>
                      <w:highlight w:val="none"/>
                    </w:rPr>
                    <w:t>-禁止在长江干支流、重要湖泊岸线一公里范围内新建、扩建化工园区和化工项目，严控新建石油化工、煤化工、涉磷、造纸、印染、制革等项目。</w:t>
                  </w:r>
                </w:p>
                <w:p w14:paraId="1D410A54">
                  <w:pPr>
                    <w:pStyle w:val="63"/>
                    <w:spacing w:line="240" w:lineRule="exact"/>
                    <w:jc w:val="both"/>
                    <w:rPr>
                      <w:rFonts w:hint="eastAsia"/>
                      <w:b w:val="0"/>
                      <w:bCs w:val="0"/>
                      <w:color w:val="auto"/>
                      <w:kern w:val="0"/>
                      <w:szCs w:val="21"/>
                      <w:highlight w:val="none"/>
                    </w:rPr>
                  </w:pPr>
                  <w:r>
                    <w:rPr>
                      <w:rFonts w:hint="eastAsia"/>
                      <w:b w:val="0"/>
                      <w:bCs w:val="0"/>
                      <w:color w:val="auto"/>
                      <w:kern w:val="0"/>
                      <w:szCs w:val="21"/>
                      <w:highlight w:val="none"/>
                    </w:rPr>
                    <w:t>-禁止从事《长江经济带发展负面清单指南（试行）》禁止准入类事项。</w:t>
                  </w:r>
                </w:p>
                <w:p w14:paraId="205B6D7F">
                  <w:pPr>
                    <w:pStyle w:val="63"/>
                    <w:spacing w:line="240" w:lineRule="exact"/>
                    <w:jc w:val="both"/>
                    <w:rPr>
                      <w:rFonts w:hint="eastAsia"/>
                      <w:b w:val="0"/>
                      <w:bCs w:val="0"/>
                      <w:color w:val="auto"/>
                      <w:kern w:val="0"/>
                      <w:szCs w:val="21"/>
                      <w:highlight w:val="none"/>
                    </w:rPr>
                  </w:pPr>
                  <w:r>
                    <w:rPr>
                      <w:rFonts w:hint="eastAsia"/>
                      <w:b w:val="0"/>
                      <w:bCs w:val="0"/>
                      <w:color w:val="auto"/>
                      <w:kern w:val="0"/>
                      <w:szCs w:val="21"/>
                      <w:highlight w:val="none"/>
                    </w:rPr>
                    <w:t>-引进项目应符合园区规划环评和区域产业准入及负面清单要求。</w:t>
                  </w:r>
                </w:p>
                <w:p w14:paraId="333E9481">
                  <w:pPr>
                    <w:pStyle w:val="63"/>
                    <w:spacing w:line="240" w:lineRule="exact"/>
                    <w:jc w:val="both"/>
                    <w:rPr>
                      <w:rFonts w:hint="eastAsia"/>
                      <w:b w:val="0"/>
                      <w:bCs w:val="0"/>
                      <w:color w:val="auto"/>
                      <w:kern w:val="0"/>
                      <w:szCs w:val="21"/>
                      <w:highlight w:val="none"/>
                    </w:rPr>
                  </w:pPr>
                  <w:r>
                    <w:rPr>
                      <w:rFonts w:hint="eastAsia"/>
                      <w:b w:val="0"/>
                      <w:bCs w:val="0"/>
                      <w:color w:val="auto"/>
                      <w:kern w:val="0"/>
                      <w:szCs w:val="21"/>
                      <w:highlight w:val="none"/>
                    </w:rPr>
                    <w:t>-禁止新建不符合国家产业政策和行业准入条件的高污染项目。</w:t>
                  </w:r>
                </w:p>
                <w:p w14:paraId="1F121A47">
                  <w:pPr>
                    <w:pStyle w:val="63"/>
                    <w:spacing w:line="240" w:lineRule="exact"/>
                    <w:jc w:val="both"/>
                    <w:rPr>
                      <w:rFonts w:hint="eastAsia"/>
                      <w:b w:val="0"/>
                      <w:bCs w:val="0"/>
                      <w:color w:val="auto"/>
                      <w:kern w:val="0"/>
                      <w:szCs w:val="21"/>
                      <w:highlight w:val="none"/>
                    </w:rPr>
                  </w:pPr>
                  <w:r>
                    <w:rPr>
                      <w:rFonts w:hint="eastAsia"/>
                      <w:b w:val="0"/>
                      <w:bCs w:val="0"/>
                      <w:color w:val="auto"/>
                      <w:kern w:val="0"/>
                      <w:szCs w:val="21"/>
                      <w:highlight w:val="none"/>
                    </w:rPr>
                    <w:t>-工业园区禁止新建高污染燃料锅炉。</w:t>
                  </w:r>
                </w:p>
                <w:p w14:paraId="503BAF07">
                  <w:pPr>
                    <w:pStyle w:val="63"/>
                    <w:spacing w:line="240" w:lineRule="exact"/>
                    <w:jc w:val="both"/>
                    <w:rPr>
                      <w:rFonts w:hint="eastAsia"/>
                      <w:b w:val="0"/>
                      <w:bCs w:val="0"/>
                      <w:color w:val="auto"/>
                      <w:kern w:val="0"/>
                      <w:szCs w:val="21"/>
                      <w:highlight w:val="none"/>
                    </w:rPr>
                  </w:pPr>
                  <w:r>
                    <w:rPr>
                      <w:rFonts w:hint="eastAsia"/>
                      <w:b w:val="0"/>
                      <w:bCs w:val="0"/>
                      <w:color w:val="auto"/>
                      <w:kern w:val="0"/>
                      <w:szCs w:val="21"/>
                      <w:highlight w:val="none"/>
                    </w:rPr>
                    <w:t>-禁止在长江流域河湖管理范围内倾倒、填埋、堆放、弃置、处理固体废物。</w:t>
                  </w:r>
                </w:p>
                <w:p w14:paraId="57B81222">
                  <w:pPr>
                    <w:pStyle w:val="63"/>
                    <w:spacing w:line="240" w:lineRule="exact"/>
                    <w:jc w:val="both"/>
                    <w:rPr>
                      <w:rFonts w:hint="eastAsia"/>
                      <w:b w:val="0"/>
                      <w:bCs w:val="0"/>
                      <w:color w:val="auto"/>
                      <w:kern w:val="0"/>
                      <w:szCs w:val="21"/>
                      <w:highlight w:val="none"/>
                    </w:rPr>
                  </w:pPr>
                  <w:r>
                    <w:rPr>
                      <w:rFonts w:hint="eastAsia"/>
                      <w:b w:val="0"/>
                      <w:bCs w:val="0"/>
                      <w:color w:val="auto"/>
                      <w:kern w:val="0"/>
                      <w:szCs w:val="21"/>
                      <w:highlight w:val="none"/>
                    </w:rPr>
                    <w:t>-未通过认定的化工园区，不得新建、改扩建化工项目（安全、环保、节能和智能化改造项目除外），按属地原则依法依规妥善做好未通过认定化工园区及园内企业的转型、关闭、处置及监管工作。</w:t>
                  </w:r>
                </w:p>
                <w:p w14:paraId="06FF33EA">
                  <w:pPr>
                    <w:pStyle w:val="63"/>
                    <w:spacing w:line="240" w:lineRule="exact"/>
                    <w:jc w:val="both"/>
                    <w:rPr>
                      <w:rFonts w:hint="eastAsia"/>
                      <w:b/>
                      <w:bCs/>
                      <w:color w:val="auto"/>
                      <w:kern w:val="0"/>
                      <w:szCs w:val="21"/>
                      <w:highlight w:val="none"/>
                    </w:rPr>
                  </w:pPr>
                  <w:r>
                    <w:rPr>
                      <w:rFonts w:hint="eastAsia"/>
                      <w:b/>
                      <w:bCs/>
                      <w:color w:val="auto"/>
                      <w:kern w:val="0"/>
                      <w:szCs w:val="21"/>
                      <w:highlight w:val="none"/>
                    </w:rPr>
                    <w:t>限制开发建设活动的要求</w:t>
                  </w:r>
                </w:p>
                <w:p w14:paraId="324148D8">
                  <w:pPr>
                    <w:pStyle w:val="63"/>
                    <w:spacing w:line="240" w:lineRule="exact"/>
                    <w:jc w:val="both"/>
                    <w:rPr>
                      <w:rFonts w:hint="eastAsia"/>
                      <w:b w:val="0"/>
                      <w:bCs w:val="0"/>
                      <w:color w:val="auto"/>
                      <w:kern w:val="0"/>
                      <w:szCs w:val="21"/>
                      <w:highlight w:val="none"/>
                    </w:rPr>
                  </w:pPr>
                  <w:r>
                    <w:rPr>
                      <w:rFonts w:hint="eastAsia"/>
                      <w:b w:val="0"/>
                      <w:bCs w:val="0"/>
                      <w:color w:val="auto"/>
                      <w:kern w:val="0"/>
                      <w:szCs w:val="21"/>
                      <w:highlight w:val="none"/>
                    </w:rPr>
                    <w:t>-严格控制污染物新增排放量，对新建排放二氧化硫、氮氧化物、工业烟粉尘和VOC</w:t>
                  </w:r>
                  <w:r>
                    <w:rPr>
                      <w:rFonts w:hint="eastAsia"/>
                      <w:b w:val="0"/>
                      <w:bCs w:val="0"/>
                      <w:color w:val="auto"/>
                      <w:kern w:val="0"/>
                      <w:szCs w:val="21"/>
                      <w:highlight w:val="none"/>
                      <w:vertAlign w:val="subscript"/>
                    </w:rPr>
                    <w:t>S</w:t>
                  </w:r>
                  <w:r>
                    <w:rPr>
                      <w:rFonts w:hint="eastAsia"/>
                      <w:b w:val="0"/>
                      <w:bCs w:val="0"/>
                      <w:color w:val="auto"/>
                      <w:kern w:val="0"/>
                      <w:szCs w:val="21"/>
                      <w:highlight w:val="none"/>
                    </w:rPr>
                    <w:t>的项目实施现役源2倍削减量替代。</w:t>
                  </w:r>
                </w:p>
                <w:p w14:paraId="379B6D2B">
                  <w:pPr>
                    <w:pStyle w:val="63"/>
                    <w:spacing w:line="240" w:lineRule="exact"/>
                    <w:jc w:val="both"/>
                    <w:rPr>
                      <w:rFonts w:hint="eastAsia"/>
                      <w:b w:val="0"/>
                      <w:bCs w:val="0"/>
                      <w:color w:val="auto"/>
                      <w:kern w:val="0"/>
                      <w:szCs w:val="21"/>
                      <w:highlight w:val="none"/>
                    </w:rPr>
                  </w:pPr>
                  <w:r>
                    <w:rPr>
                      <w:rFonts w:hint="eastAsia"/>
                      <w:b w:val="0"/>
                      <w:bCs w:val="0"/>
                      <w:color w:val="auto"/>
                      <w:kern w:val="0"/>
                      <w:szCs w:val="21"/>
                      <w:highlight w:val="none"/>
                    </w:rPr>
                    <w:t>-严格实施环评制度，将细颗粒物达标情况纳入规划环评和相关项目环评内容，加快制定颗粒物、VOC</w:t>
                  </w:r>
                  <w:r>
                    <w:rPr>
                      <w:rFonts w:hint="eastAsia"/>
                      <w:b w:val="0"/>
                      <w:bCs w:val="0"/>
                      <w:color w:val="auto"/>
                      <w:kern w:val="0"/>
                      <w:szCs w:val="21"/>
                      <w:highlight w:val="none"/>
                      <w:vertAlign w:val="subscript"/>
                    </w:rPr>
                    <w:t>S</w:t>
                  </w:r>
                  <w:r>
                    <w:rPr>
                      <w:rFonts w:hint="eastAsia"/>
                      <w:b w:val="0"/>
                      <w:bCs w:val="0"/>
                      <w:color w:val="auto"/>
                      <w:kern w:val="0"/>
                      <w:szCs w:val="21"/>
                      <w:highlight w:val="none"/>
                    </w:rPr>
                    <w:t>排放总量管理配套政策。</w:t>
                  </w:r>
                </w:p>
                <w:p w14:paraId="1AFB9185">
                  <w:pPr>
                    <w:pStyle w:val="63"/>
                    <w:spacing w:line="240" w:lineRule="exact"/>
                    <w:jc w:val="both"/>
                    <w:rPr>
                      <w:rFonts w:hint="eastAsia"/>
                      <w:b w:val="0"/>
                      <w:bCs w:val="0"/>
                      <w:color w:val="auto"/>
                      <w:kern w:val="0"/>
                      <w:szCs w:val="21"/>
                      <w:highlight w:val="none"/>
                    </w:rPr>
                  </w:pPr>
                  <w:r>
                    <w:rPr>
                      <w:rFonts w:hint="eastAsia"/>
                      <w:b w:val="0"/>
                      <w:bCs w:val="0"/>
                      <w:color w:val="auto"/>
                      <w:kern w:val="0"/>
                      <w:szCs w:val="21"/>
                      <w:highlight w:val="none"/>
                    </w:rPr>
                    <w:t>-严格控制新建、扩建燃煤发电项目。</w:t>
                  </w:r>
                </w:p>
                <w:p w14:paraId="19D3B497">
                  <w:pPr>
                    <w:pStyle w:val="63"/>
                    <w:spacing w:line="240" w:lineRule="exact"/>
                    <w:jc w:val="both"/>
                    <w:rPr>
                      <w:rFonts w:hint="eastAsia"/>
                      <w:b w:val="0"/>
                      <w:bCs w:val="0"/>
                      <w:color w:val="auto"/>
                      <w:kern w:val="0"/>
                      <w:szCs w:val="21"/>
                      <w:highlight w:val="none"/>
                    </w:rPr>
                  </w:pPr>
                  <w:r>
                    <w:rPr>
                      <w:rFonts w:hint="eastAsia"/>
                      <w:b w:val="0"/>
                      <w:bCs w:val="0"/>
                      <w:color w:val="auto"/>
                      <w:kern w:val="0"/>
                      <w:szCs w:val="21"/>
                      <w:highlight w:val="none"/>
                    </w:rPr>
                    <w:t>-严控达州市主城区上游沿岸地区新建石油化工、煤化工、涉磷、造纸、印染、制革等项目。</w:t>
                  </w:r>
                </w:p>
                <w:p w14:paraId="7199FDC8">
                  <w:pPr>
                    <w:pStyle w:val="63"/>
                    <w:spacing w:line="240" w:lineRule="exact"/>
                    <w:jc w:val="both"/>
                    <w:rPr>
                      <w:rFonts w:hint="eastAsia"/>
                      <w:b/>
                      <w:bCs/>
                      <w:color w:val="auto"/>
                      <w:kern w:val="0"/>
                      <w:szCs w:val="21"/>
                      <w:highlight w:val="none"/>
                    </w:rPr>
                  </w:pPr>
                  <w:r>
                    <w:rPr>
                      <w:rFonts w:hint="eastAsia"/>
                      <w:b/>
                      <w:bCs/>
                      <w:color w:val="auto"/>
                      <w:kern w:val="0"/>
                      <w:szCs w:val="21"/>
                      <w:highlight w:val="none"/>
                    </w:rPr>
                    <w:t>不符合空间布局要求活动的退出要求</w:t>
                  </w:r>
                </w:p>
                <w:p w14:paraId="2BBCC11E">
                  <w:pPr>
                    <w:pStyle w:val="63"/>
                    <w:spacing w:line="240" w:lineRule="exact"/>
                    <w:jc w:val="both"/>
                    <w:rPr>
                      <w:rFonts w:hint="eastAsia"/>
                      <w:b w:val="0"/>
                      <w:bCs w:val="0"/>
                      <w:color w:val="auto"/>
                      <w:kern w:val="0"/>
                      <w:szCs w:val="21"/>
                      <w:highlight w:val="none"/>
                    </w:rPr>
                  </w:pPr>
                  <w:r>
                    <w:rPr>
                      <w:rFonts w:hint="eastAsia"/>
                      <w:b w:val="0"/>
                      <w:bCs w:val="0"/>
                      <w:color w:val="auto"/>
                      <w:kern w:val="0"/>
                      <w:szCs w:val="21"/>
                      <w:highlight w:val="none"/>
                    </w:rPr>
                    <w:t>-现有属于禁止引入产业门类的企业，应按相关规定限期整治或退出。</w:t>
                  </w:r>
                </w:p>
                <w:p w14:paraId="697AA2BE">
                  <w:pPr>
                    <w:pStyle w:val="63"/>
                    <w:spacing w:line="240" w:lineRule="exact"/>
                    <w:jc w:val="both"/>
                    <w:rPr>
                      <w:rFonts w:hint="eastAsia"/>
                      <w:b w:val="0"/>
                      <w:bCs w:val="0"/>
                      <w:color w:val="auto"/>
                      <w:kern w:val="0"/>
                      <w:szCs w:val="21"/>
                      <w:highlight w:val="none"/>
                    </w:rPr>
                  </w:pPr>
                  <w:r>
                    <w:rPr>
                      <w:rFonts w:hint="eastAsia"/>
                      <w:b w:val="0"/>
                      <w:bCs w:val="0"/>
                      <w:color w:val="auto"/>
                      <w:kern w:val="0"/>
                      <w:szCs w:val="21"/>
                      <w:highlight w:val="none"/>
                    </w:rPr>
                    <w:t>-重点区域城市钢铁企业要切实采取彻底关停、转型发展、就地改造、域外搬迁等方式。四川省达州钢铁集团有限责任公司处于四川省大气污染防治重点区域，属于“彻底关停、转型发展、就地改造、域外搬迁”企业；</w:t>
                  </w:r>
                </w:p>
                <w:p w14:paraId="3003EE01">
                  <w:pPr>
                    <w:pStyle w:val="63"/>
                    <w:spacing w:line="240" w:lineRule="exact"/>
                    <w:jc w:val="both"/>
                    <w:rPr>
                      <w:rFonts w:hint="eastAsia"/>
                      <w:b w:val="0"/>
                      <w:bCs w:val="0"/>
                      <w:color w:val="auto"/>
                      <w:kern w:val="0"/>
                      <w:szCs w:val="21"/>
                      <w:highlight w:val="none"/>
                    </w:rPr>
                  </w:pPr>
                  <w:r>
                    <w:rPr>
                      <w:rFonts w:hint="eastAsia"/>
                      <w:b w:val="0"/>
                      <w:bCs w:val="0"/>
                      <w:color w:val="auto"/>
                      <w:kern w:val="0"/>
                      <w:szCs w:val="21"/>
                      <w:highlight w:val="none"/>
                    </w:rPr>
                    <w:t>-引导重污染产业退出或搬迁、企业分类退城入园，逐步打破近水靠城的历史工业布局。加大城市区域现有装备水平低、环保设施差的微小企业“关、停、并、转”实施力度，清理建成区上风向重点涉气项目。</w:t>
                  </w:r>
                </w:p>
                <w:p w14:paraId="42BDFBF7">
                  <w:pPr>
                    <w:pStyle w:val="63"/>
                    <w:spacing w:line="240" w:lineRule="exact"/>
                    <w:jc w:val="both"/>
                    <w:rPr>
                      <w:rFonts w:hint="eastAsia"/>
                      <w:b w:val="0"/>
                      <w:bCs w:val="0"/>
                      <w:color w:val="auto"/>
                      <w:kern w:val="0"/>
                      <w:szCs w:val="21"/>
                      <w:highlight w:val="none"/>
                    </w:rPr>
                  </w:pPr>
                  <w:r>
                    <w:rPr>
                      <w:rFonts w:hint="eastAsia"/>
                      <w:b w:val="0"/>
                      <w:bCs w:val="0"/>
                      <w:color w:val="auto"/>
                      <w:kern w:val="0"/>
                      <w:szCs w:val="21"/>
                      <w:highlight w:val="none"/>
                    </w:rPr>
                    <w:t>-石化、现代煤化工项目应纳入国家产业规划。新建、扩建石化、化工、焦化、有色金属冶炼、平板玻璃项目应布设在依法合规设立并经规划环评的产业园区。</w:t>
                  </w:r>
                </w:p>
                <w:p w14:paraId="748BF8E1">
                  <w:pPr>
                    <w:pStyle w:val="63"/>
                    <w:spacing w:line="240" w:lineRule="exact"/>
                    <w:jc w:val="both"/>
                    <w:rPr>
                      <w:rFonts w:hint="eastAsia"/>
                      <w:b/>
                      <w:bCs/>
                      <w:color w:val="auto"/>
                      <w:kern w:val="0"/>
                      <w:szCs w:val="21"/>
                      <w:highlight w:val="none"/>
                    </w:rPr>
                  </w:pPr>
                  <w:r>
                    <w:rPr>
                      <w:rFonts w:hint="eastAsia"/>
                      <w:b/>
                      <w:bCs/>
                      <w:color w:val="auto"/>
                      <w:kern w:val="0"/>
                      <w:szCs w:val="21"/>
                      <w:highlight w:val="none"/>
                    </w:rPr>
                    <w:t>其他空间布局约束要求</w:t>
                  </w:r>
                </w:p>
                <w:p w14:paraId="28C710C5">
                  <w:pPr>
                    <w:pStyle w:val="63"/>
                    <w:spacing w:line="240" w:lineRule="exact"/>
                    <w:jc w:val="both"/>
                    <w:rPr>
                      <w:bCs/>
                      <w:color w:val="auto"/>
                      <w:kern w:val="0"/>
                      <w:szCs w:val="21"/>
                      <w:highlight w:val="none"/>
                    </w:rPr>
                  </w:pPr>
                  <w:r>
                    <w:rPr>
                      <w:rFonts w:hint="eastAsia"/>
                      <w:b w:val="0"/>
                      <w:bCs w:val="0"/>
                      <w:color w:val="auto"/>
                      <w:kern w:val="0"/>
                      <w:szCs w:val="21"/>
                      <w:highlight w:val="none"/>
                    </w:rPr>
                    <w:t>/</w:t>
                  </w:r>
                </w:p>
              </w:tc>
              <w:tc>
                <w:tcPr>
                  <w:tcW w:w="2514" w:type="dxa"/>
                  <w:noWrap w:val="0"/>
                  <w:vAlign w:val="center"/>
                </w:tcPr>
                <w:p w14:paraId="02561E26">
                  <w:pPr>
                    <w:pStyle w:val="63"/>
                    <w:spacing w:line="240" w:lineRule="exact"/>
                    <w:jc w:val="both"/>
                    <w:rPr>
                      <w:rFonts w:hint="default" w:eastAsia="宋体"/>
                      <w:bCs/>
                      <w:color w:val="auto"/>
                      <w:kern w:val="0"/>
                      <w:szCs w:val="21"/>
                      <w:highlight w:val="none"/>
                      <w:lang w:val="en-US" w:eastAsia="zh-CN"/>
                    </w:rPr>
                  </w:pPr>
                  <w:r>
                    <w:rPr>
                      <w:rFonts w:hint="eastAsia"/>
                      <w:b w:val="0"/>
                      <w:bCs w:val="0"/>
                      <w:color w:val="auto"/>
                      <w:kern w:val="0"/>
                      <w:szCs w:val="21"/>
                      <w:highlight w:val="none"/>
                      <w:lang w:val="en-US" w:eastAsia="zh-CN"/>
                    </w:rPr>
                    <w:t>本项目为其他非金属矿物制品制造及煤制品制造，为园区允许类项目，不属于石油化工、煤化工、涉磷、造纸、印染、制革等项目；项目满足《长江经济带发展负面清单指南（试行）》相关要求；本项目烘干炉及导热油炉以天然气为燃料；项目产生的二氧化硫、氮氧化物、工业烟粉尘和VOCs实施现役源2倍削减量替代。</w:t>
                  </w:r>
                </w:p>
              </w:tc>
              <w:tc>
                <w:tcPr>
                  <w:tcW w:w="885" w:type="dxa"/>
                  <w:noWrap w:val="0"/>
                  <w:vAlign w:val="center"/>
                </w:tcPr>
                <w:p w14:paraId="6B7C3A25">
                  <w:pPr>
                    <w:pStyle w:val="63"/>
                    <w:spacing w:line="240" w:lineRule="exact"/>
                    <w:jc w:val="center"/>
                    <w:rPr>
                      <w:rFonts w:hint="eastAsia"/>
                      <w:bCs/>
                      <w:color w:val="auto"/>
                      <w:kern w:val="0"/>
                      <w:szCs w:val="21"/>
                      <w:highlight w:val="none"/>
                    </w:rPr>
                  </w:pPr>
                  <w:r>
                    <w:rPr>
                      <w:rFonts w:hint="eastAsia"/>
                      <w:b w:val="0"/>
                      <w:color w:val="auto"/>
                      <w:kern w:val="0"/>
                      <w:szCs w:val="21"/>
                      <w:highlight w:val="none"/>
                    </w:rPr>
                    <w:t>符合</w:t>
                  </w:r>
                </w:p>
              </w:tc>
            </w:tr>
            <w:tr w14:paraId="3A84A94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850" w:type="dxa"/>
                  <w:vMerge w:val="continue"/>
                  <w:noWrap w:val="0"/>
                  <w:vAlign w:val="center"/>
                </w:tcPr>
                <w:p w14:paraId="086F3927">
                  <w:pPr>
                    <w:pStyle w:val="63"/>
                    <w:spacing w:line="240" w:lineRule="exact"/>
                    <w:jc w:val="center"/>
                    <w:rPr>
                      <w:b w:val="0"/>
                      <w:color w:val="auto"/>
                      <w:kern w:val="0"/>
                      <w:szCs w:val="21"/>
                      <w:highlight w:val="none"/>
                    </w:rPr>
                  </w:pPr>
                </w:p>
              </w:tc>
              <w:tc>
                <w:tcPr>
                  <w:tcW w:w="616" w:type="dxa"/>
                  <w:vMerge w:val="continue"/>
                  <w:noWrap w:val="0"/>
                  <w:vAlign w:val="center"/>
                </w:tcPr>
                <w:p w14:paraId="6F5EA443">
                  <w:pPr>
                    <w:pStyle w:val="63"/>
                    <w:spacing w:line="240" w:lineRule="exact"/>
                    <w:jc w:val="center"/>
                    <w:rPr>
                      <w:rFonts w:hint="eastAsia"/>
                      <w:b w:val="0"/>
                      <w:color w:val="auto"/>
                      <w:kern w:val="0"/>
                      <w:szCs w:val="21"/>
                      <w:highlight w:val="none"/>
                    </w:rPr>
                  </w:pPr>
                </w:p>
              </w:tc>
              <w:tc>
                <w:tcPr>
                  <w:tcW w:w="979" w:type="dxa"/>
                  <w:noWrap w:val="0"/>
                  <w:vAlign w:val="center"/>
                </w:tcPr>
                <w:p w14:paraId="5B1083CC">
                  <w:pPr>
                    <w:pStyle w:val="63"/>
                    <w:spacing w:line="240" w:lineRule="exact"/>
                    <w:jc w:val="center"/>
                    <w:rPr>
                      <w:rFonts w:hint="eastAsia"/>
                      <w:b w:val="0"/>
                      <w:color w:val="auto"/>
                      <w:kern w:val="0"/>
                      <w:szCs w:val="21"/>
                      <w:highlight w:val="none"/>
                    </w:rPr>
                  </w:pPr>
                  <w:r>
                    <w:rPr>
                      <w:rFonts w:hint="eastAsia"/>
                      <w:b w:val="0"/>
                      <w:color w:val="auto"/>
                      <w:kern w:val="0"/>
                      <w:szCs w:val="21"/>
                      <w:highlight w:val="none"/>
                    </w:rPr>
                    <w:t>污染物排放管控</w:t>
                  </w:r>
                </w:p>
              </w:tc>
              <w:tc>
                <w:tcPr>
                  <w:tcW w:w="6141" w:type="dxa"/>
                  <w:noWrap w:val="0"/>
                  <w:vAlign w:val="center"/>
                </w:tcPr>
                <w:p w14:paraId="72CDF845">
                  <w:pPr>
                    <w:pStyle w:val="63"/>
                    <w:spacing w:line="240" w:lineRule="exact"/>
                    <w:jc w:val="both"/>
                    <w:rPr>
                      <w:rFonts w:hint="eastAsia"/>
                      <w:b/>
                      <w:bCs/>
                      <w:color w:val="auto"/>
                      <w:kern w:val="0"/>
                      <w:szCs w:val="21"/>
                      <w:highlight w:val="none"/>
                    </w:rPr>
                  </w:pPr>
                  <w:r>
                    <w:rPr>
                      <w:rFonts w:hint="eastAsia"/>
                      <w:b/>
                      <w:bCs/>
                      <w:color w:val="auto"/>
                      <w:kern w:val="0"/>
                      <w:szCs w:val="21"/>
                      <w:highlight w:val="none"/>
                    </w:rPr>
                    <w:t>允许排放量要求</w:t>
                  </w:r>
                </w:p>
                <w:p w14:paraId="7C708DDB">
                  <w:pPr>
                    <w:pStyle w:val="63"/>
                    <w:spacing w:line="240" w:lineRule="exact"/>
                    <w:jc w:val="both"/>
                    <w:rPr>
                      <w:rFonts w:hint="eastAsia"/>
                      <w:b w:val="0"/>
                      <w:color w:val="auto"/>
                      <w:kern w:val="0"/>
                      <w:szCs w:val="21"/>
                      <w:highlight w:val="none"/>
                    </w:rPr>
                  </w:pPr>
                  <w:r>
                    <w:rPr>
                      <w:rFonts w:hint="eastAsia"/>
                      <w:b w:val="0"/>
                      <w:color w:val="auto"/>
                      <w:kern w:val="0"/>
                      <w:szCs w:val="21"/>
                      <w:highlight w:val="none"/>
                      <w:lang w:val="en-US" w:eastAsia="zh-CN"/>
                    </w:rPr>
                    <w:t>-</w:t>
                  </w:r>
                  <w:r>
                    <w:rPr>
                      <w:rFonts w:hint="eastAsia"/>
                      <w:b w:val="0"/>
                      <w:color w:val="auto"/>
                      <w:kern w:val="0"/>
                      <w:szCs w:val="21"/>
                      <w:highlight w:val="none"/>
                    </w:rPr>
                    <w:t>达州市2025年水污染物允许排放量COD4396.41t，氨氮418.7t，TP45.36t；达州市2025年大气污染物一次PM</w:t>
                  </w:r>
                  <w:r>
                    <w:rPr>
                      <w:rFonts w:hint="eastAsia"/>
                      <w:b w:val="0"/>
                      <w:color w:val="auto"/>
                      <w:kern w:val="0"/>
                      <w:szCs w:val="21"/>
                      <w:highlight w:val="none"/>
                      <w:vertAlign w:val="subscript"/>
                    </w:rPr>
                    <w:t>2.5</w:t>
                  </w:r>
                  <w:r>
                    <w:rPr>
                      <w:rFonts w:hint="eastAsia"/>
                      <w:b w:val="0"/>
                      <w:color w:val="auto"/>
                      <w:kern w:val="0"/>
                      <w:szCs w:val="21"/>
                      <w:highlight w:val="none"/>
                    </w:rPr>
                    <w:t xml:space="preserve"> 5805t、SO</w:t>
                  </w:r>
                  <w:r>
                    <w:rPr>
                      <w:rFonts w:hint="eastAsia"/>
                      <w:b w:val="0"/>
                      <w:color w:val="auto"/>
                      <w:kern w:val="0"/>
                      <w:szCs w:val="21"/>
                      <w:highlight w:val="none"/>
                      <w:vertAlign w:val="subscript"/>
                    </w:rPr>
                    <w:t>2</w:t>
                  </w:r>
                  <w:r>
                    <w:rPr>
                      <w:rFonts w:hint="eastAsia"/>
                      <w:b w:val="0"/>
                      <w:color w:val="auto"/>
                      <w:kern w:val="0"/>
                      <w:szCs w:val="21"/>
                      <w:highlight w:val="none"/>
                    </w:rPr>
                    <w:t xml:space="preserve"> 12773t、NO</w:t>
                  </w:r>
                  <w:r>
                    <w:rPr>
                      <w:rFonts w:hint="eastAsia"/>
                      <w:b w:val="0"/>
                      <w:color w:val="auto"/>
                      <w:kern w:val="0"/>
                      <w:szCs w:val="21"/>
                      <w:highlight w:val="none"/>
                      <w:vertAlign w:val="subscript"/>
                    </w:rPr>
                    <w:t>x</w:t>
                  </w:r>
                  <w:r>
                    <w:rPr>
                      <w:rFonts w:hint="eastAsia"/>
                      <w:b w:val="0"/>
                      <w:color w:val="auto"/>
                      <w:kern w:val="0"/>
                      <w:szCs w:val="21"/>
                      <w:highlight w:val="none"/>
                    </w:rPr>
                    <w:t>11892t、VOCs 13969t</w:t>
                  </w:r>
                </w:p>
                <w:p w14:paraId="49897C2C">
                  <w:pPr>
                    <w:pStyle w:val="63"/>
                    <w:spacing w:line="240" w:lineRule="exact"/>
                    <w:jc w:val="both"/>
                    <w:rPr>
                      <w:rFonts w:hint="eastAsia"/>
                      <w:b/>
                      <w:bCs/>
                      <w:color w:val="auto"/>
                      <w:kern w:val="0"/>
                      <w:szCs w:val="21"/>
                      <w:highlight w:val="none"/>
                    </w:rPr>
                  </w:pPr>
                  <w:r>
                    <w:rPr>
                      <w:rFonts w:hint="eastAsia"/>
                      <w:b/>
                      <w:bCs/>
                      <w:color w:val="auto"/>
                      <w:kern w:val="0"/>
                      <w:szCs w:val="21"/>
                      <w:highlight w:val="none"/>
                    </w:rPr>
                    <w:t>现有源提标升级改造</w:t>
                  </w:r>
                </w:p>
                <w:p w14:paraId="7DD18A0B">
                  <w:pPr>
                    <w:pStyle w:val="63"/>
                    <w:spacing w:line="240" w:lineRule="exact"/>
                    <w:jc w:val="both"/>
                    <w:rPr>
                      <w:rFonts w:hint="eastAsia"/>
                      <w:b w:val="0"/>
                      <w:color w:val="auto"/>
                      <w:kern w:val="0"/>
                      <w:szCs w:val="21"/>
                      <w:highlight w:val="none"/>
                    </w:rPr>
                  </w:pPr>
                  <w:r>
                    <w:rPr>
                      <w:rFonts w:hint="eastAsia"/>
                      <w:b w:val="0"/>
                      <w:color w:val="auto"/>
                      <w:kern w:val="0"/>
                      <w:szCs w:val="21"/>
                      <w:highlight w:val="none"/>
                    </w:rPr>
                    <w:t>-污水收集处理率达100%；</w:t>
                  </w:r>
                </w:p>
                <w:p w14:paraId="67E9AF6B">
                  <w:pPr>
                    <w:pStyle w:val="63"/>
                    <w:spacing w:line="240" w:lineRule="exact"/>
                    <w:jc w:val="both"/>
                    <w:rPr>
                      <w:rFonts w:hint="eastAsia"/>
                      <w:b w:val="0"/>
                      <w:color w:val="auto"/>
                      <w:kern w:val="0"/>
                      <w:szCs w:val="21"/>
                      <w:highlight w:val="none"/>
                    </w:rPr>
                  </w:pPr>
                  <w:r>
                    <w:rPr>
                      <w:rFonts w:hint="eastAsia"/>
                      <w:b w:val="0"/>
                      <w:color w:val="auto"/>
                      <w:kern w:val="0"/>
                      <w:szCs w:val="21"/>
                      <w:highlight w:val="none"/>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14:paraId="31375AC2">
                  <w:pPr>
                    <w:pStyle w:val="63"/>
                    <w:spacing w:line="240" w:lineRule="exact"/>
                    <w:jc w:val="both"/>
                    <w:rPr>
                      <w:rFonts w:hint="eastAsia"/>
                      <w:b w:val="0"/>
                      <w:color w:val="auto"/>
                      <w:kern w:val="0"/>
                      <w:szCs w:val="21"/>
                      <w:highlight w:val="none"/>
                    </w:rPr>
                  </w:pPr>
                  <w:r>
                    <w:rPr>
                      <w:rFonts w:hint="eastAsia"/>
                      <w:b w:val="0"/>
                      <w:color w:val="auto"/>
                      <w:kern w:val="0"/>
                      <w:szCs w:val="21"/>
                      <w:highlight w:val="none"/>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14:paraId="01C01B3E">
                  <w:pPr>
                    <w:pStyle w:val="63"/>
                    <w:spacing w:line="240" w:lineRule="exact"/>
                    <w:jc w:val="both"/>
                    <w:rPr>
                      <w:rFonts w:hint="eastAsia"/>
                      <w:b w:val="0"/>
                      <w:color w:val="auto"/>
                      <w:kern w:val="0"/>
                      <w:szCs w:val="21"/>
                      <w:highlight w:val="none"/>
                    </w:rPr>
                  </w:pPr>
                  <w:r>
                    <w:rPr>
                      <w:rFonts w:hint="eastAsia"/>
                      <w:b w:val="0"/>
                      <w:color w:val="auto"/>
                      <w:kern w:val="0"/>
                      <w:szCs w:val="21"/>
                      <w:highlight w:val="none"/>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14:paraId="369B2330">
                  <w:pPr>
                    <w:pStyle w:val="63"/>
                    <w:spacing w:line="240" w:lineRule="exact"/>
                    <w:jc w:val="both"/>
                    <w:rPr>
                      <w:rFonts w:hint="eastAsia"/>
                      <w:b/>
                      <w:bCs/>
                      <w:color w:val="auto"/>
                      <w:kern w:val="0"/>
                      <w:szCs w:val="21"/>
                      <w:highlight w:val="none"/>
                    </w:rPr>
                  </w:pPr>
                  <w:r>
                    <w:rPr>
                      <w:rFonts w:hint="eastAsia"/>
                      <w:b/>
                      <w:bCs/>
                      <w:color w:val="auto"/>
                      <w:kern w:val="0"/>
                      <w:szCs w:val="21"/>
                      <w:highlight w:val="none"/>
                    </w:rPr>
                    <w:t>其他污染物排放管控要求</w:t>
                  </w:r>
                </w:p>
                <w:p w14:paraId="6120F179">
                  <w:pPr>
                    <w:pStyle w:val="63"/>
                    <w:spacing w:line="240" w:lineRule="exact"/>
                    <w:jc w:val="both"/>
                    <w:rPr>
                      <w:rFonts w:hint="eastAsia"/>
                      <w:b w:val="0"/>
                      <w:color w:val="auto"/>
                      <w:kern w:val="0"/>
                      <w:szCs w:val="21"/>
                      <w:highlight w:val="none"/>
                    </w:rPr>
                  </w:pPr>
                  <w:r>
                    <w:rPr>
                      <w:rFonts w:hint="eastAsia"/>
                      <w:b w:val="0"/>
                      <w:color w:val="auto"/>
                      <w:kern w:val="0"/>
                      <w:szCs w:val="21"/>
                      <w:highlight w:val="none"/>
                      <w:lang w:val="en-US" w:eastAsia="zh-CN"/>
                    </w:rPr>
                    <w:t>-</w:t>
                  </w:r>
                  <w:r>
                    <w:rPr>
                      <w:rFonts w:hint="eastAsia"/>
                      <w:b w:val="0"/>
                      <w:color w:val="auto"/>
                      <w:kern w:val="0"/>
                      <w:szCs w:val="21"/>
                      <w:highlight w:val="none"/>
                    </w:rPr>
                    <w:t>新增源等量或倍量替代</w:t>
                  </w:r>
                  <w:r>
                    <w:rPr>
                      <w:rFonts w:hint="eastAsia"/>
                      <w:b w:val="0"/>
                      <w:color w:val="auto"/>
                      <w:kern w:val="0"/>
                      <w:szCs w:val="21"/>
                      <w:highlight w:val="none"/>
                      <w:lang w:eastAsia="zh-CN"/>
                    </w:rPr>
                    <w:t>：</w:t>
                  </w:r>
                  <w:r>
                    <w:rPr>
                      <w:rFonts w:hint="eastAsia"/>
                      <w:b w:val="0"/>
                      <w:color w:val="auto"/>
                      <w:kern w:val="0"/>
                      <w:szCs w:val="21"/>
                      <w:highlight w:val="none"/>
                    </w:rPr>
                    <w:t>上一年度水环境质量未完成目标的，新建排放水污染的建设项目按照总量管控要求进行倍量削减替代。</w:t>
                  </w:r>
                </w:p>
                <w:p w14:paraId="5513A9EF">
                  <w:pPr>
                    <w:pStyle w:val="63"/>
                    <w:spacing w:line="240" w:lineRule="exact"/>
                    <w:jc w:val="both"/>
                    <w:rPr>
                      <w:rFonts w:hint="eastAsia"/>
                      <w:b w:val="0"/>
                      <w:color w:val="auto"/>
                      <w:kern w:val="0"/>
                      <w:szCs w:val="21"/>
                      <w:highlight w:val="none"/>
                    </w:rPr>
                  </w:pPr>
                  <w:r>
                    <w:rPr>
                      <w:rFonts w:hint="eastAsia"/>
                      <w:b w:val="0"/>
                      <w:color w:val="auto"/>
                      <w:kern w:val="0"/>
                      <w:szCs w:val="21"/>
                      <w:highlight w:val="none"/>
                    </w:rPr>
                    <w:t>上一年度空气质量年平均浓度不达标的城市，建设项目新增相关污染物按照总量管控要求进行倍量削减替代。</w:t>
                  </w:r>
                </w:p>
                <w:p w14:paraId="2B9D1209">
                  <w:pPr>
                    <w:pStyle w:val="63"/>
                    <w:spacing w:line="240" w:lineRule="exact"/>
                    <w:jc w:val="both"/>
                    <w:rPr>
                      <w:rFonts w:hint="eastAsia" w:eastAsia="宋体"/>
                      <w:b w:val="0"/>
                      <w:color w:val="auto"/>
                      <w:kern w:val="0"/>
                      <w:szCs w:val="21"/>
                      <w:highlight w:val="none"/>
                      <w:lang w:eastAsia="zh-CN"/>
                    </w:rPr>
                  </w:pPr>
                  <w:r>
                    <w:rPr>
                      <w:rFonts w:hint="eastAsia"/>
                      <w:b w:val="0"/>
                      <w:color w:val="auto"/>
                      <w:kern w:val="0"/>
                      <w:szCs w:val="21"/>
                      <w:highlight w:val="none"/>
                      <w:lang w:val="en-US" w:eastAsia="zh-CN"/>
                    </w:rPr>
                    <w:t>-</w:t>
                  </w:r>
                  <w:r>
                    <w:rPr>
                      <w:rFonts w:hint="eastAsia"/>
                      <w:b w:val="0"/>
                      <w:color w:val="auto"/>
                      <w:kern w:val="0"/>
                      <w:szCs w:val="21"/>
                      <w:highlight w:val="none"/>
                    </w:rPr>
                    <w:t>对新建排放二氧化硫、氮氧化物、工业烟粉尘和VOCs的项目实施现役源倍量削减量替代。严禁钢铁、水泥、电解铝、平板玻璃等行业新增产能，对确有必要新建的必须实施等量或减量置换，防范过剩和落后产能跨地区转移</w:t>
                  </w:r>
                  <w:r>
                    <w:rPr>
                      <w:rFonts w:hint="eastAsia"/>
                      <w:b w:val="0"/>
                      <w:color w:val="auto"/>
                      <w:kern w:val="0"/>
                      <w:szCs w:val="21"/>
                      <w:highlight w:val="none"/>
                      <w:lang w:eastAsia="zh-CN"/>
                    </w:rPr>
                    <w:t>。</w:t>
                  </w:r>
                </w:p>
                <w:p w14:paraId="2B540AE7">
                  <w:pPr>
                    <w:pStyle w:val="63"/>
                    <w:spacing w:line="240" w:lineRule="exact"/>
                    <w:jc w:val="both"/>
                    <w:rPr>
                      <w:rFonts w:hint="eastAsia"/>
                      <w:b w:val="0"/>
                      <w:color w:val="auto"/>
                      <w:kern w:val="0"/>
                      <w:szCs w:val="21"/>
                      <w:highlight w:val="none"/>
                    </w:rPr>
                  </w:pPr>
                  <w:r>
                    <w:rPr>
                      <w:rFonts w:hint="eastAsia"/>
                      <w:b w:val="0"/>
                      <w:color w:val="auto"/>
                      <w:kern w:val="0"/>
                      <w:szCs w:val="21"/>
                      <w:highlight w:val="none"/>
                      <w:lang w:val="en-US" w:eastAsia="zh-CN"/>
                    </w:rPr>
                    <w:t>-</w:t>
                  </w:r>
                  <w:r>
                    <w:rPr>
                      <w:rFonts w:hint="eastAsia"/>
                      <w:b w:val="0"/>
                      <w:color w:val="auto"/>
                      <w:kern w:val="0"/>
                      <w:szCs w:val="21"/>
                      <w:highlight w:val="none"/>
                    </w:rPr>
                    <w:t>污染物排放绩效水平准入要求</w:t>
                  </w:r>
                  <w:r>
                    <w:rPr>
                      <w:rFonts w:hint="eastAsia"/>
                      <w:b w:val="0"/>
                      <w:color w:val="auto"/>
                      <w:kern w:val="0"/>
                      <w:szCs w:val="21"/>
                      <w:highlight w:val="none"/>
                      <w:lang w:eastAsia="zh-CN"/>
                    </w:rPr>
                    <w:t>：</w:t>
                  </w:r>
                  <w:r>
                    <w:rPr>
                      <w:rFonts w:hint="eastAsia"/>
                      <w:b w:val="0"/>
                      <w:color w:val="auto"/>
                      <w:kern w:val="0"/>
                      <w:szCs w:val="21"/>
                      <w:highlight w:val="none"/>
                    </w:rPr>
                    <w:t>新、改扩建项目污染排放指标满足《四川省省级生态工业园区指标》综合类生态工业园区要求。工业固体废弃物利用处置率达100%，危险废物处置率达100%</w:t>
                  </w:r>
                  <w:r>
                    <w:rPr>
                      <w:rFonts w:hint="eastAsia"/>
                      <w:b w:val="0"/>
                      <w:color w:val="auto"/>
                      <w:kern w:val="0"/>
                      <w:szCs w:val="21"/>
                      <w:highlight w:val="none"/>
                      <w:lang w:eastAsia="zh-CN"/>
                    </w:rPr>
                    <w:t>。</w:t>
                  </w:r>
                  <w:r>
                    <w:rPr>
                      <w:rFonts w:hint="eastAsia"/>
                      <w:b w:val="0"/>
                      <w:color w:val="auto"/>
                      <w:kern w:val="0"/>
                      <w:szCs w:val="21"/>
                      <w:highlight w:val="none"/>
                    </w:rPr>
                    <w:t>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w:t>
                  </w:r>
                </w:p>
                <w:p w14:paraId="1C41A691">
                  <w:pPr>
                    <w:pStyle w:val="63"/>
                    <w:spacing w:line="240" w:lineRule="exact"/>
                    <w:jc w:val="both"/>
                    <w:rPr>
                      <w:rFonts w:hint="eastAsia"/>
                      <w:b w:val="0"/>
                      <w:color w:val="auto"/>
                      <w:kern w:val="0"/>
                      <w:szCs w:val="21"/>
                      <w:highlight w:val="none"/>
                    </w:rPr>
                  </w:pPr>
                  <w:r>
                    <w:rPr>
                      <w:rFonts w:hint="eastAsia"/>
                      <w:b w:val="0"/>
                      <w:color w:val="auto"/>
                      <w:kern w:val="0"/>
                      <w:szCs w:val="21"/>
                      <w:highlight w:val="none"/>
                      <w:lang w:val="en-US" w:eastAsia="zh-CN"/>
                    </w:rPr>
                    <w:t>-</w:t>
                  </w:r>
                  <w:r>
                    <w:rPr>
                      <w:rFonts w:hint="eastAsia"/>
                      <w:b w:val="0"/>
                      <w:color w:val="auto"/>
                      <w:kern w:val="0"/>
                      <w:szCs w:val="21"/>
                      <w:highlight w:val="none"/>
                    </w:rPr>
                    <w:t>钢铁行业新建应参考达州市“三线一单”生态环境分区管控中钢铁行业资源环境绩效准入门槛。</w:t>
                  </w:r>
                </w:p>
                <w:p w14:paraId="2B203D1B">
                  <w:pPr>
                    <w:pStyle w:val="63"/>
                    <w:spacing w:line="240" w:lineRule="exact"/>
                    <w:jc w:val="both"/>
                    <w:rPr>
                      <w:rFonts w:hint="eastAsia"/>
                      <w:b w:val="0"/>
                      <w:color w:val="auto"/>
                      <w:kern w:val="0"/>
                      <w:szCs w:val="21"/>
                      <w:highlight w:val="none"/>
                    </w:rPr>
                  </w:pPr>
                  <w:r>
                    <w:rPr>
                      <w:rFonts w:hint="eastAsia"/>
                      <w:b w:val="0"/>
                      <w:color w:val="auto"/>
                      <w:kern w:val="0"/>
                      <w:szCs w:val="21"/>
                      <w:highlight w:val="none"/>
                      <w:lang w:val="en-US" w:eastAsia="zh-CN"/>
                    </w:rPr>
                    <w:t>-</w:t>
                  </w:r>
                  <w:r>
                    <w:rPr>
                      <w:rFonts w:hint="eastAsia"/>
                      <w:b w:val="0"/>
                      <w:color w:val="auto"/>
                      <w:kern w:val="0"/>
                      <w:szCs w:val="21"/>
                      <w:highlight w:val="none"/>
                    </w:rPr>
                    <w:t>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p w14:paraId="7F690DEB">
                  <w:pPr>
                    <w:pStyle w:val="63"/>
                    <w:spacing w:line="240" w:lineRule="exact"/>
                    <w:jc w:val="both"/>
                    <w:rPr>
                      <w:rFonts w:hint="eastAsia"/>
                      <w:b w:val="0"/>
                      <w:color w:val="auto"/>
                      <w:kern w:val="0"/>
                      <w:szCs w:val="21"/>
                      <w:highlight w:val="none"/>
                    </w:rPr>
                  </w:pPr>
                  <w:r>
                    <w:rPr>
                      <w:rFonts w:hint="eastAsia"/>
                      <w:b w:val="0"/>
                      <w:color w:val="auto"/>
                      <w:kern w:val="0"/>
                      <w:szCs w:val="21"/>
                      <w:highlight w:val="none"/>
                      <w:lang w:val="en-US" w:eastAsia="zh-CN"/>
                    </w:rPr>
                    <w:t>-</w:t>
                  </w:r>
                  <w:r>
                    <w:rPr>
                      <w:rFonts w:hint="eastAsia"/>
                      <w:b w:val="0"/>
                      <w:color w:val="auto"/>
                      <w:kern w:val="0"/>
                      <w:szCs w:val="21"/>
                      <w:highlight w:val="none"/>
                    </w:rPr>
                    <w:t>化工园区应按照分类收集，分质处理的要求，配备专业化工生产废水集中处理设施（独立建设或依托骨干企业）及专管或明管输送的配套管网，化工生产废水纳管率达到100%。入河排污口设置应符合相关规定。</w:t>
                  </w:r>
                </w:p>
                <w:p w14:paraId="207124B1">
                  <w:pPr>
                    <w:pStyle w:val="63"/>
                    <w:spacing w:line="240" w:lineRule="exact"/>
                    <w:jc w:val="both"/>
                    <w:rPr>
                      <w:rFonts w:hint="eastAsia"/>
                      <w:b w:val="0"/>
                      <w:color w:val="auto"/>
                      <w:kern w:val="0"/>
                      <w:szCs w:val="21"/>
                      <w:highlight w:val="none"/>
                    </w:rPr>
                  </w:pPr>
                  <w:r>
                    <w:rPr>
                      <w:rFonts w:hint="eastAsia"/>
                      <w:b w:val="0"/>
                      <w:color w:val="auto"/>
                      <w:kern w:val="0"/>
                      <w:szCs w:val="21"/>
                      <w:highlight w:val="none"/>
                      <w:lang w:val="en-US" w:eastAsia="zh-CN"/>
                    </w:rPr>
                    <w:t>-</w:t>
                  </w:r>
                  <w:r>
                    <w:rPr>
                      <w:rFonts w:hint="eastAsia"/>
                      <w:b w:val="0"/>
                      <w:color w:val="auto"/>
                      <w:kern w:val="0"/>
                      <w:szCs w:val="21"/>
                      <w:highlight w:val="none"/>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14:paraId="04C5973E">
                  <w:pPr>
                    <w:pStyle w:val="63"/>
                    <w:spacing w:line="240" w:lineRule="exact"/>
                    <w:jc w:val="both"/>
                    <w:rPr>
                      <w:b w:val="0"/>
                      <w:color w:val="auto"/>
                      <w:kern w:val="0"/>
                      <w:szCs w:val="21"/>
                      <w:highlight w:val="none"/>
                    </w:rPr>
                  </w:pPr>
                  <w:r>
                    <w:rPr>
                      <w:rFonts w:hint="eastAsia"/>
                      <w:b w:val="0"/>
                      <w:color w:val="auto"/>
                      <w:kern w:val="0"/>
                      <w:szCs w:val="21"/>
                      <w:highlight w:val="none"/>
                      <w:lang w:val="en-US" w:eastAsia="zh-CN"/>
                    </w:rPr>
                    <w:t>-</w:t>
                  </w:r>
                  <w:r>
                    <w:rPr>
                      <w:rFonts w:hint="eastAsia"/>
                      <w:b w:val="0"/>
                      <w:color w:val="auto"/>
                      <w:kern w:val="0"/>
                      <w:szCs w:val="21"/>
                      <w:highlight w:val="none"/>
                    </w:rPr>
                    <w:t>落实《四川省深入打好重污染天气消除、臭氧污染防治和柴油货车</w:t>
                  </w:r>
                  <w:r>
                    <w:rPr>
                      <w:rFonts w:hint="eastAsia"/>
                      <w:b w:val="0"/>
                      <w:color w:val="auto"/>
                      <w:kern w:val="0"/>
                      <w:szCs w:val="21"/>
                      <w:highlight w:val="none"/>
                    </w:rPr>
                    <w:tab/>
                  </w:r>
                  <w:r>
                    <w:rPr>
                      <w:rFonts w:hint="eastAsia"/>
                      <w:b w:val="0"/>
                      <w:color w:val="auto"/>
                      <w:kern w:val="0"/>
                      <w:szCs w:val="21"/>
                      <w:highlight w:val="none"/>
                    </w:rPr>
                    <w:t>污染防治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tc>
              <w:tc>
                <w:tcPr>
                  <w:tcW w:w="2514" w:type="dxa"/>
                  <w:noWrap w:val="0"/>
                  <w:vAlign w:val="center"/>
                </w:tcPr>
                <w:p w14:paraId="53F27464">
                  <w:pPr>
                    <w:pStyle w:val="63"/>
                    <w:spacing w:line="240" w:lineRule="exact"/>
                    <w:jc w:val="both"/>
                    <w:rPr>
                      <w:rFonts w:hint="default" w:eastAsia="宋体"/>
                      <w:b w:val="0"/>
                      <w:color w:val="auto"/>
                      <w:kern w:val="0"/>
                      <w:szCs w:val="21"/>
                      <w:highlight w:val="none"/>
                      <w:lang w:val="en-US" w:eastAsia="zh-CN"/>
                    </w:rPr>
                  </w:pPr>
                  <w:r>
                    <w:rPr>
                      <w:rFonts w:hint="eastAsia"/>
                      <w:b w:val="0"/>
                      <w:color w:val="auto"/>
                      <w:kern w:val="0"/>
                      <w:szCs w:val="21"/>
                      <w:highlight w:val="none"/>
                      <w:lang w:val="en-US" w:eastAsia="zh-CN"/>
                    </w:rPr>
                    <w:t>①本项目原料烘干系统使用天然气作为燃料，原料烘干系统天然气燃烧废气经高温布袋除尘器处理后由22m高排气筒排放，废气参照执行《四川省工业炉窑大气污染综合治理实施清单》中排放限值（颗粒物、二氧化硫、氮氧化物排放限值分别不高于30、200、300毫克/立方米）；②本项目厂区内实施雨污分流制，雨水经厂区四周设置雨水沟收集进入园区雨水管网，生活污水经隔油池+化粪池处理后用作农肥不外排，车辆清洗废水、生产检测中心试验设备清洗废水经隔油池+三级沉淀池处理后循环使用，不外排；③本项目排放二氧化硫、氮氧化物、工业烟粉尘和VOCs实施倍量替代；④项目一般固体废物合理处置，危险废物经集中收集于危废暂存间定期交由有资质单位处置，工业固体废弃物利用处置率达100%，危险废物处置率达100%。⑤本项目选址位于达州市通川区，属于《四川省生态环境厅关于执行大气污染物特别排放限值的公告》（四川省生态环境厅公告2020年第2号）划定的大气重点区域，本项目外排废气须执行国家排放标准特别排放限值和特别控制要求。</w:t>
                  </w:r>
                </w:p>
              </w:tc>
              <w:tc>
                <w:tcPr>
                  <w:tcW w:w="885" w:type="dxa"/>
                  <w:noWrap w:val="0"/>
                  <w:vAlign w:val="center"/>
                </w:tcPr>
                <w:p w14:paraId="2F69F214">
                  <w:pPr>
                    <w:pStyle w:val="63"/>
                    <w:spacing w:line="240" w:lineRule="exact"/>
                    <w:jc w:val="center"/>
                    <w:rPr>
                      <w:b w:val="0"/>
                      <w:color w:val="auto"/>
                      <w:kern w:val="0"/>
                      <w:szCs w:val="21"/>
                      <w:highlight w:val="none"/>
                    </w:rPr>
                  </w:pPr>
                  <w:r>
                    <w:rPr>
                      <w:rFonts w:hint="eastAsia"/>
                      <w:b w:val="0"/>
                      <w:color w:val="auto"/>
                      <w:kern w:val="0"/>
                      <w:szCs w:val="21"/>
                      <w:highlight w:val="none"/>
                    </w:rPr>
                    <w:t>符合</w:t>
                  </w:r>
                </w:p>
              </w:tc>
            </w:tr>
            <w:tr w14:paraId="60EE059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850" w:type="dxa"/>
                  <w:vMerge w:val="continue"/>
                  <w:noWrap w:val="0"/>
                  <w:vAlign w:val="center"/>
                </w:tcPr>
                <w:p w14:paraId="7F54E9DA">
                  <w:pPr>
                    <w:pStyle w:val="63"/>
                    <w:spacing w:line="240" w:lineRule="exact"/>
                    <w:jc w:val="center"/>
                    <w:rPr>
                      <w:b w:val="0"/>
                      <w:color w:val="auto"/>
                      <w:kern w:val="0"/>
                      <w:szCs w:val="21"/>
                      <w:highlight w:val="none"/>
                    </w:rPr>
                  </w:pPr>
                </w:p>
              </w:tc>
              <w:tc>
                <w:tcPr>
                  <w:tcW w:w="616" w:type="dxa"/>
                  <w:vMerge w:val="continue"/>
                  <w:noWrap w:val="0"/>
                  <w:vAlign w:val="center"/>
                </w:tcPr>
                <w:p w14:paraId="5BC07134">
                  <w:pPr>
                    <w:pStyle w:val="63"/>
                    <w:spacing w:line="240" w:lineRule="exact"/>
                    <w:jc w:val="center"/>
                    <w:rPr>
                      <w:b w:val="0"/>
                      <w:color w:val="auto"/>
                      <w:kern w:val="0"/>
                      <w:szCs w:val="21"/>
                      <w:highlight w:val="none"/>
                    </w:rPr>
                  </w:pPr>
                </w:p>
              </w:tc>
              <w:tc>
                <w:tcPr>
                  <w:tcW w:w="979" w:type="dxa"/>
                  <w:noWrap w:val="0"/>
                  <w:vAlign w:val="center"/>
                </w:tcPr>
                <w:p w14:paraId="2215CB65">
                  <w:pPr>
                    <w:pStyle w:val="63"/>
                    <w:spacing w:line="240" w:lineRule="exact"/>
                    <w:jc w:val="center"/>
                    <w:rPr>
                      <w:b w:val="0"/>
                      <w:color w:val="auto"/>
                      <w:kern w:val="0"/>
                      <w:szCs w:val="21"/>
                      <w:highlight w:val="yellow"/>
                    </w:rPr>
                  </w:pPr>
                  <w:r>
                    <w:rPr>
                      <w:rFonts w:hint="eastAsia"/>
                      <w:b w:val="0"/>
                      <w:color w:val="auto"/>
                      <w:kern w:val="0"/>
                      <w:szCs w:val="21"/>
                      <w:highlight w:val="none"/>
                    </w:rPr>
                    <w:t>环境风险防控</w:t>
                  </w:r>
                </w:p>
              </w:tc>
              <w:tc>
                <w:tcPr>
                  <w:tcW w:w="6141" w:type="dxa"/>
                  <w:noWrap w:val="0"/>
                  <w:vAlign w:val="center"/>
                </w:tcPr>
                <w:p w14:paraId="14A46CA5">
                  <w:pPr>
                    <w:pStyle w:val="63"/>
                    <w:spacing w:line="240" w:lineRule="exact"/>
                    <w:jc w:val="both"/>
                    <w:rPr>
                      <w:rFonts w:hint="eastAsia"/>
                      <w:b/>
                      <w:bCs/>
                      <w:color w:val="auto"/>
                      <w:kern w:val="0"/>
                      <w:szCs w:val="21"/>
                      <w:highlight w:val="none"/>
                    </w:rPr>
                  </w:pPr>
                  <w:r>
                    <w:rPr>
                      <w:rFonts w:hint="eastAsia"/>
                      <w:b/>
                      <w:bCs/>
                      <w:color w:val="auto"/>
                      <w:kern w:val="0"/>
                      <w:szCs w:val="21"/>
                      <w:highlight w:val="none"/>
                    </w:rPr>
                    <w:t>联防联控要求</w:t>
                  </w:r>
                </w:p>
                <w:p w14:paraId="3D699C04">
                  <w:pPr>
                    <w:pStyle w:val="63"/>
                    <w:spacing w:line="240" w:lineRule="exact"/>
                    <w:jc w:val="both"/>
                    <w:rPr>
                      <w:rFonts w:hint="eastAsia"/>
                      <w:b w:val="0"/>
                      <w:color w:val="auto"/>
                      <w:kern w:val="0"/>
                      <w:szCs w:val="21"/>
                      <w:highlight w:val="none"/>
                    </w:rPr>
                  </w:pPr>
                  <w:r>
                    <w:rPr>
                      <w:rFonts w:hint="eastAsia"/>
                      <w:b w:val="0"/>
                      <w:color w:val="auto"/>
                      <w:kern w:val="0"/>
                      <w:szCs w:val="21"/>
                      <w:highlight w:val="none"/>
                      <w:lang w:val="en-US" w:eastAsia="zh-CN"/>
                    </w:rPr>
                    <w:t>-</w:t>
                  </w:r>
                  <w:r>
                    <w:rPr>
                      <w:rFonts w:hint="eastAsia"/>
                      <w:b w:val="0"/>
                      <w:color w:val="auto"/>
                      <w:kern w:val="0"/>
                      <w:szCs w:val="21"/>
                      <w:highlight w:val="none"/>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14:paraId="6722CAA3">
                  <w:pPr>
                    <w:pStyle w:val="63"/>
                    <w:spacing w:line="240" w:lineRule="exact"/>
                    <w:jc w:val="both"/>
                    <w:rPr>
                      <w:rFonts w:hint="eastAsia"/>
                      <w:b/>
                      <w:bCs/>
                      <w:color w:val="auto"/>
                      <w:kern w:val="0"/>
                      <w:szCs w:val="21"/>
                      <w:highlight w:val="none"/>
                    </w:rPr>
                  </w:pPr>
                  <w:r>
                    <w:rPr>
                      <w:rFonts w:hint="eastAsia"/>
                      <w:b/>
                      <w:bCs/>
                      <w:color w:val="auto"/>
                      <w:kern w:val="0"/>
                      <w:szCs w:val="21"/>
                      <w:highlight w:val="none"/>
                    </w:rPr>
                    <w:t>其他环境风险防控要求</w:t>
                  </w:r>
                </w:p>
                <w:p w14:paraId="3127D9DA">
                  <w:pPr>
                    <w:pStyle w:val="63"/>
                    <w:spacing w:line="240" w:lineRule="exact"/>
                    <w:jc w:val="both"/>
                    <w:rPr>
                      <w:rFonts w:hint="eastAsia"/>
                      <w:b w:val="0"/>
                      <w:color w:val="auto"/>
                      <w:kern w:val="0"/>
                      <w:szCs w:val="21"/>
                      <w:highlight w:val="none"/>
                    </w:rPr>
                  </w:pPr>
                  <w:r>
                    <w:rPr>
                      <w:rFonts w:hint="eastAsia"/>
                      <w:b w:val="0"/>
                      <w:color w:val="auto"/>
                      <w:kern w:val="0"/>
                      <w:szCs w:val="21"/>
                      <w:highlight w:val="none"/>
                      <w:lang w:val="en-US" w:eastAsia="zh-CN"/>
                    </w:rPr>
                    <w:t>-</w:t>
                  </w:r>
                  <w:r>
                    <w:rPr>
                      <w:rFonts w:hint="eastAsia"/>
                      <w:b w:val="0"/>
                      <w:color w:val="auto"/>
                      <w:kern w:val="0"/>
                      <w:szCs w:val="21"/>
                      <w:highlight w:val="none"/>
                    </w:rPr>
                    <w:t>企业环境风险防控要求</w:t>
                  </w:r>
                  <w:r>
                    <w:rPr>
                      <w:rFonts w:hint="eastAsia"/>
                      <w:b w:val="0"/>
                      <w:color w:val="auto"/>
                      <w:kern w:val="0"/>
                      <w:szCs w:val="21"/>
                      <w:highlight w:val="none"/>
                      <w:lang w:eastAsia="zh-CN"/>
                    </w:rPr>
                    <w:t>：</w:t>
                  </w:r>
                  <w:r>
                    <w:rPr>
                      <w:rFonts w:hint="eastAsia"/>
                      <w:b w:val="0"/>
                      <w:color w:val="auto"/>
                      <w:kern w:val="0"/>
                      <w:szCs w:val="21"/>
                      <w:highlight w:val="none"/>
                    </w:rPr>
                    <w:t>涉及有毒有害、易燃易爆物质新建、改扩建项目，严控准入要求。（根据《GB8978-2002》中第一类污染物以及《优先控制化学品名录》《有毒有害大气污染物名录》《有毒有害水污染物名录》确定）。对钢铁、焦化平板玻璃、铜铅锌硅冶炼等环境影响大或环境风险高的项目类别，不得以改革试点名义随意下放环评审批权限或降低审批要求。</w:t>
                  </w:r>
                </w:p>
                <w:p w14:paraId="177740BB">
                  <w:pPr>
                    <w:pStyle w:val="63"/>
                    <w:spacing w:line="240" w:lineRule="exact"/>
                    <w:jc w:val="both"/>
                    <w:rPr>
                      <w:rFonts w:hint="eastAsia"/>
                      <w:b w:val="0"/>
                      <w:color w:val="auto"/>
                      <w:kern w:val="0"/>
                      <w:szCs w:val="21"/>
                      <w:highlight w:val="none"/>
                    </w:rPr>
                  </w:pPr>
                  <w:r>
                    <w:rPr>
                      <w:rFonts w:hint="eastAsia"/>
                      <w:b w:val="0"/>
                      <w:color w:val="auto"/>
                      <w:kern w:val="0"/>
                      <w:szCs w:val="21"/>
                      <w:highlight w:val="none"/>
                      <w:lang w:val="en-US" w:eastAsia="zh-CN"/>
                    </w:rPr>
                    <w:t>-</w:t>
                  </w:r>
                  <w:r>
                    <w:rPr>
                      <w:rFonts w:hint="eastAsia"/>
                      <w:b w:val="0"/>
                      <w:color w:val="auto"/>
                      <w:kern w:val="0"/>
                      <w:szCs w:val="21"/>
                      <w:highlight w:val="none"/>
                    </w:rPr>
                    <w:t>园区环境风险防控要求: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p w14:paraId="29BCAECE">
                  <w:pPr>
                    <w:pStyle w:val="63"/>
                    <w:spacing w:line="240" w:lineRule="exact"/>
                    <w:jc w:val="both"/>
                    <w:rPr>
                      <w:b w:val="0"/>
                      <w:color w:val="auto"/>
                      <w:kern w:val="0"/>
                      <w:szCs w:val="21"/>
                      <w:highlight w:val="none"/>
                    </w:rPr>
                  </w:pPr>
                  <w:r>
                    <w:rPr>
                      <w:rFonts w:hint="eastAsia"/>
                      <w:b w:val="0"/>
                      <w:color w:val="auto"/>
                      <w:kern w:val="0"/>
                      <w:szCs w:val="21"/>
                      <w:highlight w:val="none"/>
                      <w:lang w:val="en-US" w:eastAsia="zh-CN"/>
                    </w:rPr>
                    <w:t>-</w:t>
                  </w:r>
                  <w:r>
                    <w:rPr>
                      <w:rFonts w:hint="eastAsia"/>
                      <w:b w:val="0"/>
                      <w:color w:val="auto"/>
                      <w:kern w:val="0"/>
                      <w:szCs w:val="21"/>
                      <w:highlight w:val="none"/>
                    </w:rPr>
                    <w:t>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tc>
              <w:tc>
                <w:tcPr>
                  <w:tcW w:w="2514" w:type="dxa"/>
                  <w:noWrap w:val="0"/>
                  <w:vAlign w:val="center"/>
                </w:tcPr>
                <w:p w14:paraId="3F027645">
                  <w:pPr>
                    <w:pStyle w:val="63"/>
                    <w:spacing w:line="240" w:lineRule="exact"/>
                    <w:jc w:val="both"/>
                    <w:rPr>
                      <w:rFonts w:hint="default" w:eastAsia="宋体"/>
                      <w:b w:val="0"/>
                      <w:color w:val="auto"/>
                      <w:kern w:val="0"/>
                      <w:szCs w:val="21"/>
                      <w:highlight w:val="none"/>
                      <w:lang w:val="en-US" w:eastAsia="zh-CN"/>
                    </w:rPr>
                  </w:pPr>
                  <w:r>
                    <w:rPr>
                      <w:rFonts w:hint="eastAsia"/>
                      <w:b w:val="0"/>
                      <w:color w:val="auto"/>
                      <w:kern w:val="0"/>
                      <w:szCs w:val="21"/>
                      <w:highlight w:val="none"/>
                      <w:lang w:val="en-US" w:eastAsia="zh-CN"/>
                    </w:rPr>
                    <w:t>本项目建成后严格按照相关规范要求编制突发环境事件应急预案并严格执行。</w:t>
                  </w:r>
                </w:p>
              </w:tc>
              <w:tc>
                <w:tcPr>
                  <w:tcW w:w="885" w:type="dxa"/>
                  <w:noWrap w:val="0"/>
                  <w:vAlign w:val="center"/>
                </w:tcPr>
                <w:p w14:paraId="384F9FCA">
                  <w:pPr>
                    <w:pStyle w:val="63"/>
                    <w:spacing w:line="240" w:lineRule="exact"/>
                    <w:jc w:val="center"/>
                    <w:rPr>
                      <w:b w:val="0"/>
                      <w:color w:val="auto"/>
                      <w:kern w:val="0"/>
                      <w:szCs w:val="21"/>
                      <w:highlight w:val="none"/>
                    </w:rPr>
                  </w:pPr>
                  <w:r>
                    <w:rPr>
                      <w:rFonts w:hint="eastAsia"/>
                      <w:b w:val="0"/>
                      <w:color w:val="auto"/>
                      <w:kern w:val="0"/>
                      <w:szCs w:val="21"/>
                      <w:highlight w:val="none"/>
                    </w:rPr>
                    <w:t>符合</w:t>
                  </w:r>
                </w:p>
              </w:tc>
            </w:tr>
            <w:tr w14:paraId="3159718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850" w:type="dxa"/>
                  <w:vMerge w:val="continue"/>
                  <w:noWrap w:val="0"/>
                  <w:vAlign w:val="center"/>
                </w:tcPr>
                <w:p w14:paraId="1D70025D">
                  <w:pPr>
                    <w:pStyle w:val="63"/>
                    <w:spacing w:line="240" w:lineRule="exact"/>
                    <w:jc w:val="center"/>
                    <w:rPr>
                      <w:b w:val="0"/>
                      <w:color w:val="auto"/>
                      <w:kern w:val="0"/>
                      <w:szCs w:val="21"/>
                      <w:highlight w:val="none"/>
                    </w:rPr>
                  </w:pPr>
                </w:p>
              </w:tc>
              <w:tc>
                <w:tcPr>
                  <w:tcW w:w="616" w:type="dxa"/>
                  <w:vMerge w:val="continue"/>
                  <w:noWrap w:val="0"/>
                  <w:vAlign w:val="center"/>
                </w:tcPr>
                <w:p w14:paraId="616BD777">
                  <w:pPr>
                    <w:pStyle w:val="63"/>
                    <w:spacing w:line="240" w:lineRule="exact"/>
                    <w:jc w:val="center"/>
                    <w:rPr>
                      <w:b w:val="0"/>
                      <w:color w:val="auto"/>
                      <w:kern w:val="0"/>
                      <w:szCs w:val="21"/>
                      <w:highlight w:val="none"/>
                    </w:rPr>
                  </w:pPr>
                </w:p>
              </w:tc>
              <w:tc>
                <w:tcPr>
                  <w:tcW w:w="979" w:type="dxa"/>
                  <w:noWrap w:val="0"/>
                  <w:vAlign w:val="center"/>
                </w:tcPr>
                <w:p w14:paraId="2E8D89FC">
                  <w:pPr>
                    <w:pStyle w:val="63"/>
                    <w:spacing w:line="240" w:lineRule="exact"/>
                    <w:jc w:val="center"/>
                    <w:rPr>
                      <w:b w:val="0"/>
                      <w:color w:val="auto"/>
                      <w:kern w:val="0"/>
                      <w:szCs w:val="21"/>
                      <w:highlight w:val="none"/>
                    </w:rPr>
                  </w:pPr>
                  <w:r>
                    <w:rPr>
                      <w:rFonts w:hint="eastAsia"/>
                      <w:b w:val="0"/>
                      <w:color w:val="auto"/>
                      <w:kern w:val="0"/>
                      <w:szCs w:val="21"/>
                      <w:highlight w:val="none"/>
                    </w:rPr>
                    <w:t>资源开发利用效率要求</w:t>
                  </w:r>
                </w:p>
              </w:tc>
              <w:tc>
                <w:tcPr>
                  <w:tcW w:w="6141" w:type="dxa"/>
                  <w:noWrap w:val="0"/>
                  <w:vAlign w:val="center"/>
                </w:tcPr>
                <w:p w14:paraId="5A4F281A">
                  <w:pPr>
                    <w:pStyle w:val="63"/>
                    <w:spacing w:line="240" w:lineRule="exact"/>
                    <w:jc w:val="both"/>
                    <w:rPr>
                      <w:rFonts w:hint="eastAsia"/>
                      <w:b/>
                      <w:bCs/>
                      <w:color w:val="auto"/>
                      <w:kern w:val="0"/>
                      <w:szCs w:val="21"/>
                      <w:highlight w:val="none"/>
                    </w:rPr>
                  </w:pPr>
                  <w:r>
                    <w:rPr>
                      <w:rFonts w:hint="eastAsia"/>
                      <w:b/>
                      <w:bCs/>
                      <w:color w:val="auto"/>
                      <w:kern w:val="0"/>
                      <w:szCs w:val="21"/>
                      <w:highlight w:val="none"/>
                    </w:rPr>
                    <w:t>水资源利用总量要求</w:t>
                  </w:r>
                </w:p>
                <w:p w14:paraId="20EBA176">
                  <w:pPr>
                    <w:pStyle w:val="63"/>
                    <w:spacing w:line="240" w:lineRule="exact"/>
                    <w:jc w:val="both"/>
                    <w:rPr>
                      <w:rFonts w:hint="eastAsia"/>
                      <w:b w:val="0"/>
                      <w:color w:val="auto"/>
                      <w:kern w:val="0"/>
                      <w:szCs w:val="21"/>
                      <w:highlight w:val="none"/>
                    </w:rPr>
                  </w:pPr>
                  <w:r>
                    <w:rPr>
                      <w:rFonts w:hint="eastAsia"/>
                      <w:b w:val="0"/>
                      <w:color w:val="auto"/>
                      <w:kern w:val="0"/>
                      <w:szCs w:val="21"/>
                      <w:highlight w:val="none"/>
                      <w:lang w:val="en-US" w:eastAsia="zh-CN"/>
                    </w:rPr>
                    <w:t>-</w:t>
                  </w:r>
                  <w:r>
                    <w:rPr>
                      <w:rFonts w:hint="eastAsia"/>
                      <w:b w:val="0"/>
                      <w:color w:val="auto"/>
                      <w:kern w:val="0"/>
                      <w:szCs w:val="21"/>
                      <w:highlight w:val="none"/>
                    </w:rPr>
                    <w:t>新、改扩建项目污染水耗指标满足《四川省省级生态工业园区指标》综合类生态工业园区要求；到2022年，万元国内生产总值用水量、万元工业增加值用水量较2015年分别下降30%和28%。</w:t>
                  </w:r>
                </w:p>
                <w:p w14:paraId="06C2E9E2">
                  <w:pPr>
                    <w:pStyle w:val="63"/>
                    <w:spacing w:line="240" w:lineRule="exact"/>
                    <w:jc w:val="both"/>
                    <w:rPr>
                      <w:rFonts w:hint="eastAsia"/>
                      <w:b/>
                      <w:bCs/>
                      <w:color w:val="auto"/>
                      <w:kern w:val="0"/>
                      <w:szCs w:val="21"/>
                      <w:highlight w:val="none"/>
                    </w:rPr>
                  </w:pPr>
                  <w:r>
                    <w:rPr>
                      <w:rFonts w:hint="eastAsia"/>
                      <w:b/>
                      <w:bCs/>
                      <w:color w:val="auto"/>
                      <w:kern w:val="0"/>
                      <w:szCs w:val="21"/>
                      <w:highlight w:val="none"/>
                    </w:rPr>
                    <w:t>地下水开采要求</w:t>
                  </w:r>
                </w:p>
                <w:p w14:paraId="07E0976C">
                  <w:pPr>
                    <w:pStyle w:val="63"/>
                    <w:spacing w:line="240" w:lineRule="exact"/>
                    <w:jc w:val="both"/>
                    <w:rPr>
                      <w:rFonts w:hint="eastAsia"/>
                      <w:b w:val="0"/>
                      <w:color w:val="auto"/>
                      <w:kern w:val="0"/>
                      <w:szCs w:val="21"/>
                      <w:highlight w:val="none"/>
                    </w:rPr>
                  </w:pPr>
                  <w:r>
                    <w:rPr>
                      <w:rFonts w:hint="eastAsia"/>
                      <w:b w:val="0"/>
                      <w:color w:val="auto"/>
                      <w:kern w:val="0"/>
                      <w:szCs w:val="21"/>
                      <w:highlight w:val="none"/>
                      <w:lang w:val="en-US" w:eastAsia="zh-CN"/>
                    </w:rPr>
                    <w:t>-</w:t>
                  </w:r>
                  <w:r>
                    <w:rPr>
                      <w:rFonts w:hint="eastAsia"/>
                      <w:b w:val="0"/>
                      <w:color w:val="auto"/>
                      <w:kern w:val="0"/>
                      <w:szCs w:val="21"/>
                      <w:highlight w:val="none"/>
                    </w:rPr>
                    <w:t>以省市下发指标为准</w:t>
                  </w:r>
                </w:p>
                <w:p w14:paraId="76882A44">
                  <w:pPr>
                    <w:pStyle w:val="63"/>
                    <w:spacing w:line="240" w:lineRule="exact"/>
                    <w:jc w:val="both"/>
                    <w:rPr>
                      <w:rFonts w:hint="eastAsia"/>
                      <w:b/>
                      <w:bCs/>
                      <w:color w:val="auto"/>
                      <w:kern w:val="0"/>
                      <w:szCs w:val="21"/>
                      <w:highlight w:val="none"/>
                    </w:rPr>
                  </w:pPr>
                  <w:r>
                    <w:rPr>
                      <w:rFonts w:hint="eastAsia"/>
                      <w:b/>
                      <w:bCs/>
                      <w:color w:val="auto"/>
                      <w:kern w:val="0"/>
                      <w:szCs w:val="21"/>
                      <w:highlight w:val="none"/>
                    </w:rPr>
                    <w:t>能源利用总量及效率要求</w:t>
                  </w:r>
                </w:p>
                <w:p w14:paraId="04DAE01E">
                  <w:pPr>
                    <w:pStyle w:val="63"/>
                    <w:spacing w:line="240" w:lineRule="exact"/>
                    <w:jc w:val="both"/>
                    <w:rPr>
                      <w:rFonts w:hint="eastAsia"/>
                      <w:b w:val="0"/>
                      <w:color w:val="auto"/>
                      <w:kern w:val="0"/>
                      <w:szCs w:val="21"/>
                      <w:highlight w:val="none"/>
                    </w:rPr>
                  </w:pPr>
                  <w:r>
                    <w:rPr>
                      <w:rFonts w:hint="eastAsia"/>
                      <w:b w:val="0"/>
                      <w:color w:val="auto"/>
                      <w:kern w:val="0"/>
                      <w:szCs w:val="21"/>
                      <w:highlight w:val="none"/>
                      <w:lang w:val="en-US" w:eastAsia="zh-CN"/>
                    </w:rPr>
                    <w:t>-</w:t>
                  </w:r>
                  <w:r>
                    <w:rPr>
                      <w:rFonts w:hint="eastAsia"/>
                      <w:b w:val="0"/>
                      <w:color w:val="auto"/>
                      <w:kern w:val="0"/>
                      <w:szCs w:val="21"/>
                      <w:highlight w:val="none"/>
                    </w:rPr>
                    <w:t>川东北区域实施新建项目与煤炭消费总量控制挂钩机制，耗煤建设项目实行煤炭消耗等量减量替代。提高煤炭利用效率和天然气利用占比，工业领域有序推进“煤改电”和有序推进“煤改气”。</w:t>
                  </w:r>
                </w:p>
                <w:p w14:paraId="11BCC492">
                  <w:pPr>
                    <w:pStyle w:val="63"/>
                    <w:spacing w:line="240" w:lineRule="exact"/>
                    <w:jc w:val="both"/>
                    <w:rPr>
                      <w:rFonts w:hint="eastAsia"/>
                      <w:b w:val="0"/>
                      <w:color w:val="auto"/>
                      <w:kern w:val="0"/>
                      <w:szCs w:val="21"/>
                      <w:highlight w:val="none"/>
                    </w:rPr>
                  </w:pPr>
                  <w:r>
                    <w:rPr>
                      <w:rFonts w:hint="eastAsia"/>
                      <w:b w:val="0"/>
                      <w:color w:val="auto"/>
                      <w:kern w:val="0"/>
                      <w:szCs w:val="21"/>
                      <w:highlight w:val="none"/>
                    </w:rPr>
                    <w:t>-大力实施和推广以电代煤、以电代油工程，重点在城市交通、工商业等领域实施以电代油、以电代煤。</w:t>
                  </w:r>
                </w:p>
                <w:p w14:paraId="0DD943B9">
                  <w:pPr>
                    <w:pStyle w:val="63"/>
                    <w:spacing w:line="240" w:lineRule="exact"/>
                    <w:jc w:val="both"/>
                    <w:rPr>
                      <w:rFonts w:hint="eastAsia"/>
                      <w:b w:val="0"/>
                      <w:color w:val="auto"/>
                      <w:kern w:val="0"/>
                      <w:szCs w:val="21"/>
                      <w:highlight w:val="none"/>
                    </w:rPr>
                  </w:pPr>
                  <w:r>
                    <w:rPr>
                      <w:rFonts w:hint="eastAsia"/>
                      <w:b w:val="0"/>
                      <w:color w:val="auto"/>
                      <w:kern w:val="0"/>
                      <w:szCs w:val="21"/>
                      <w:highlight w:val="none"/>
                    </w:rPr>
                    <w:t>-增加天然气对煤炭和石油的替代，提高天然气民用、交通、发电、工业领域天然气消费比重。</w:t>
                  </w:r>
                </w:p>
                <w:p w14:paraId="5EE7C08E">
                  <w:pPr>
                    <w:pStyle w:val="63"/>
                    <w:spacing w:line="240" w:lineRule="exact"/>
                    <w:jc w:val="both"/>
                    <w:rPr>
                      <w:rFonts w:hint="eastAsia"/>
                      <w:b w:val="0"/>
                      <w:color w:val="auto"/>
                      <w:kern w:val="0"/>
                      <w:szCs w:val="21"/>
                      <w:highlight w:val="none"/>
                    </w:rPr>
                  </w:pPr>
                  <w:r>
                    <w:rPr>
                      <w:rFonts w:hint="eastAsia"/>
                      <w:b w:val="0"/>
                      <w:color w:val="auto"/>
                      <w:kern w:val="0"/>
                      <w:szCs w:val="21"/>
                      <w:highlight w:val="none"/>
                    </w:rPr>
                    <w:t>-实施煤炭消费总量控制：严格控制煤炭消费总量；严格控制新建、改建、扩建耗煤项目，新增耗煤项目实行煤炭消耗减量倍量替代。</w:t>
                  </w:r>
                </w:p>
                <w:p w14:paraId="3B6A7A43">
                  <w:pPr>
                    <w:pStyle w:val="63"/>
                    <w:spacing w:line="240" w:lineRule="exact"/>
                    <w:jc w:val="both"/>
                    <w:rPr>
                      <w:rFonts w:hint="eastAsia"/>
                      <w:b w:val="0"/>
                      <w:color w:val="auto"/>
                      <w:kern w:val="0"/>
                      <w:szCs w:val="21"/>
                      <w:highlight w:val="none"/>
                    </w:rPr>
                  </w:pPr>
                  <w:r>
                    <w:rPr>
                      <w:rFonts w:hint="eastAsia"/>
                      <w:b w:val="0"/>
                      <w:color w:val="auto"/>
                      <w:kern w:val="0"/>
                      <w:szCs w:val="21"/>
                      <w:highlight w:val="none"/>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14:paraId="56D16790">
                  <w:pPr>
                    <w:pStyle w:val="63"/>
                    <w:spacing w:line="240" w:lineRule="exact"/>
                    <w:jc w:val="both"/>
                    <w:rPr>
                      <w:rFonts w:hint="eastAsia"/>
                      <w:b w:val="0"/>
                      <w:color w:val="auto"/>
                      <w:kern w:val="0"/>
                      <w:szCs w:val="21"/>
                      <w:highlight w:val="none"/>
                    </w:rPr>
                  </w:pPr>
                  <w:r>
                    <w:rPr>
                      <w:rFonts w:hint="eastAsia"/>
                      <w:b w:val="0"/>
                      <w:color w:val="auto"/>
                      <w:kern w:val="0"/>
                      <w:szCs w:val="21"/>
                      <w:highlight w:val="none"/>
                    </w:rPr>
                    <w:t>-推进清洁能源的推广使用，全面推进散煤清洁化整治；</w:t>
                  </w:r>
                </w:p>
                <w:p w14:paraId="21957FCC">
                  <w:pPr>
                    <w:pStyle w:val="63"/>
                    <w:spacing w:line="240" w:lineRule="exact"/>
                    <w:jc w:val="both"/>
                    <w:rPr>
                      <w:rFonts w:hint="eastAsia"/>
                      <w:b w:val="0"/>
                      <w:color w:val="auto"/>
                      <w:kern w:val="0"/>
                      <w:szCs w:val="21"/>
                      <w:highlight w:val="none"/>
                    </w:rPr>
                  </w:pPr>
                  <w:r>
                    <w:rPr>
                      <w:rFonts w:hint="eastAsia"/>
                      <w:b w:val="0"/>
                      <w:color w:val="auto"/>
                      <w:kern w:val="0"/>
                      <w:szCs w:val="21"/>
                      <w:highlight w:val="none"/>
                    </w:rPr>
                    <w:t>-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14:paraId="09328E63">
                  <w:pPr>
                    <w:pStyle w:val="63"/>
                    <w:spacing w:line="240" w:lineRule="exact"/>
                    <w:jc w:val="both"/>
                    <w:rPr>
                      <w:rFonts w:hint="eastAsia"/>
                      <w:b w:val="0"/>
                      <w:color w:val="auto"/>
                      <w:kern w:val="0"/>
                      <w:szCs w:val="21"/>
                      <w:highlight w:val="none"/>
                    </w:rPr>
                  </w:pPr>
                  <w:r>
                    <w:rPr>
                      <w:rFonts w:hint="eastAsia"/>
                      <w:b w:val="0"/>
                      <w:color w:val="auto"/>
                      <w:kern w:val="0"/>
                      <w:szCs w:val="21"/>
                      <w:highlight w:val="none"/>
                    </w:rPr>
                    <w:t>-对20蒸吨及以上燃煤锅炉实施脱硫改造，建设高效脱硫设施；对循环流化床锅炉以外的燃煤发电机组一律安装脱硫设施，对燃煤锅炉和工业锅炉现有除尘设施实施升级改造，确保达到新的排放标准和特别排放限值。</w:t>
                  </w:r>
                </w:p>
                <w:p w14:paraId="5F18156A">
                  <w:pPr>
                    <w:pStyle w:val="63"/>
                    <w:spacing w:line="240" w:lineRule="exact"/>
                    <w:jc w:val="both"/>
                    <w:rPr>
                      <w:rFonts w:hint="eastAsia"/>
                      <w:b/>
                      <w:bCs/>
                      <w:color w:val="auto"/>
                      <w:kern w:val="0"/>
                      <w:szCs w:val="21"/>
                      <w:highlight w:val="none"/>
                    </w:rPr>
                  </w:pPr>
                  <w:r>
                    <w:rPr>
                      <w:rFonts w:hint="eastAsia"/>
                      <w:b/>
                      <w:bCs/>
                      <w:color w:val="auto"/>
                      <w:kern w:val="0"/>
                      <w:szCs w:val="21"/>
                      <w:highlight w:val="none"/>
                    </w:rPr>
                    <w:t>禁燃区要求</w:t>
                  </w:r>
                </w:p>
                <w:p w14:paraId="70C2CB20">
                  <w:pPr>
                    <w:pStyle w:val="63"/>
                    <w:spacing w:line="240" w:lineRule="exact"/>
                    <w:jc w:val="both"/>
                    <w:rPr>
                      <w:rFonts w:hint="eastAsia"/>
                      <w:b w:val="0"/>
                      <w:color w:val="auto"/>
                      <w:kern w:val="0"/>
                      <w:szCs w:val="21"/>
                      <w:highlight w:val="none"/>
                    </w:rPr>
                  </w:pPr>
                  <w:r>
                    <w:rPr>
                      <w:rFonts w:hint="eastAsia"/>
                      <w:b w:val="0"/>
                      <w:color w:val="auto"/>
                      <w:kern w:val="0"/>
                      <w:szCs w:val="21"/>
                      <w:highlight w:val="none"/>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14:paraId="5C33B724">
                  <w:pPr>
                    <w:pStyle w:val="63"/>
                    <w:spacing w:line="240" w:lineRule="exact"/>
                    <w:jc w:val="both"/>
                    <w:rPr>
                      <w:rFonts w:hint="eastAsia"/>
                      <w:b w:val="0"/>
                      <w:color w:val="auto"/>
                      <w:kern w:val="0"/>
                      <w:szCs w:val="21"/>
                      <w:highlight w:val="none"/>
                    </w:rPr>
                  </w:pPr>
                  <w:r>
                    <w:rPr>
                      <w:rFonts w:hint="eastAsia"/>
                      <w:b w:val="0"/>
                      <w:color w:val="auto"/>
                      <w:kern w:val="0"/>
                      <w:szCs w:val="21"/>
                      <w:highlight w:val="none"/>
                    </w:rPr>
                    <w:t>-禁燃区内禁止销售、燃用高污染燃料；禁止新建、改建、扩建燃用高污染燃料的设施和设备。</w:t>
                  </w:r>
                </w:p>
                <w:p w14:paraId="1112D2C4">
                  <w:pPr>
                    <w:pStyle w:val="63"/>
                    <w:spacing w:line="240" w:lineRule="exact"/>
                    <w:jc w:val="both"/>
                    <w:rPr>
                      <w:rFonts w:hint="eastAsia"/>
                      <w:b w:val="0"/>
                      <w:color w:val="auto"/>
                      <w:kern w:val="0"/>
                      <w:szCs w:val="21"/>
                      <w:highlight w:val="none"/>
                    </w:rPr>
                  </w:pPr>
                  <w:r>
                    <w:rPr>
                      <w:rFonts w:hint="eastAsia"/>
                      <w:b w:val="0"/>
                      <w:color w:val="auto"/>
                      <w:kern w:val="0"/>
                      <w:szCs w:val="21"/>
                      <w:highlight w:val="none"/>
                    </w:rPr>
                    <w:t>-禁燃区内已建成的高污染燃料燃用设施由辖区人民政府制定限期改造计划，改用天然气、页岩气、液化石油气、电或其他清洁能源。</w:t>
                  </w:r>
                </w:p>
                <w:p w14:paraId="5B80B5A0">
                  <w:pPr>
                    <w:pStyle w:val="63"/>
                    <w:spacing w:line="240" w:lineRule="exact"/>
                    <w:jc w:val="both"/>
                    <w:rPr>
                      <w:rFonts w:hint="eastAsia"/>
                      <w:b/>
                      <w:bCs/>
                      <w:color w:val="auto"/>
                      <w:kern w:val="0"/>
                      <w:szCs w:val="21"/>
                      <w:highlight w:val="none"/>
                    </w:rPr>
                  </w:pPr>
                  <w:r>
                    <w:rPr>
                      <w:rFonts w:hint="eastAsia"/>
                      <w:b/>
                      <w:bCs/>
                      <w:color w:val="auto"/>
                      <w:kern w:val="0"/>
                      <w:szCs w:val="21"/>
                      <w:highlight w:val="none"/>
                    </w:rPr>
                    <w:t>其他资源利用效率要求</w:t>
                  </w:r>
                </w:p>
                <w:p w14:paraId="625BC64D">
                  <w:pPr>
                    <w:pStyle w:val="63"/>
                    <w:spacing w:line="240" w:lineRule="exact"/>
                    <w:jc w:val="both"/>
                    <w:rPr>
                      <w:b w:val="0"/>
                      <w:color w:val="auto"/>
                      <w:kern w:val="0"/>
                      <w:szCs w:val="21"/>
                      <w:highlight w:val="none"/>
                    </w:rPr>
                  </w:pPr>
                  <w:r>
                    <w:rPr>
                      <w:rFonts w:hint="eastAsia"/>
                      <w:b w:val="0"/>
                      <w:color w:val="auto"/>
                      <w:kern w:val="0"/>
                      <w:szCs w:val="21"/>
                      <w:highlight w:val="none"/>
                    </w:rPr>
                    <w:t>/</w:t>
                  </w:r>
                </w:p>
              </w:tc>
              <w:tc>
                <w:tcPr>
                  <w:tcW w:w="2514" w:type="dxa"/>
                  <w:noWrap w:val="0"/>
                  <w:vAlign w:val="center"/>
                </w:tcPr>
                <w:p w14:paraId="48D49081">
                  <w:pPr>
                    <w:pStyle w:val="63"/>
                    <w:spacing w:line="240" w:lineRule="exact"/>
                    <w:jc w:val="both"/>
                    <w:rPr>
                      <w:rFonts w:hint="default" w:eastAsia="宋体"/>
                      <w:b w:val="0"/>
                      <w:color w:val="auto"/>
                      <w:kern w:val="0"/>
                      <w:szCs w:val="21"/>
                      <w:highlight w:val="none"/>
                      <w:lang w:val="en-US" w:eastAsia="zh-CN"/>
                    </w:rPr>
                  </w:pPr>
                  <w:r>
                    <w:rPr>
                      <w:rFonts w:hint="eastAsia"/>
                      <w:b w:val="0"/>
                      <w:color w:val="auto"/>
                      <w:kern w:val="0"/>
                      <w:szCs w:val="21"/>
                      <w:highlight w:val="none"/>
                      <w:lang w:val="en-US" w:eastAsia="zh-CN"/>
                    </w:rPr>
                    <w:t>①本项目用水主要为生活用水及乳化沥青生产用水、车辆清洗用水、实验设备清洗用水，用水量较小，不属于高耗水项目；②本项目用水由自来水管网供应，不涉及地下水开采；③本项目运营过程不涉及高污染燃料使用，原料烘干系统及导热油炉使用天然气作为燃料，属于清洁能源。</w:t>
                  </w:r>
                </w:p>
              </w:tc>
              <w:tc>
                <w:tcPr>
                  <w:tcW w:w="885" w:type="dxa"/>
                  <w:noWrap w:val="0"/>
                  <w:vAlign w:val="center"/>
                </w:tcPr>
                <w:p w14:paraId="296299F5">
                  <w:pPr>
                    <w:pStyle w:val="63"/>
                    <w:spacing w:line="240" w:lineRule="exact"/>
                    <w:jc w:val="center"/>
                    <w:rPr>
                      <w:b w:val="0"/>
                      <w:color w:val="auto"/>
                      <w:kern w:val="0"/>
                      <w:szCs w:val="21"/>
                      <w:highlight w:val="none"/>
                    </w:rPr>
                  </w:pPr>
                  <w:r>
                    <w:rPr>
                      <w:rFonts w:hint="eastAsia"/>
                      <w:b w:val="0"/>
                      <w:color w:val="auto"/>
                      <w:kern w:val="0"/>
                      <w:szCs w:val="21"/>
                      <w:highlight w:val="none"/>
                    </w:rPr>
                    <w:t>符合</w:t>
                  </w:r>
                </w:p>
              </w:tc>
            </w:tr>
            <w:tr w14:paraId="4A9EA62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850" w:type="dxa"/>
                  <w:vMerge w:val="continue"/>
                  <w:noWrap w:val="0"/>
                  <w:vAlign w:val="center"/>
                </w:tcPr>
                <w:p w14:paraId="753A615D">
                  <w:pPr>
                    <w:pStyle w:val="63"/>
                    <w:spacing w:line="240" w:lineRule="exact"/>
                    <w:jc w:val="center"/>
                    <w:rPr>
                      <w:b w:val="0"/>
                      <w:color w:val="auto"/>
                      <w:kern w:val="0"/>
                      <w:szCs w:val="21"/>
                      <w:highlight w:val="none"/>
                    </w:rPr>
                  </w:pPr>
                </w:p>
              </w:tc>
              <w:tc>
                <w:tcPr>
                  <w:tcW w:w="616" w:type="dxa"/>
                  <w:vMerge w:val="restart"/>
                  <w:noWrap w:val="0"/>
                  <w:vAlign w:val="center"/>
                </w:tcPr>
                <w:p w14:paraId="3A4DC6CC">
                  <w:pPr>
                    <w:pStyle w:val="63"/>
                    <w:spacing w:line="240" w:lineRule="exact"/>
                    <w:jc w:val="center"/>
                    <w:rPr>
                      <w:b w:val="0"/>
                      <w:color w:val="auto"/>
                      <w:kern w:val="0"/>
                      <w:szCs w:val="21"/>
                      <w:highlight w:val="none"/>
                    </w:rPr>
                  </w:pPr>
                  <w:r>
                    <w:rPr>
                      <w:rFonts w:hint="eastAsia"/>
                      <w:b w:val="0"/>
                      <w:color w:val="auto"/>
                      <w:kern w:val="0"/>
                      <w:szCs w:val="21"/>
                      <w:highlight w:val="none"/>
                    </w:rPr>
                    <w:t>单元级清单管控要求</w:t>
                  </w:r>
                </w:p>
              </w:tc>
              <w:tc>
                <w:tcPr>
                  <w:tcW w:w="979" w:type="dxa"/>
                  <w:noWrap w:val="0"/>
                  <w:vAlign w:val="center"/>
                </w:tcPr>
                <w:p w14:paraId="61058092">
                  <w:pPr>
                    <w:pStyle w:val="63"/>
                    <w:spacing w:line="240" w:lineRule="exact"/>
                    <w:jc w:val="center"/>
                    <w:rPr>
                      <w:b w:val="0"/>
                      <w:color w:val="auto"/>
                      <w:kern w:val="0"/>
                      <w:szCs w:val="21"/>
                      <w:highlight w:val="none"/>
                    </w:rPr>
                  </w:pPr>
                  <w:r>
                    <w:rPr>
                      <w:b w:val="0"/>
                      <w:color w:val="auto"/>
                      <w:kern w:val="0"/>
                      <w:szCs w:val="21"/>
                      <w:highlight w:val="none"/>
                    </w:rPr>
                    <w:t>空间布局约束</w:t>
                  </w:r>
                </w:p>
              </w:tc>
              <w:tc>
                <w:tcPr>
                  <w:tcW w:w="6141" w:type="dxa"/>
                  <w:noWrap w:val="0"/>
                  <w:vAlign w:val="center"/>
                </w:tcPr>
                <w:p w14:paraId="2C2B686E">
                  <w:pPr>
                    <w:pStyle w:val="63"/>
                    <w:spacing w:line="240" w:lineRule="exact"/>
                    <w:jc w:val="both"/>
                    <w:rPr>
                      <w:rFonts w:hint="eastAsia"/>
                      <w:b/>
                      <w:bCs/>
                      <w:color w:val="auto"/>
                      <w:kern w:val="0"/>
                      <w:szCs w:val="21"/>
                      <w:highlight w:val="none"/>
                    </w:rPr>
                  </w:pPr>
                  <w:r>
                    <w:rPr>
                      <w:rFonts w:hint="eastAsia"/>
                      <w:b/>
                      <w:bCs/>
                      <w:color w:val="auto"/>
                      <w:kern w:val="0"/>
                      <w:szCs w:val="21"/>
                      <w:highlight w:val="none"/>
                    </w:rPr>
                    <w:t>禁止开发建设活动的要求</w:t>
                  </w:r>
                </w:p>
                <w:p w14:paraId="74CABA5B">
                  <w:pPr>
                    <w:pStyle w:val="63"/>
                    <w:spacing w:line="240" w:lineRule="exact"/>
                    <w:jc w:val="both"/>
                    <w:rPr>
                      <w:rFonts w:hint="eastAsia"/>
                      <w:b w:val="0"/>
                      <w:color w:val="auto"/>
                      <w:kern w:val="0"/>
                      <w:szCs w:val="21"/>
                      <w:highlight w:val="none"/>
                    </w:rPr>
                  </w:pPr>
                  <w:r>
                    <w:rPr>
                      <w:rFonts w:hint="eastAsia"/>
                      <w:b w:val="0"/>
                      <w:color w:val="auto"/>
                      <w:kern w:val="0"/>
                      <w:szCs w:val="21"/>
                      <w:highlight w:val="none"/>
                    </w:rPr>
                    <w:t>-禁止引入如屠宰、电镀、制革、洗选、印染、含发酵工艺的生物制药等对水环境污染</w:t>
                  </w:r>
                  <w:r>
                    <w:rPr>
                      <w:rFonts w:hint="eastAsia"/>
                      <w:b w:val="0"/>
                      <w:color w:val="auto"/>
                      <w:kern w:val="0"/>
                      <w:szCs w:val="21"/>
                      <w:highlight w:val="none"/>
                      <w:lang w:val="en-US" w:eastAsia="zh-CN"/>
                    </w:rPr>
                    <w:t>重</w:t>
                  </w:r>
                  <w:r>
                    <w:rPr>
                      <w:rFonts w:hint="eastAsia"/>
                      <w:b w:val="0"/>
                      <w:color w:val="auto"/>
                      <w:kern w:val="0"/>
                      <w:szCs w:val="21"/>
                      <w:highlight w:val="none"/>
                    </w:rPr>
                    <w:t>的企业，电石、焦化、煤化工、黄磷等对大气环境污染重的企业，以及其他重污染的工业企业其它同达州市工业重点管控单元要求</w:t>
                  </w:r>
                </w:p>
                <w:p w14:paraId="1548F887">
                  <w:pPr>
                    <w:pStyle w:val="63"/>
                    <w:spacing w:line="240" w:lineRule="exact"/>
                    <w:jc w:val="both"/>
                    <w:rPr>
                      <w:rFonts w:hint="eastAsia"/>
                      <w:b/>
                      <w:bCs/>
                      <w:color w:val="auto"/>
                      <w:kern w:val="0"/>
                      <w:szCs w:val="21"/>
                      <w:highlight w:val="none"/>
                    </w:rPr>
                  </w:pPr>
                  <w:r>
                    <w:rPr>
                      <w:rFonts w:hint="eastAsia"/>
                      <w:b/>
                      <w:bCs/>
                      <w:color w:val="auto"/>
                      <w:kern w:val="0"/>
                      <w:szCs w:val="21"/>
                      <w:highlight w:val="none"/>
                    </w:rPr>
                    <w:t>限制开发建设活动的要求</w:t>
                  </w:r>
                </w:p>
                <w:p w14:paraId="772EEF5A">
                  <w:pPr>
                    <w:pStyle w:val="63"/>
                    <w:spacing w:line="240" w:lineRule="exact"/>
                    <w:jc w:val="both"/>
                    <w:rPr>
                      <w:rFonts w:hint="eastAsia"/>
                      <w:b w:val="0"/>
                      <w:color w:val="auto"/>
                      <w:kern w:val="0"/>
                      <w:szCs w:val="21"/>
                      <w:highlight w:val="none"/>
                    </w:rPr>
                  </w:pPr>
                  <w:r>
                    <w:rPr>
                      <w:rFonts w:hint="eastAsia"/>
                      <w:b w:val="0"/>
                      <w:color w:val="auto"/>
                      <w:kern w:val="0"/>
                      <w:szCs w:val="21"/>
                      <w:highlight w:val="none"/>
                      <w:lang w:val="en-US" w:eastAsia="zh-CN"/>
                    </w:rPr>
                    <w:t>-</w:t>
                  </w:r>
                  <w:r>
                    <w:rPr>
                      <w:rFonts w:hint="eastAsia"/>
                      <w:b w:val="0"/>
                      <w:color w:val="auto"/>
                      <w:kern w:val="0"/>
                      <w:szCs w:val="21"/>
                      <w:highlight w:val="none"/>
                    </w:rPr>
                    <w:t>执行达州市工业重点管控单元总体要求</w:t>
                  </w:r>
                </w:p>
                <w:p w14:paraId="2D6639C6">
                  <w:pPr>
                    <w:pStyle w:val="63"/>
                    <w:spacing w:line="240" w:lineRule="exact"/>
                    <w:jc w:val="both"/>
                    <w:rPr>
                      <w:rFonts w:hint="eastAsia"/>
                      <w:b/>
                      <w:bCs/>
                      <w:color w:val="auto"/>
                      <w:kern w:val="0"/>
                      <w:szCs w:val="21"/>
                      <w:highlight w:val="none"/>
                    </w:rPr>
                  </w:pPr>
                  <w:r>
                    <w:rPr>
                      <w:rFonts w:hint="eastAsia"/>
                      <w:b/>
                      <w:bCs/>
                      <w:color w:val="auto"/>
                      <w:kern w:val="0"/>
                      <w:szCs w:val="21"/>
                      <w:highlight w:val="none"/>
                    </w:rPr>
                    <w:t>允许开发建设活动的要求</w:t>
                  </w:r>
                </w:p>
                <w:p w14:paraId="106C5D98">
                  <w:pPr>
                    <w:pStyle w:val="63"/>
                    <w:spacing w:line="240" w:lineRule="exact"/>
                    <w:jc w:val="both"/>
                    <w:rPr>
                      <w:rFonts w:hint="eastAsia"/>
                      <w:b w:val="0"/>
                      <w:color w:val="auto"/>
                      <w:kern w:val="0"/>
                      <w:szCs w:val="21"/>
                      <w:highlight w:val="none"/>
                    </w:rPr>
                  </w:pPr>
                  <w:r>
                    <w:rPr>
                      <w:rFonts w:hint="eastAsia"/>
                      <w:b w:val="0"/>
                      <w:color w:val="auto"/>
                      <w:kern w:val="0"/>
                      <w:szCs w:val="21"/>
                      <w:highlight w:val="none"/>
                    </w:rPr>
                    <w:t>/</w:t>
                  </w:r>
                </w:p>
                <w:p w14:paraId="5BAF32A3">
                  <w:pPr>
                    <w:pStyle w:val="63"/>
                    <w:spacing w:line="240" w:lineRule="exact"/>
                    <w:jc w:val="both"/>
                    <w:rPr>
                      <w:rFonts w:hint="eastAsia"/>
                      <w:b/>
                      <w:bCs/>
                      <w:color w:val="auto"/>
                      <w:kern w:val="0"/>
                      <w:szCs w:val="21"/>
                      <w:highlight w:val="none"/>
                    </w:rPr>
                  </w:pPr>
                  <w:r>
                    <w:rPr>
                      <w:rFonts w:hint="eastAsia"/>
                      <w:b/>
                      <w:bCs/>
                      <w:color w:val="auto"/>
                      <w:kern w:val="0"/>
                      <w:szCs w:val="21"/>
                      <w:highlight w:val="none"/>
                    </w:rPr>
                    <w:t>不符合空间布局要求活动的退出要求</w:t>
                  </w:r>
                </w:p>
                <w:p w14:paraId="443E6550">
                  <w:pPr>
                    <w:pStyle w:val="63"/>
                    <w:spacing w:line="240" w:lineRule="exact"/>
                    <w:jc w:val="both"/>
                    <w:rPr>
                      <w:rFonts w:hint="eastAsia"/>
                      <w:b w:val="0"/>
                      <w:color w:val="auto"/>
                      <w:kern w:val="0"/>
                      <w:szCs w:val="21"/>
                      <w:highlight w:val="none"/>
                    </w:rPr>
                  </w:pPr>
                  <w:r>
                    <w:rPr>
                      <w:rFonts w:hint="eastAsia"/>
                      <w:b w:val="0"/>
                      <w:color w:val="auto"/>
                      <w:kern w:val="0"/>
                      <w:szCs w:val="21"/>
                      <w:highlight w:val="none"/>
                      <w:lang w:val="en-US" w:eastAsia="zh-CN"/>
                    </w:rPr>
                    <w:t>-</w:t>
                  </w:r>
                  <w:r>
                    <w:rPr>
                      <w:rFonts w:hint="eastAsia"/>
                      <w:b w:val="0"/>
                      <w:color w:val="auto"/>
                      <w:kern w:val="0"/>
                      <w:szCs w:val="21"/>
                      <w:highlight w:val="none"/>
                    </w:rPr>
                    <w:t>执行达州市工业重点管控单元总体要求</w:t>
                  </w:r>
                </w:p>
                <w:p w14:paraId="448001A0">
                  <w:pPr>
                    <w:pStyle w:val="63"/>
                    <w:spacing w:line="240" w:lineRule="exact"/>
                    <w:jc w:val="both"/>
                    <w:rPr>
                      <w:rFonts w:hint="eastAsia"/>
                      <w:b/>
                      <w:bCs/>
                      <w:color w:val="auto"/>
                      <w:kern w:val="0"/>
                      <w:szCs w:val="21"/>
                      <w:highlight w:val="none"/>
                    </w:rPr>
                  </w:pPr>
                  <w:r>
                    <w:rPr>
                      <w:rFonts w:hint="eastAsia"/>
                      <w:b/>
                      <w:bCs/>
                      <w:color w:val="auto"/>
                      <w:kern w:val="0"/>
                      <w:szCs w:val="21"/>
                      <w:highlight w:val="none"/>
                    </w:rPr>
                    <w:t>其他空间布局约束要求</w:t>
                  </w:r>
                </w:p>
                <w:p w14:paraId="724A8540">
                  <w:pPr>
                    <w:pStyle w:val="63"/>
                    <w:spacing w:line="240" w:lineRule="exact"/>
                    <w:jc w:val="both"/>
                    <w:rPr>
                      <w:b w:val="0"/>
                      <w:color w:val="auto"/>
                      <w:kern w:val="0"/>
                      <w:szCs w:val="21"/>
                      <w:highlight w:val="none"/>
                    </w:rPr>
                  </w:pPr>
                  <w:r>
                    <w:rPr>
                      <w:rFonts w:hint="eastAsia"/>
                      <w:b w:val="0"/>
                      <w:color w:val="auto"/>
                      <w:kern w:val="0"/>
                      <w:szCs w:val="21"/>
                      <w:highlight w:val="none"/>
                    </w:rPr>
                    <w:t>/</w:t>
                  </w:r>
                </w:p>
              </w:tc>
              <w:tc>
                <w:tcPr>
                  <w:tcW w:w="2514" w:type="dxa"/>
                  <w:noWrap w:val="0"/>
                  <w:vAlign w:val="center"/>
                </w:tcPr>
                <w:p w14:paraId="41A03544">
                  <w:pPr>
                    <w:pStyle w:val="63"/>
                    <w:spacing w:line="240" w:lineRule="exact"/>
                    <w:jc w:val="both"/>
                    <w:rPr>
                      <w:rFonts w:hint="eastAsia" w:eastAsia="宋体"/>
                      <w:b w:val="0"/>
                      <w:color w:val="auto"/>
                      <w:kern w:val="0"/>
                      <w:szCs w:val="21"/>
                      <w:highlight w:val="none"/>
                      <w:lang w:val="en-US" w:eastAsia="zh-CN"/>
                    </w:rPr>
                  </w:pPr>
                  <w:r>
                    <w:rPr>
                      <w:rFonts w:hint="eastAsia"/>
                      <w:b w:val="0"/>
                      <w:color w:val="auto"/>
                      <w:kern w:val="0"/>
                      <w:szCs w:val="21"/>
                      <w:highlight w:val="none"/>
                      <w:lang w:val="en-US" w:eastAsia="zh-CN"/>
                    </w:rPr>
                    <w:t>本项目不属于以上规定的</w:t>
                  </w:r>
                  <w:r>
                    <w:rPr>
                      <w:rFonts w:hint="eastAsia"/>
                      <w:b w:val="0"/>
                      <w:color w:val="auto"/>
                      <w:kern w:val="0"/>
                      <w:szCs w:val="21"/>
                      <w:highlight w:val="none"/>
                    </w:rPr>
                    <w:t>对水环境污染</w:t>
                  </w:r>
                  <w:r>
                    <w:rPr>
                      <w:rFonts w:hint="eastAsia"/>
                      <w:b w:val="0"/>
                      <w:color w:val="auto"/>
                      <w:kern w:val="0"/>
                      <w:szCs w:val="21"/>
                      <w:highlight w:val="none"/>
                      <w:lang w:val="en-US" w:eastAsia="zh-CN"/>
                    </w:rPr>
                    <w:t>重、</w:t>
                  </w:r>
                  <w:r>
                    <w:rPr>
                      <w:rFonts w:hint="eastAsia"/>
                      <w:b w:val="0"/>
                      <w:color w:val="auto"/>
                      <w:kern w:val="0"/>
                      <w:szCs w:val="21"/>
                      <w:highlight w:val="none"/>
                    </w:rPr>
                    <w:t>对大气环境污染重的企业</w:t>
                  </w:r>
                  <w:r>
                    <w:rPr>
                      <w:rFonts w:hint="eastAsia"/>
                      <w:b w:val="0"/>
                      <w:color w:val="auto"/>
                      <w:kern w:val="0"/>
                      <w:szCs w:val="21"/>
                      <w:highlight w:val="none"/>
                      <w:lang w:eastAsia="zh-CN"/>
                    </w:rPr>
                    <w:t>。</w:t>
                  </w:r>
                </w:p>
              </w:tc>
              <w:tc>
                <w:tcPr>
                  <w:tcW w:w="885" w:type="dxa"/>
                  <w:noWrap w:val="0"/>
                  <w:vAlign w:val="center"/>
                </w:tcPr>
                <w:p w14:paraId="12ECEB0B">
                  <w:pPr>
                    <w:pStyle w:val="63"/>
                    <w:spacing w:line="240" w:lineRule="exact"/>
                    <w:jc w:val="center"/>
                    <w:rPr>
                      <w:b w:val="0"/>
                      <w:color w:val="auto"/>
                      <w:kern w:val="0"/>
                      <w:szCs w:val="21"/>
                      <w:highlight w:val="none"/>
                    </w:rPr>
                  </w:pPr>
                  <w:r>
                    <w:rPr>
                      <w:rFonts w:hint="eastAsia"/>
                      <w:b w:val="0"/>
                      <w:color w:val="auto"/>
                      <w:kern w:val="0"/>
                      <w:szCs w:val="21"/>
                      <w:highlight w:val="none"/>
                    </w:rPr>
                    <w:t>符合</w:t>
                  </w:r>
                </w:p>
              </w:tc>
            </w:tr>
            <w:tr w14:paraId="631F7C9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850" w:type="dxa"/>
                  <w:vMerge w:val="continue"/>
                  <w:noWrap w:val="0"/>
                  <w:vAlign w:val="center"/>
                </w:tcPr>
                <w:p w14:paraId="516CE1E8">
                  <w:pPr>
                    <w:pStyle w:val="63"/>
                    <w:spacing w:line="240" w:lineRule="exact"/>
                    <w:jc w:val="center"/>
                    <w:rPr>
                      <w:b w:val="0"/>
                      <w:color w:val="auto"/>
                      <w:kern w:val="0"/>
                      <w:szCs w:val="21"/>
                      <w:highlight w:val="none"/>
                    </w:rPr>
                  </w:pPr>
                </w:p>
              </w:tc>
              <w:tc>
                <w:tcPr>
                  <w:tcW w:w="616" w:type="dxa"/>
                  <w:vMerge w:val="continue"/>
                  <w:noWrap w:val="0"/>
                  <w:vAlign w:val="center"/>
                </w:tcPr>
                <w:p w14:paraId="3A083618">
                  <w:pPr>
                    <w:pStyle w:val="63"/>
                    <w:spacing w:line="240" w:lineRule="exact"/>
                    <w:jc w:val="center"/>
                    <w:rPr>
                      <w:rFonts w:hint="eastAsia"/>
                      <w:b w:val="0"/>
                      <w:color w:val="auto"/>
                      <w:kern w:val="0"/>
                      <w:szCs w:val="21"/>
                      <w:highlight w:val="none"/>
                    </w:rPr>
                  </w:pPr>
                </w:p>
              </w:tc>
              <w:tc>
                <w:tcPr>
                  <w:tcW w:w="979" w:type="dxa"/>
                  <w:noWrap w:val="0"/>
                  <w:vAlign w:val="center"/>
                </w:tcPr>
                <w:p w14:paraId="39CE6A3B">
                  <w:pPr>
                    <w:pStyle w:val="63"/>
                    <w:spacing w:line="240" w:lineRule="exact"/>
                    <w:jc w:val="center"/>
                    <w:rPr>
                      <w:rFonts w:hint="eastAsia"/>
                      <w:b w:val="0"/>
                      <w:color w:val="auto"/>
                      <w:kern w:val="0"/>
                      <w:szCs w:val="21"/>
                      <w:highlight w:val="none"/>
                    </w:rPr>
                  </w:pPr>
                  <w:r>
                    <w:rPr>
                      <w:rFonts w:hint="eastAsia"/>
                      <w:b w:val="0"/>
                      <w:color w:val="auto"/>
                      <w:kern w:val="0"/>
                      <w:szCs w:val="21"/>
                      <w:highlight w:val="none"/>
                    </w:rPr>
                    <w:t>污染物排放管控</w:t>
                  </w:r>
                </w:p>
              </w:tc>
              <w:tc>
                <w:tcPr>
                  <w:tcW w:w="6141" w:type="dxa"/>
                  <w:noWrap w:val="0"/>
                  <w:vAlign w:val="center"/>
                </w:tcPr>
                <w:p w14:paraId="1FF91299">
                  <w:pPr>
                    <w:pStyle w:val="63"/>
                    <w:spacing w:line="240" w:lineRule="exact"/>
                    <w:jc w:val="both"/>
                    <w:rPr>
                      <w:rFonts w:hint="eastAsia"/>
                      <w:b/>
                      <w:bCs/>
                      <w:color w:val="auto"/>
                      <w:kern w:val="0"/>
                      <w:szCs w:val="21"/>
                      <w:highlight w:val="none"/>
                    </w:rPr>
                  </w:pPr>
                  <w:r>
                    <w:rPr>
                      <w:rFonts w:hint="eastAsia"/>
                      <w:b/>
                      <w:bCs/>
                      <w:color w:val="auto"/>
                      <w:kern w:val="0"/>
                      <w:szCs w:val="21"/>
                      <w:highlight w:val="none"/>
                    </w:rPr>
                    <w:t>现有源提标升级改造</w:t>
                  </w:r>
                </w:p>
                <w:p w14:paraId="706D9AF1">
                  <w:pPr>
                    <w:pStyle w:val="63"/>
                    <w:spacing w:line="240" w:lineRule="exact"/>
                    <w:jc w:val="both"/>
                    <w:rPr>
                      <w:rFonts w:hint="eastAsia"/>
                      <w:b w:val="0"/>
                      <w:color w:val="auto"/>
                      <w:kern w:val="0"/>
                      <w:szCs w:val="21"/>
                      <w:highlight w:val="none"/>
                    </w:rPr>
                  </w:pPr>
                  <w:r>
                    <w:rPr>
                      <w:rFonts w:hint="eastAsia"/>
                      <w:b w:val="0"/>
                      <w:color w:val="auto"/>
                      <w:kern w:val="0"/>
                      <w:szCs w:val="21"/>
                      <w:highlight w:val="none"/>
                      <w:lang w:val="en-US" w:eastAsia="zh-CN"/>
                    </w:rPr>
                    <w:t>-</w:t>
                  </w:r>
                  <w:r>
                    <w:rPr>
                      <w:rFonts w:hint="eastAsia"/>
                      <w:b w:val="0"/>
                      <w:color w:val="auto"/>
                      <w:kern w:val="0"/>
                      <w:szCs w:val="21"/>
                      <w:highlight w:val="none"/>
                    </w:rPr>
                    <w:t>项目产生的生产废水由企业自行处理达到《污水排放综合标准》三级或相应的行业排放标准后排入园区污水处理厂处理达《城镇污水处理厂污染物排放标准》一级A标或更严格标准后排放；其他同达州市工业重点总体准入要求</w:t>
                  </w:r>
                </w:p>
                <w:p w14:paraId="2C688AC1">
                  <w:pPr>
                    <w:pStyle w:val="63"/>
                    <w:spacing w:line="240" w:lineRule="exact"/>
                    <w:jc w:val="both"/>
                    <w:rPr>
                      <w:rFonts w:hint="eastAsia"/>
                      <w:b/>
                      <w:bCs/>
                      <w:color w:val="auto"/>
                      <w:kern w:val="0"/>
                      <w:szCs w:val="21"/>
                      <w:highlight w:val="none"/>
                    </w:rPr>
                  </w:pPr>
                  <w:r>
                    <w:rPr>
                      <w:rFonts w:hint="eastAsia"/>
                      <w:b/>
                      <w:bCs/>
                      <w:color w:val="auto"/>
                      <w:kern w:val="0"/>
                      <w:szCs w:val="21"/>
                      <w:highlight w:val="none"/>
                    </w:rPr>
                    <w:t>新增源等量或倍量替代</w:t>
                  </w:r>
                </w:p>
                <w:p w14:paraId="3CB86F6A">
                  <w:pPr>
                    <w:pStyle w:val="63"/>
                    <w:spacing w:line="240" w:lineRule="exact"/>
                    <w:jc w:val="both"/>
                    <w:rPr>
                      <w:rFonts w:hint="eastAsia"/>
                      <w:b w:val="0"/>
                      <w:color w:val="auto"/>
                      <w:kern w:val="0"/>
                      <w:szCs w:val="21"/>
                      <w:highlight w:val="none"/>
                    </w:rPr>
                  </w:pPr>
                  <w:r>
                    <w:rPr>
                      <w:rFonts w:hint="eastAsia"/>
                      <w:b w:val="0"/>
                      <w:color w:val="auto"/>
                      <w:kern w:val="0"/>
                      <w:szCs w:val="21"/>
                      <w:highlight w:val="none"/>
                      <w:lang w:val="en-US" w:eastAsia="zh-CN"/>
                    </w:rPr>
                    <w:t>-</w:t>
                  </w:r>
                  <w:r>
                    <w:rPr>
                      <w:rFonts w:hint="eastAsia"/>
                      <w:b w:val="0"/>
                      <w:color w:val="auto"/>
                      <w:kern w:val="0"/>
                      <w:szCs w:val="21"/>
                      <w:highlight w:val="none"/>
                    </w:rPr>
                    <w:t>执行达州市工业重点管控单元总体要求</w:t>
                  </w:r>
                </w:p>
                <w:p w14:paraId="2C41ECF8">
                  <w:pPr>
                    <w:pStyle w:val="63"/>
                    <w:spacing w:line="240" w:lineRule="exact"/>
                    <w:jc w:val="both"/>
                    <w:rPr>
                      <w:rFonts w:hint="eastAsia"/>
                      <w:b/>
                      <w:bCs/>
                      <w:color w:val="auto"/>
                      <w:kern w:val="0"/>
                      <w:szCs w:val="21"/>
                      <w:highlight w:val="none"/>
                    </w:rPr>
                  </w:pPr>
                  <w:r>
                    <w:rPr>
                      <w:rFonts w:hint="eastAsia"/>
                      <w:b/>
                      <w:bCs/>
                      <w:color w:val="auto"/>
                      <w:kern w:val="0"/>
                      <w:szCs w:val="21"/>
                      <w:highlight w:val="none"/>
                    </w:rPr>
                    <w:t>新增源排放标准限值</w:t>
                  </w:r>
                </w:p>
                <w:p w14:paraId="0094FC4D">
                  <w:pPr>
                    <w:pStyle w:val="63"/>
                    <w:spacing w:line="240" w:lineRule="exact"/>
                    <w:jc w:val="both"/>
                    <w:rPr>
                      <w:rFonts w:hint="eastAsia"/>
                      <w:b w:val="0"/>
                      <w:color w:val="auto"/>
                      <w:kern w:val="0"/>
                      <w:szCs w:val="21"/>
                      <w:highlight w:val="none"/>
                    </w:rPr>
                  </w:pPr>
                  <w:r>
                    <w:rPr>
                      <w:rFonts w:hint="eastAsia"/>
                      <w:b w:val="0"/>
                      <w:color w:val="auto"/>
                      <w:kern w:val="0"/>
                      <w:szCs w:val="21"/>
                      <w:highlight w:val="none"/>
                      <w:lang w:val="en-US" w:eastAsia="zh-CN"/>
                    </w:rPr>
                    <w:t>-</w:t>
                  </w:r>
                  <w:r>
                    <w:rPr>
                      <w:rFonts w:hint="eastAsia"/>
                      <w:b w:val="0"/>
                      <w:color w:val="auto"/>
                      <w:kern w:val="0"/>
                      <w:szCs w:val="21"/>
                      <w:highlight w:val="none"/>
                    </w:rPr>
                    <w:t>同达州市工业重点总体准入要求</w:t>
                  </w:r>
                </w:p>
                <w:p w14:paraId="298FC88D">
                  <w:pPr>
                    <w:pStyle w:val="63"/>
                    <w:spacing w:line="240" w:lineRule="exact"/>
                    <w:jc w:val="both"/>
                    <w:rPr>
                      <w:rFonts w:hint="eastAsia"/>
                      <w:b/>
                      <w:bCs/>
                      <w:color w:val="auto"/>
                      <w:kern w:val="0"/>
                      <w:szCs w:val="21"/>
                      <w:highlight w:val="none"/>
                    </w:rPr>
                  </w:pPr>
                  <w:r>
                    <w:rPr>
                      <w:rFonts w:hint="eastAsia"/>
                      <w:b/>
                      <w:bCs/>
                      <w:color w:val="auto"/>
                      <w:kern w:val="0"/>
                      <w:szCs w:val="21"/>
                      <w:highlight w:val="none"/>
                    </w:rPr>
                    <w:t>污染物排放绩效水平准入要求</w:t>
                  </w:r>
                </w:p>
                <w:p w14:paraId="7C1A4294">
                  <w:pPr>
                    <w:pStyle w:val="63"/>
                    <w:spacing w:line="240" w:lineRule="exact"/>
                    <w:jc w:val="both"/>
                    <w:rPr>
                      <w:rFonts w:hint="eastAsia"/>
                      <w:b w:val="0"/>
                      <w:color w:val="auto"/>
                      <w:kern w:val="0"/>
                      <w:szCs w:val="21"/>
                      <w:highlight w:val="none"/>
                    </w:rPr>
                  </w:pPr>
                  <w:r>
                    <w:rPr>
                      <w:rFonts w:hint="eastAsia"/>
                      <w:b w:val="0"/>
                      <w:color w:val="auto"/>
                      <w:kern w:val="0"/>
                      <w:szCs w:val="21"/>
                      <w:highlight w:val="none"/>
                      <w:lang w:val="en-US" w:eastAsia="zh-CN"/>
                    </w:rPr>
                    <w:t>-</w:t>
                  </w:r>
                  <w:r>
                    <w:rPr>
                      <w:rFonts w:hint="eastAsia"/>
                      <w:b w:val="0"/>
                      <w:color w:val="auto"/>
                      <w:kern w:val="0"/>
                      <w:szCs w:val="21"/>
                      <w:highlight w:val="none"/>
                    </w:rPr>
                    <w:t>执行达州市工业重点管控单元总体要求</w:t>
                  </w:r>
                </w:p>
                <w:p w14:paraId="17F9E664">
                  <w:pPr>
                    <w:pStyle w:val="63"/>
                    <w:spacing w:line="240" w:lineRule="exact"/>
                    <w:jc w:val="both"/>
                    <w:rPr>
                      <w:rFonts w:hint="eastAsia"/>
                      <w:b/>
                      <w:bCs/>
                      <w:color w:val="auto"/>
                      <w:kern w:val="0"/>
                      <w:szCs w:val="21"/>
                      <w:highlight w:val="none"/>
                    </w:rPr>
                  </w:pPr>
                  <w:r>
                    <w:rPr>
                      <w:rFonts w:hint="eastAsia"/>
                      <w:b/>
                      <w:bCs/>
                      <w:color w:val="auto"/>
                      <w:kern w:val="0"/>
                      <w:szCs w:val="21"/>
                      <w:highlight w:val="none"/>
                    </w:rPr>
                    <w:t>其他污染物排放管控要求</w:t>
                  </w:r>
                </w:p>
                <w:p w14:paraId="734ACE1C">
                  <w:pPr>
                    <w:pStyle w:val="63"/>
                    <w:spacing w:line="240" w:lineRule="exact"/>
                    <w:jc w:val="both"/>
                    <w:rPr>
                      <w:b w:val="0"/>
                      <w:color w:val="auto"/>
                      <w:kern w:val="0"/>
                      <w:szCs w:val="21"/>
                      <w:highlight w:val="none"/>
                    </w:rPr>
                  </w:pPr>
                  <w:r>
                    <w:rPr>
                      <w:rFonts w:hint="eastAsia"/>
                      <w:b w:val="0"/>
                      <w:color w:val="auto"/>
                      <w:kern w:val="0"/>
                      <w:szCs w:val="21"/>
                      <w:highlight w:val="none"/>
                    </w:rPr>
                    <w:t>/</w:t>
                  </w:r>
                </w:p>
              </w:tc>
              <w:tc>
                <w:tcPr>
                  <w:tcW w:w="2514" w:type="dxa"/>
                  <w:noWrap w:val="0"/>
                  <w:vAlign w:val="center"/>
                </w:tcPr>
                <w:p w14:paraId="0E2F9453">
                  <w:pPr>
                    <w:pStyle w:val="63"/>
                    <w:spacing w:line="240" w:lineRule="exact"/>
                    <w:jc w:val="both"/>
                    <w:rPr>
                      <w:rFonts w:hint="default" w:eastAsia="宋体"/>
                      <w:b w:val="0"/>
                      <w:color w:val="auto"/>
                      <w:kern w:val="0"/>
                      <w:szCs w:val="21"/>
                      <w:highlight w:val="none"/>
                      <w:lang w:val="en-US" w:eastAsia="zh-CN"/>
                    </w:rPr>
                  </w:pPr>
                  <w:r>
                    <w:rPr>
                      <w:rFonts w:hint="eastAsia"/>
                      <w:b w:val="0"/>
                      <w:color w:val="auto"/>
                      <w:kern w:val="0"/>
                      <w:szCs w:val="21"/>
                      <w:highlight w:val="none"/>
                      <w:lang w:val="en-US" w:eastAsia="zh-CN"/>
                    </w:rPr>
                    <w:t>本项目生产废水（车辆清洗废水、实验设备清洗废水）经隔油池+三级沉淀池处理后回用不外排；生活污水（含食堂废水）经隔油池+化粪池处理后用作农肥不外排。</w:t>
                  </w:r>
                </w:p>
              </w:tc>
              <w:tc>
                <w:tcPr>
                  <w:tcW w:w="885" w:type="dxa"/>
                  <w:noWrap w:val="0"/>
                  <w:vAlign w:val="center"/>
                </w:tcPr>
                <w:p w14:paraId="346ED6AA">
                  <w:pPr>
                    <w:pStyle w:val="63"/>
                    <w:spacing w:line="240" w:lineRule="exact"/>
                    <w:jc w:val="center"/>
                    <w:rPr>
                      <w:b w:val="0"/>
                      <w:color w:val="auto"/>
                      <w:kern w:val="0"/>
                      <w:szCs w:val="21"/>
                      <w:highlight w:val="none"/>
                    </w:rPr>
                  </w:pPr>
                  <w:r>
                    <w:rPr>
                      <w:rFonts w:hint="eastAsia"/>
                      <w:b w:val="0"/>
                      <w:color w:val="auto"/>
                      <w:kern w:val="0"/>
                      <w:szCs w:val="21"/>
                      <w:highlight w:val="none"/>
                    </w:rPr>
                    <w:t>符合</w:t>
                  </w:r>
                </w:p>
              </w:tc>
            </w:tr>
            <w:tr w14:paraId="04C71B5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850" w:type="dxa"/>
                  <w:vMerge w:val="continue"/>
                  <w:noWrap w:val="0"/>
                  <w:vAlign w:val="center"/>
                </w:tcPr>
                <w:p w14:paraId="0CFC85ED">
                  <w:pPr>
                    <w:pStyle w:val="63"/>
                    <w:spacing w:line="240" w:lineRule="exact"/>
                    <w:jc w:val="center"/>
                    <w:rPr>
                      <w:b w:val="0"/>
                      <w:color w:val="auto"/>
                      <w:kern w:val="0"/>
                      <w:szCs w:val="21"/>
                      <w:highlight w:val="none"/>
                    </w:rPr>
                  </w:pPr>
                </w:p>
              </w:tc>
              <w:tc>
                <w:tcPr>
                  <w:tcW w:w="616" w:type="dxa"/>
                  <w:vMerge w:val="continue"/>
                  <w:noWrap w:val="0"/>
                  <w:vAlign w:val="center"/>
                </w:tcPr>
                <w:p w14:paraId="46AF9D2F">
                  <w:pPr>
                    <w:pStyle w:val="63"/>
                    <w:spacing w:line="240" w:lineRule="exact"/>
                    <w:jc w:val="center"/>
                    <w:rPr>
                      <w:rFonts w:hint="eastAsia"/>
                      <w:b w:val="0"/>
                      <w:color w:val="auto"/>
                      <w:kern w:val="0"/>
                      <w:szCs w:val="21"/>
                      <w:highlight w:val="none"/>
                    </w:rPr>
                  </w:pPr>
                </w:p>
              </w:tc>
              <w:tc>
                <w:tcPr>
                  <w:tcW w:w="979" w:type="dxa"/>
                  <w:noWrap w:val="0"/>
                  <w:vAlign w:val="center"/>
                </w:tcPr>
                <w:p w14:paraId="26364C88">
                  <w:pPr>
                    <w:pStyle w:val="63"/>
                    <w:spacing w:line="240" w:lineRule="exact"/>
                    <w:jc w:val="center"/>
                    <w:rPr>
                      <w:b w:val="0"/>
                      <w:color w:val="auto"/>
                      <w:kern w:val="0"/>
                      <w:szCs w:val="21"/>
                      <w:highlight w:val="none"/>
                    </w:rPr>
                  </w:pPr>
                  <w:r>
                    <w:rPr>
                      <w:rFonts w:hint="eastAsia"/>
                      <w:b w:val="0"/>
                      <w:color w:val="auto"/>
                      <w:kern w:val="0"/>
                      <w:szCs w:val="21"/>
                      <w:highlight w:val="none"/>
                    </w:rPr>
                    <w:t>环境风险防控</w:t>
                  </w:r>
                </w:p>
              </w:tc>
              <w:tc>
                <w:tcPr>
                  <w:tcW w:w="6141" w:type="dxa"/>
                  <w:noWrap w:val="0"/>
                  <w:vAlign w:val="center"/>
                </w:tcPr>
                <w:p w14:paraId="43C595B7">
                  <w:pPr>
                    <w:rPr>
                      <w:rFonts w:hint="eastAsia" w:eastAsia="宋体"/>
                      <w:lang w:val="en-US" w:eastAsia="zh-CN"/>
                    </w:rPr>
                  </w:pPr>
                  <w:r>
                    <w:rPr>
                      <w:rFonts w:hint="eastAsia" w:eastAsia="宋体"/>
                      <w:b/>
                      <w:bCs/>
                      <w:lang w:val="en-US" w:eastAsia="zh-CN"/>
                    </w:rPr>
                    <w:t>严格管控类农用地管控要求</w:t>
                  </w:r>
                </w:p>
                <w:p w14:paraId="5D72A1F2">
                  <w:pPr>
                    <w:rPr>
                      <w:rFonts w:hint="eastAsia" w:eastAsia="宋体"/>
                      <w:lang w:val="en-US" w:eastAsia="zh-CN"/>
                    </w:rPr>
                  </w:pPr>
                  <w:r>
                    <w:rPr>
                      <w:rFonts w:hint="eastAsia"/>
                      <w:lang w:val="en-US" w:eastAsia="zh-CN"/>
                    </w:rPr>
                    <w:t>-</w:t>
                  </w:r>
                  <w:r>
                    <w:rPr>
                      <w:rFonts w:hint="eastAsia" w:eastAsia="宋体"/>
                      <w:lang w:val="en-US" w:eastAsia="zh-CN"/>
                    </w:rPr>
                    <w:t>执行达州市工业重点管控单元总体要求</w:t>
                  </w:r>
                </w:p>
                <w:p w14:paraId="5012D73F">
                  <w:pPr>
                    <w:rPr>
                      <w:rFonts w:hint="eastAsia" w:eastAsia="宋体"/>
                      <w:b/>
                      <w:bCs/>
                      <w:lang w:val="en-US" w:eastAsia="zh-CN"/>
                    </w:rPr>
                  </w:pPr>
                  <w:r>
                    <w:rPr>
                      <w:rFonts w:hint="eastAsia" w:eastAsia="宋体"/>
                      <w:b/>
                      <w:bCs/>
                      <w:lang w:val="en-US" w:eastAsia="zh-CN"/>
                    </w:rPr>
                    <w:t>安全利用类农用地管控要求</w:t>
                  </w:r>
                </w:p>
                <w:p w14:paraId="441AB24A">
                  <w:pPr>
                    <w:rPr>
                      <w:rFonts w:hint="eastAsia" w:eastAsia="宋体"/>
                      <w:lang w:val="en-US" w:eastAsia="zh-CN"/>
                    </w:rPr>
                  </w:pPr>
                  <w:r>
                    <w:rPr>
                      <w:rFonts w:hint="eastAsia"/>
                      <w:lang w:val="en-US" w:eastAsia="zh-CN"/>
                    </w:rPr>
                    <w:t>-</w:t>
                  </w:r>
                  <w:r>
                    <w:rPr>
                      <w:rFonts w:hint="eastAsia" w:eastAsia="宋体"/>
                      <w:lang w:val="en-US" w:eastAsia="zh-CN"/>
                    </w:rPr>
                    <w:t>执行达州市工业重点管控单元总体要求</w:t>
                  </w:r>
                </w:p>
                <w:p w14:paraId="345B4836">
                  <w:pPr>
                    <w:rPr>
                      <w:rFonts w:hint="eastAsia" w:eastAsia="宋体"/>
                      <w:b/>
                      <w:bCs/>
                      <w:lang w:val="en-US" w:eastAsia="zh-CN"/>
                    </w:rPr>
                  </w:pPr>
                  <w:r>
                    <w:rPr>
                      <w:rFonts w:hint="eastAsia" w:eastAsia="宋体"/>
                      <w:b/>
                      <w:bCs/>
                      <w:lang w:val="en-US" w:eastAsia="zh-CN"/>
                    </w:rPr>
                    <w:t>污染地块管控要求</w:t>
                  </w:r>
                </w:p>
                <w:p w14:paraId="428C4B6C">
                  <w:pPr>
                    <w:rPr>
                      <w:rFonts w:hint="eastAsia" w:eastAsia="宋体"/>
                      <w:lang w:val="en-US" w:eastAsia="zh-CN"/>
                    </w:rPr>
                  </w:pPr>
                  <w:r>
                    <w:rPr>
                      <w:rFonts w:hint="eastAsia"/>
                      <w:lang w:val="en-US" w:eastAsia="zh-CN"/>
                    </w:rPr>
                    <w:t>-</w:t>
                  </w:r>
                  <w:r>
                    <w:rPr>
                      <w:rFonts w:hint="eastAsia" w:eastAsia="宋体"/>
                      <w:lang w:val="en-US" w:eastAsia="zh-CN"/>
                    </w:rPr>
                    <w:t>执行达州市工业重点管控单元总体要求</w:t>
                  </w:r>
                </w:p>
                <w:p w14:paraId="3803461D">
                  <w:pPr>
                    <w:rPr>
                      <w:rFonts w:hint="eastAsia" w:eastAsia="宋体"/>
                      <w:b/>
                      <w:bCs/>
                      <w:lang w:val="en-US" w:eastAsia="zh-CN"/>
                    </w:rPr>
                  </w:pPr>
                  <w:r>
                    <w:rPr>
                      <w:rFonts w:hint="eastAsia" w:eastAsia="宋体"/>
                      <w:b/>
                      <w:bCs/>
                      <w:lang w:val="en-US" w:eastAsia="zh-CN"/>
                    </w:rPr>
                    <w:t>园区环境风险防控要求</w:t>
                  </w:r>
                </w:p>
                <w:p w14:paraId="1132B670">
                  <w:pPr>
                    <w:rPr>
                      <w:rFonts w:hint="eastAsia" w:eastAsia="宋体"/>
                      <w:lang w:val="en-US" w:eastAsia="zh-CN"/>
                    </w:rPr>
                  </w:pPr>
                  <w:r>
                    <w:rPr>
                      <w:rFonts w:hint="eastAsia"/>
                      <w:lang w:val="en-US" w:eastAsia="zh-CN"/>
                    </w:rPr>
                    <w:t>-</w:t>
                  </w:r>
                  <w:r>
                    <w:rPr>
                      <w:rFonts w:hint="eastAsia" w:eastAsia="宋体"/>
                      <w:lang w:val="en-US" w:eastAsia="zh-CN"/>
                    </w:rPr>
                    <w:t>执行达州市工业重点管控单元总体要求</w:t>
                  </w:r>
                </w:p>
                <w:p w14:paraId="5984C676">
                  <w:pPr>
                    <w:rPr>
                      <w:rFonts w:hint="eastAsia" w:eastAsia="宋体"/>
                      <w:b/>
                      <w:bCs/>
                      <w:lang w:val="en-US" w:eastAsia="zh-CN"/>
                    </w:rPr>
                  </w:pPr>
                  <w:r>
                    <w:rPr>
                      <w:rFonts w:hint="eastAsia" w:eastAsia="宋体"/>
                      <w:b/>
                      <w:bCs/>
                      <w:lang w:val="en-US" w:eastAsia="zh-CN"/>
                    </w:rPr>
                    <w:t>企业环境风险防控要求</w:t>
                  </w:r>
                </w:p>
                <w:p w14:paraId="76574B80">
                  <w:pPr>
                    <w:rPr>
                      <w:rFonts w:hint="eastAsia" w:eastAsia="宋体"/>
                      <w:lang w:val="en-US" w:eastAsia="zh-CN"/>
                    </w:rPr>
                  </w:pPr>
                  <w:r>
                    <w:rPr>
                      <w:rFonts w:hint="eastAsia"/>
                      <w:lang w:val="en-US" w:eastAsia="zh-CN"/>
                    </w:rPr>
                    <w:t>-</w:t>
                  </w:r>
                  <w:r>
                    <w:rPr>
                      <w:rFonts w:hint="eastAsia" w:eastAsia="宋体"/>
                      <w:lang w:val="en-US" w:eastAsia="zh-CN"/>
                    </w:rPr>
                    <w:t>执行达州市工业重点管控单元总体要求</w:t>
                  </w:r>
                </w:p>
                <w:p w14:paraId="2061E5EF">
                  <w:pPr>
                    <w:rPr>
                      <w:rFonts w:hint="eastAsia" w:eastAsia="宋体"/>
                      <w:b/>
                      <w:bCs/>
                      <w:lang w:val="en-US" w:eastAsia="zh-CN"/>
                    </w:rPr>
                  </w:pPr>
                  <w:r>
                    <w:rPr>
                      <w:rFonts w:hint="eastAsia" w:eastAsia="宋体"/>
                      <w:b/>
                      <w:bCs/>
                      <w:lang w:val="en-US" w:eastAsia="zh-CN"/>
                    </w:rPr>
                    <w:t>其他环境风险防控要求</w:t>
                  </w:r>
                </w:p>
                <w:p w14:paraId="2DCC0EE9">
                  <w:pPr>
                    <w:rPr>
                      <w:rFonts w:hint="eastAsia" w:eastAsia="宋体"/>
                      <w:lang w:val="en-US" w:eastAsia="zh-CN"/>
                    </w:rPr>
                  </w:pPr>
                  <w:r>
                    <w:rPr>
                      <w:rFonts w:hint="eastAsia" w:eastAsia="宋体"/>
                      <w:lang w:val="en-US" w:eastAsia="zh-CN"/>
                    </w:rPr>
                    <w:t>/</w:t>
                  </w:r>
                </w:p>
              </w:tc>
              <w:tc>
                <w:tcPr>
                  <w:tcW w:w="2514" w:type="dxa"/>
                  <w:noWrap w:val="0"/>
                  <w:vAlign w:val="center"/>
                </w:tcPr>
                <w:p w14:paraId="32E8EA1F">
                  <w:pPr>
                    <w:pStyle w:val="63"/>
                    <w:spacing w:line="240" w:lineRule="exact"/>
                    <w:jc w:val="both"/>
                    <w:rPr>
                      <w:rFonts w:hint="default" w:eastAsia="宋体"/>
                      <w:b w:val="0"/>
                      <w:color w:val="auto"/>
                      <w:kern w:val="0"/>
                      <w:szCs w:val="21"/>
                      <w:highlight w:val="none"/>
                      <w:lang w:val="en-US" w:eastAsia="zh-CN"/>
                    </w:rPr>
                  </w:pPr>
                  <w:r>
                    <w:rPr>
                      <w:rFonts w:hint="eastAsia"/>
                      <w:b w:val="0"/>
                      <w:color w:val="auto"/>
                      <w:kern w:val="0"/>
                      <w:szCs w:val="21"/>
                      <w:highlight w:val="none"/>
                      <w:lang w:val="en-US" w:eastAsia="zh-CN"/>
                    </w:rPr>
                    <w:t>本项目满足</w:t>
                  </w:r>
                  <w:r>
                    <w:rPr>
                      <w:rFonts w:hint="default" w:eastAsia="宋体"/>
                      <w:b w:val="0"/>
                      <w:color w:val="auto"/>
                      <w:kern w:val="0"/>
                      <w:szCs w:val="21"/>
                      <w:highlight w:val="none"/>
                      <w:lang w:val="en-US" w:eastAsia="zh-CN"/>
                    </w:rPr>
                    <w:t>达州市工业重点管控单元总体要求</w:t>
                  </w:r>
                </w:p>
              </w:tc>
              <w:tc>
                <w:tcPr>
                  <w:tcW w:w="885" w:type="dxa"/>
                  <w:noWrap w:val="0"/>
                  <w:vAlign w:val="center"/>
                </w:tcPr>
                <w:p w14:paraId="3CA6199E">
                  <w:pPr>
                    <w:pStyle w:val="63"/>
                    <w:spacing w:line="240" w:lineRule="exact"/>
                    <w:jc w:val="center"/>
                    <w:rPr>
                      <w:b w:val="0"/>
                      <w:color w:val="auto"/>
                      <w:kern w:val="0"/>
                      <w:szCs w:val="21"/>
                      <w:highlight w:val="none"/>
                    </w:rPr>
                  </w:pPr>
                  <w:r>
                    <w:rPr>
                      <w:rFonts w:hint="eastAsia"/>
                      <w:b w:val="0"/>
                      <w:color w:val="auto"/>
                      <w:kern w:val="0"/>
                      <w:szCs w:val="21"/>
                      <w:highlight w:val="none"/>
                    </w:rPr>
                    <w:t>符合</w:t>
                  </w:r>
                </w:p>
              </w:tc>
            </w:tr>
            <w:tr w14:paraId="593BF20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850" w:type="dxa"/>
                  <w:vMerge w:val="continue"/>
                  <w:noWrap w:val="0"/>
                  <w:vAlign w:val="center"/>
                </w:tcPr>
                <w:p w14:paraId="622780EF">
                  <w:pPr>
                    <w:pStyle w:val="63"/>
                    <w:spacing w:line="240" w:lineRule="exact"/>
                    <w:jc w:val="center"/>
                    <w:rPr>
                      <w:b w:val="0"/>
                      <w:color w:val="auto"/>
                      <w:kern w:val="0"/>
                      <w:szCs w:val="21"/>
                      <w:highlight w:val="none"/>
                    </w:rPr>
                  </w:pPr>
                </w:p>
              </w:tc>
              <w:tc>
                <w:tcPr>
                  <w:tcW w:w="616" w:type="dxa"/>
                  <w:vMerge w:val="continue"/>
                  <w:noWrap w:val="0"/>
                  <w:vAlign w:val="center"/>
                </w:tcPr>
                <w:p w14:paraId="37F23BFE">
                  <w:pPr>
                    <w:pStyle w:val="63"/>
                    <w:spacing w:line="240" w:lineRule="exact"/>
                    <w:jc w:val="center"/>
                    <w:rPr>
                      <w:rFonts w:hint="eastAsia"/>
                      <w:b w:val="0"/>
                      <w:color w:val="auto"/>
                      <w:kern w:val="0"/>
                      <w:szCs w:val="21"/>
                      <w:highlight w:val="none"/>
                    </w:rPr>
                  </w:pPr>
                </w:p>
              </w:tc>
              <w:tc>
                <w:tcPr>
                  <w:tcW w:w="979" w:type="dxa"/>
                  <w:noWrap w:val="0"/>
                  <w:vAlign w:val="center"/>
                </w:tcPr>
                <w:p w14:paraId="3F85D3F3">
                  <w:pPr>
                    <w:pStyle w:val="63"/>
                    <w:spacing w:line="240" w:lineRule="exact"/>
                    <w:jc w:val="center"/>
                    <w:rPr>
                      <w:b w:val="0"/>
                      <w:color w:val="auto"/>
                      <w:kern w:val="0"/>
                      <w:szCs w:val="21"/>
                      <w:highlight w:val="none"/>
                    </w:rPr>
                  </w:pPr>
                  <w:r>
                    <w:rPr>
                      <w:rFonts w:hint="eastAsia"/>
                      <w:b w:val="0"/>
                      <w:color w:val="auto"/>
                      <w:kern w:val="0"/>
                      <w:szCs w:val="21"/>
                      <w:highlight w:val="none"/>
                    </w:rPr>
                    <w:t>资源开发利用效率要求</w:t>
                  </w:r>
                </w:p>
              </w:tc>
              <w:tc>
                <w:tcPr>
                  <w:tcW w:w="6141" w:type="dxa"/>
                  <w:noWrap w:val="0"/>
                  <w:vAlign w:val="center"/>
                </w:tcPr>
                <w:p w14:paraId="5BCB8369">
                  <w:pPr>
                    <w:pStyle w:val="63"/>
                    <w:spacing w:line="240" w:lineRule="exact"/>
                    <w:jc w:val="both"/>
                    <w:rPr>
                      <w:rFonts w:hint="eastAsia"/>
                      <w:b/>
                      <w:bCs/>
                      <w:color w:val="auto"/>
                      <w:kern w:val="0"/>
                      <w:szCs w:val="21"/>
                      <w:highlight w:val="none"/>
                    </w:rPr>
                  </w:pPr>
                  <w:r>
                    <w:rPr>
                      <w:rFonts w:hint="eastAsia"/>
                      <w:b/>
                      <w:bCs/>
                      <w:color w:val="auto"/>
                      <w:kern w:val="0"/>
                      <w:szCs w:val="21"/>
                      <w:highlight w:val="none"/>
                    </w:rPr>
                    <w:t>水资源利用效率要求</w:t>
                  </w:r>
                </w:p>
                <w:p w14:paraId="0A49DDD2">
                  <w:pPr>
                    <w:pStyle w:val="63"/>
                    <w:spacing w:line="240" w:lineRule="exact"/>
                    <w:jc w:val="both"/>
                    <w:rPr>
                      <w:rFonts w:hint="eastAsia"/>
                      <w:b w:val="0"/>
                      <w:color w:val="auto"/>
                      <w:kern w:val="0"/>
                      <w:szCs w:val="21"/>
                      <w:highlight w:val="none"/>
                    </w:rPr>
                  </w:pPr>
                  <w:r>
                    <w:rPr>
                      <w:rFonts w:hint="eastAsia"/>
                      <w:b w:val="0"/>
                      <w:color w:val="auto"/>
                      <w:kern w:val="0"/>
                      <w:szCs w:val="21"/>
                      <w:highlight w:val="none"/>
                      <w:lang w:val="en-US" w:eastAsia="zh-CN"/>
                    </w:rPr>
                    <w:t>-</w:t>
                  </w:r>
                  <w:r>
                    <w:rPr>
                      <w:rFonts w:hint="eastAsia"/>
                      <w:b w:val="0"/>
                      <w:color w:val="auto"/>
                      <w:kern w:val="0"/>
                      <w:szCs w:val="21"/>
                      <w:highlight w:val="none"/>
                    </w:rPr>
                    <w:t>执行达州市工业重点管控单元总体要求</w:t>
                  </w:r>
                </w:p>
                <w:p w14:paraId="6CAD241E">
                  <w:pPr>
                    <w:pStyle w:val="63"/>
                    <w:spacing w:line="240" w:lineRule="exact"/>
                    <w:jc w:val="both"/>
                    <w:rPr>
                      <w:rFonts w:hint="eastAsia"/>
                      <w:b/>
                      <w:bCs/>
                      <w:color w:val="auto"/>
                      <w:kern w:val="0"/>
                      <w:szCs w:val="21"/>
                      <w:highlight w:val="none"/>
                    </w:rPr>
                  </w:pPr>
                  <w:r>
                    <w:rPr>
                      <w:rFonts w:hint="eastAsia"/>
                      <w:b/>
                      <w:bCs/>
                      <w:color w:val="auto"/>
                      <w:kern w:val="0"/>
                      <w:szCs w:val="21"/>
                      <w:highlight w:val="none"/>
                    </w:rPr>
                    <w:t>地下水开采要求</w:t>
                  </w:r>
                </w:p>
                <w:p w14:paraId="05CA241B">
                  <w:pPr>
                    <w:pStyle w:val="63"/>
                    <w:spacing w:line="240" w:lineRule="exact"/>
                    <w:jc w:val="both"/>
                    <w:rPr>
                      <w:rFonts w:hint="eastAsia"/>
                      <w:b w:val="0"/>
                      <w:color w:val="auto"/>
                      <w:kern w:val="0"/>
                      <w:szCs w:val="21"/>
                      <w:highlight w:val="none"/>
                    </w:rPr>
                  </w:pPr>
                  <w:r>
                    <w:rPr>
                      <w:rFonts w:hint="eastAsia"/>
                      <w:b w:val="0"/>
                      <w:color w:val="auto"/>
                      <w:kern w:val="0"/>
                      <w:szCs w:val="21"/>
                      <w:highlight w:val="none"/>
                      <w:lang w:val="en-US" w:eastAsia="zh-CN"/>
                    </w:rPr>
                    <w:t>-</w:t>
                  </w:r>
                  <w:r>
                    <w:rPr>
                      <w:rFonts w:hint="eastAsia"/>
                      <w:b w:val="0"/>
                      <w:color w:val="auto"/>
                      <w:kern w:val="0"/>
                      <w:szCs w:val="21"/>
                      <w:highlight w:val="none"/>
                    </w:rPr>
                    <w:t>执行达州市工业重点管控单元总体要求</w:t>
                  </w:r>
                </w:p>
                <w:p w14:paraId="322ABCA7">
                  <w:pPr>
                    <w:pStyle w:val="63"/>
                    <w:spacing w:line="240" w:lineRule="exact"/>
                    <w:jc w:val="both"/>
                    <w:rPr>
                      <w:rFonts w:hint="eastAsia"/>
                      <w:b/>
                      <w:bCs/>
                      <w:color w:val="auto"/>
                      <w:kern w:val="0"/>
                      <w:szCs w:val="21"/>
                      <w:highlight w:val="none"/>
                    </w:rPr>
                  </w:pPr>
                  <w:r>
                    <w:rPr>
                      <w:rFonts w:hint="eastAsia"/>
                      <w:b/>
                      <w:bCs/>
                      <w:color w:val="auto"/>
                      <w:kern w:val="0"/>
                      <w:szCs w:val="21"/>
                      <w:highlight w:val="none"/>
                    </w:rPr>
                    <w:t>能源利用效率要求</w:t>
                  </w:r>
                </w:p>
                <w:p w14:paraId="6429AF2F">
                  <w:pPr>
                    <w:pStyle w:val="63"/>
                    <w:spacing w:line="240" w:lineRule="exact"/>
                    <w:jc w:val="both"/>
                    <w:rPr>
                      <w:rFonts w:hint="eastAsia"/>
                      <w:b w:val="0"/>
                      <w:color w:val="auto"/>
                      <w:kern w:val="0"/>
                      <w:szCs w:val="21"/>
                      <w:highlight w:val="none"/>
                    </w:rPr>
                  </w:pPr>
                  <w:r>
                    <w:rPr>
                      <w:rFonts w:hint="eastAsia"/>
                      <w:b w:val="0"/>
                      <w:color w:val="auto"/>
                      <w:kern w:val="0"/>
                      <w:szCs w:val="21"/>
                      <w:highlight w:val="none"/>
                      <w:lang w:val="en-US" w:eastAsia="zh-CN"/>
                    </w:rPr>
                    <w:t>-</w:t>
                  </w:r>
                  <w:r>
                    <w:rPr>
                      <w:rFonts w:hint="eastAsia"/>
                      <w:b w:val="0"/>
                      <w:color w:val="auto"/>
                      <w:kern w:val="0"/>
                      <w:szCs w:val="21"/>
                      <w:highlight w:val="none"/>
                    </w:rPr>
                    <w:t>执行达州市工业重点管控单元总体要求</w:t>
                  </w:r>
                </w:p>
                <w:p w14:paraId="037EEFCA">
                  <w:pPr>
                    <w:pStyle w:val="63"/>
                    <w:spacing w:line="240" w:lineRule="exact"/>
                    <w:jc w:val="both"/>
                    <w:rPr>
                      <w:rFonts w:hint="eastAsia"/>
                      <w:b/>
                      <w:bCs/>
                      <w:color w:val="auto"/>
                      <w:kern w:val="0"/>
                      <w:szCs w:val="21"/>
                      <w:highlight w:val="none"/>
                    </w:rPr>
                  </w:pPr>
                  <w:r>
                    <w:rPr>
                      <w:rFonts w:hint="eastAsia"/>
                      <w:b/>
                      <w:bCs/>
                      <w:color w:val="auto"/>
                      <w:kern w:val="0"/>
                      <w:szCs w:val="21"/>
                      <w:highlight w:val="none"/>
                    </w:rPr>
                    <w:t>其他资源利用效率要求</w:t>
                  </w:r>
                </w:p>
                <w:p w14:paraId="3C5A141E">
                  <w:pPr>
                    <w:pStyle w:val="63"/>
                    <w:spacing w:line="240" w:lineRule="exact"/>
                    <w:jc w:val="both"/>
                    <w:rPr>
                      <w:rFonts w:hint="eastAsia" w:eastAsia="宋体"/>
                      <w:b/>
                      <w:bCs/>
                      <w:color w:val="auto"/>
                      <w:kern w:val="0"/>
                      <w:szCs w:val="21"/>
                      <w:highlight w:val="none"/>
                      <w:lang w:eastAsia="zh-CN"/>
                    </w:rPr>
                  </w:pPr>
                  <w:r>
                    <w:rPr>
                      <w:rFonts w:hint="eastAsia"/>
                      <w:b/>
                      <w:bCs/>
                      <w:color w:val="auto"/>
                      <w:kern w:val="0"/>
                      <w:szCs w:val="21"/>
                      <w:highlight w:val="none"/>
                    </w:rPr>
                    <w:t>禁燃区要求</w:t>
                  </w:r>
                </w:p>
                <w:p w14:paraId="47819938">
                  <w:pPr>
                    <w:pStyle w:val="63"/>
                    <w:spacing w:line="240" w:lineRule="exact"/>
                    <w:jc w:val="both"/>
                    <w:rPr>
                      <w:b w:val="0"/>
                      <w:color w:val="auto"/>
                      <w:kern w:val="0"/>
                      <w:szCs w:val="21"/>
                      <w:highlight w:val="none"/>
                    </w:rPr>
                  </w:pPr>
                  <w:r>
                    <w:rPr>
                      <w:rFonts w:hint="eastAsia"/>
                      <w:b w:val="0"/>
                      <w:color w:val="auto"/>
                      <w:kern w:val="0"/>
                      <w:szCs w:val="21"/>
                      <w:highlight w:val="none"/>
                      <w:lang w:val="en-US" w:eastAsia="zh-CN"/>
                    </w:rPr>
                    <w:t>-</w:t>
                  </w:r>
                  <w:r>
                    <w:rPr>
                      <w:rFonts w:hint="eastAsia"/>
                      <w:b w:val="0"/>
                      <w:color w:val="auto"/>
                      <w:kern w:val="0"/>
                      <w:szCs w:val="21"/>
                      <w:highlight w:val="none"/>
                    </w:rPr>
                    <w:t>同达州市工业重点总体准入要求</w:t>
                  </w:r>
                </w:p>
              </w:tc>
              <w:tc>
                <w:tcPr>
                  <w:tcW w:w="2514" w:type="dxa"/>
                  <w:noWrap w:val="0"/>
                  <w:vAlign w:val="center"/>
                </w:tcPr>
                <w:p w14:paraId="0D1D3761">
                  <w:pPr>
                    <w:pStyle w:val="63"/>
                    <w:spacing w:line="240" w:lineRule="exact"/>
                    <w:jc w:val="both"/>
                    <w:rPr>
                      <w:rFonts w:hint="default" w:eastAsia="宋体"/>
                      <w:b w:val="0"/>
                      <w:color w:val="auto"/>
                      <w:kern w:val="0"/>
                      <w:szCs w:val="21"/>
                      <w:highlight w:val="none"/>
                      <w:lang w:val="en-US" w:eastAsia="zh-CN"/>
                    </w:rPr>
                  </w:pPr>
                  <w:r>
                    <w:rPr>
                      <w:rFonts w:hint="eastAsia"/>
                      <w:b w:val="0"/>
                      <w:color w:val="auto"/>
                      <w:kern w:val="0"/>
                      <w:szCs w:val="21"/>
                      <w:highlight w:val="none"/>
                      <w:lang w:val="en-US" w:eastAsia="zh-CN"/>
                    </w:rPr>
                    <w:t>本项目满足</w:t>
                  </w:r>
                  <w:r>
                    <w:rPr>
                      <w:rFonts w:hint="default" w:eastAsia="宋体"/>
                      <w:b w:val="0"/>
                      <w:color w:val="auto"/>
                      <w:kern w:val="0"/>
                      <w:szCs w:val="21"/>
                      <w:highlight w:val="none"/>
                      <w:lang w:val="en-US" w:eastAsia="zh-CN"/>
                    </w:rPr>
                    <w:t>达州市工业重点管控单元总体要求</w:t>
                  </w:r>
                </w:p>
              </w:tc>
              <w:tc>
                <w:tcPr>
                  <w:tcW w:w="885" w:type="dxa"/>
                  <w:noWrap w:val="0"/>
                  <w:vAlign w:val="center"/>
                </w:tcPr>
                <w:p w14:paraId="1652CD1D">
                  <w:pPr>
                    <w:pStyle w:val="63"/>
                    <w:spacing w:line="240" w:lineRule="exact"/>
                    <w:jc w:val="center"/>
                    <w:rPr>
                      <w:b w:val="0"/>
                      <w:color w:val="auto"/>
                      <w:kern w:val="0"/>
                      <w:szCs w:val="21"/>
                      <w:highlight w:val="none"/>
                    </w:rPr>
                  </w:pPr>
                  <w:r>
                    <w:rPr>
                      <w:rFonts w:hint="eastAsia"/>
                      <w:b w:val="0"/>
                      <w:color w:val="auto"/>
                      <w:kern w:val="0"/>
                      <w:szCs w:val="21"/>
                      <w:highlight w:val="none"/>
                    </w:rPr>
                    <w:t>符合</w:t>
                  </w:r>
                </w:p>
              </w:tc>
            </w:tr>
            <w:tr w14:paraId="78D6A65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850" w:type="dxa"/>
                  <w:vMerge w:val="restart"/>
                  <w:noWrap w:val="0"/>
                  <w:vAlign w:val="center"/>
                </w:tcPr>
                <w:p w14:paraId="61F342F0">
                  <w:pPr>
                    <w:pStyle w:val="63"/>
                    <w:spacing w:line="240" w:lineRule="exact"/>
                    <w:jc w:val="center"/>
                    <w:rPr>
                      <w:b w:val="0"/>
                      <w:color w:val="auto"/>
                      <w:kern w:val="0"/>
                      <w:szCs w:val="21"/>
                      <w:highlight w:val="none"/>
                    </w:rPr>
                  </w:pPr>
                  <w:r>
                    <w:rPr>
                      <w:rFonts w:hint="eastAsia"/>
                      <w:b w:val="0"/>
                      <w:color w:val="auto"/>
                      <w:kern w:val="0"/>
                      <w:szCs w:val="21"/>
                      <w:highlight w:val="none"/>
                    </w:rPr>
                    <w:t>州河-通川区-车家河-控制单元YS5117022210002</w:t>
                  </w:r>
                </w:p>
              </w:tc>
              <w:tc>
                <w:tcPr>
                  <w:tcW w:w="616" w:type="dxa"/>
                  <w:vMerge w:val="restart"/>
                  <w:noWrap w:val="0"/>
                  <w:vAlign w:val="center"/>
                </w:tcPr>
                <w:p w14:paraId="60B9BB86">
                  <w:pPr>
                    <w:pStyle w:val="63"/>
                    <w:spacing w:line="240" w:lineRule="exact"/>
                    <w:jc w:val="center"/>
                    <w:rPr>
                      <w:rFonts w:hint="eastAsia"/>
                      <w:b w:val="0"/>
                      <w:color w:val="auto"/>
                      <w:kern w:val="0"/>
                      <w:szCs w:val="21"/>
                      <w:highlight w:val="none"/>
                    </w:rPr>
                  </w:pPr>
                  <w:r>
                    <w:rPr>
                      <w:rFonts w:hint="eastAsia"/>
                      <w:b w:val="0"/>
                      <w:color w:val="auto"/>
                      <w:kern w:val="0"/>
                      <w:szCs w:val="21"/>
                      <w:highlight w:val="none"/>
                    </w:rPr>
                    <w:t>单元级清单管控要求</w:t>
                  </w:r>
                </w:p>
              </w:tc>
              <w:tc>
                <w:tcPr>
                  <w:tcW w:w="979" w:type="dxa"/>
                  <w:noWrap w:val="0"/>
                  <w:vAlign w:val="center"/>
                </w:tcPr>
                <w:p w14:paraId="66E9D5CC">
                  <w:pPr>
                    <w:pStyle w:val="63"/>
                    <w:spacing w:line="240" w:lineRule="exact"/>
                    <w:jc w:val="center"/>
                    <w:rPr>
                      <w:b w:val="0"/>
                      <w:color w:val="auto"/>
                      <w:kern w:val="0"/>
                      <w:szCs w:val="21"/>
                      <w:highlight w:val="none"/>
                    </w:rPr>
                  </w:pPr>
                  <w:r>
                    <w:rPr>
                      <w:b w:val="0"/>
                      <w:color w:val="auto"/>
                      <w:kern w:val="0"/>
                      <w:szCs w:val="21"/>
                      <w:highlight w:val="none"/>
                    </w:rPr>
                    <w:t>空间布局约束</w:t>
                  </w:r>
                </w:p>
              </w:tc>
              <w:tc>
                <w:tcPr>
                  <w:tcW w:w="6141" w:type="dxa"/>
                  <w:noWrap w:val="0"/>
                  <w:vAlign w:val="center"/>
                </w:tcPr>
                <w:p w14:paraId="2136D0DE">
                  <w:pPr>
                    <w:pStyle w:val="63"/>
                    <w:spacing w:line="240" w:lineRule="exact"/>
                    <w:jc w:val="both"/>
                    <w:rPr>
                      <w:rFonts w:hint="eastAsia"/>
                      <w:b/>
                      <w:bCs/>
                      <w:color w:val="auto"/>
                      <w:kern w:val="0"/>
                      <w:szCs w:val="21"/>
                      <w:highlight w:val="none"/>
                    </w:rPr>
                  </w:pPr>
                  <w:r>
                    <w:rPr>
                      <w:rFonts w:hint="eastAsia"/>
                      <w:b/>
                      <w:bCs/>
                      <w:color w:val="auto"/>
                      <w:kern w:val="0"/>
                      <w:szCs w:val="21"/>
                      <w:highlight w:val="none"/>
                    </w:rPr>
                    <w:t>禁止开发建设活动的要求</w:t>
                  </w:r>
                </w:p>
                <w:p w14:paraId="498D10E7">
                  <w:pPr>
                    <w:pStyle w:val="63"/>
                    <w:spacing w:line="240" w:lineRule="exact"/>
                    <w:jc w:val="both"/>
                    <w:rPr>
                      <w:rFonts w:hint="eastAsia"/>
                      <w:b/>
                      <w:bCs/>
                      <w:color w:val="auto"/>
                      <w:kern w:val="0"/>
                      <w:szCs w:val="21"/>
                      <w:highlight w:val="none"/>
                    </w:rPr>
                  </w:pPr>
                  <w:r>
                    <w:rPr>
                      <w:rFonts w:hint="eastAsia"/>
                      <w:b/>
                      <w:bCs/>
                      <w:color w:val="auto"/>
                      <w:kern w:val="0"/>
                      <w:szCs w:val="21"/>
                      <w:highlight w:val="none"/>
                    </w:rPr>
                    <w:t>限制开发建设活动的要求</w:t>
                  </w:r>
                </w:p>
                <w:p w14:paraId="0BBDA3A5">
                  <w:pPr>
                    <w:pStyle w:val="63"/>
                    <w:spacing w:line="240" w:lineRule="exact"/>
                    <w:jc w:val="both"/>
                    <w:rPr>
                      <w:rFonts w:hint="eastAsia"/>
                      <w:b w:val="0"/>
                      <w:color w:val="auto"/>
                      <w:kern w:val="0"/>
                      <w:szCs w:val="21"/>
                      <w:highlight w:val="none"/>
                    </w:rPr>
                  </w:pPr>
                  <w:r>
                    <w:rPr>
                      <w:rFonts w:hint="eastAsia"/>
                      <w:b w:val="0"/>
                      <w:color w:val="auto"/>
                      <w:kern w:val="0"/>
                      <w:szCs w:val="21"/>
                      <w:highlight w:val="none"/>
                      <w:lang w:val="en-US" w:eastAsia="zh-CN"/>
                    </w:rPr>
                    <w:t>-</w:t>
                  </w:r>
                  <w:r>
                    <w:rPr>
                      <w:rFonts w:hint="eastAsia"/>
                      <w:b w:val="0"/>
                      <w:color w:val="auto"/>
                      <w:kern w:val="0"/>
                      <w:szCs w:val="21"/>
                      <w:highlight w:val="none"/>
                    </w:rPr>
                    <w:t>严控磷铵、黄磷等产业违规新增产能加快退出不符合产业政策和环保要求、不满足安全生产条件的涉磷企业</w:t>
                  </w:r>
                </w:p>
                <w:p w14:paraId="3577F933">
                  <w:pPr>
                    <w:pStyle w:val="63"/>
                    <w:spacing w:line="240" w:lineRule="exact"/>
                    <w:jc w:val="both"/>
                    <w:rPr>
                      <w:rFonts w:hint="eastAsia"/>
                      <w:b/>
                      <w:bCs/>
                      <w:color w:val="auto"/>
                      <w:kern w:val="0"/>
                      <w:szCs w:val="21"/>
                      <w:highlight w:val="none"/>
                    </w:rPr>
                  </w:pPr>
                  <w:r>
                    <w:rPr>
                      <w:rFonts w:hint="eastAsia"/>
                      <w:b/>
                      <w:bCs/>
                      <w:color w:val="auto"/>
                      <w:kern w:val="0"/>
                      <w:szCs w:val="21"/>
                      <w:highlight w:val="none"/>
                    </w:rPr>
                    <w:t>允许开发建设活动的要求</w:t>
                  </w:r>
                </w:p>
                <w:p w14:paraId="2B412685">
                  <w:pPr>
                    <w:pStyle w:val="63"/>
                    <w:spacing w:line="240" w:lineRule="exact"/>
                    <w:jc w:val="both"/>
                    <w:rPr>
                      <w:rFonts w:hint="eastAsia"/>
                      <w:b/>
                      <w:bCs/>
                      <w:color w:val="auto"/>
                      <w:kern w:val="0"/>
                      <w:szCs w:val="21"/>
                      <w:highlight w:val="none"/>
                    </w:rPr>
                  </w:pPr>
                  <w:r>
                    <w:rPr>
                      <w:rFonts w:hint="eastAsia"/>
                      <w:b/>
                      <w:bCs/>
                      <w:color w:val="auto"/>
                      <w:kern w:val="0"/>
                      <w:szCs w:val="21"/>
                      <w:highlight w:val="none"/>
                    </w:rPr>
                    <w:t>不符合空间布局要求活动的退出要求</w:t>
                  </w:r>
                </w:p>
                <w:p w14:paraId="5D430F6D">
                  <w:pPr>
                    <w:pStyle w:val="63"/>
                    <w:spacing w:line="240" w:lineRule="exact"/>
                    <w:jc w:val="both"/>
                    <w:rPr>
                      <w:b w:val="0"/>
                      <w:color w:val="auto"/>
                      <w:kern w:val="0"/>
                      <w:szCs w:val="21"/>
                      <w:highlight w:val="none"/>
                    </w:rPr>
                  </w:pPr>
                  <w:r>
                    <w:rPr>
                      <w:rFonts w:hint="eastAsia"/>
                      <w:b/>
                      <w:bCs/>
                      <w:color w:val="auto"/>
                      <w:kern w:val="0"/>
                      <w:szCs w:val="21"/>
                      <w:highlight w:val="none"/>
                    </w:rPr>
                    <w:t>其他空间布局约束要求</w:t>
                  </w:r>
                </w:p>
              </w:tc>
              <w:tc>
                <w:tcPr>
                  <w:tcW w:w="2514" w:type="dxa"/>
                  <w:noWrap w:val="0"/>
                  <w:vAlign w:val="center"/>
                </w:tcPr>
                <w:p w14:paraId="137B4DF1">
                  <w:pPr>
                    <w:pStyle w:val="63"/>
                    <w:spacing w:line="240" w:lineRule="exact"/>
                    <w:jc w:val="both"/>
                    <w:rPr>
                      <w:rFonts w:hint="default" w:eastAsia="宋体"/>
                      <w:b w:val="0"/>
                      <w:color w:val="auto"/>
                      <w:kern w:val="0"/>
                      <w:szCs w:val="21"/>
                      <w:highlight w:val="none"/>
                      <w:lang w:val="en-US" w:eastAsia="zh-CN"/>
                    </w:rPr>
                  </w:pPr>
                  <w:r>
                    <w:rPr>
                      <w:rFonts w:hint="eastAsia"/>
                      <w:b w:val="0"/>
                      <w:color w:val="auto"/>
                      <w:kern w:val="0"/>
                      <w:szCs w:val="21"/>
                      <w:highlight w:val="none"/>
                      <w:lang w:val="en-US" w:eastAsia="zh-CN"/>
                    </w:rPr>
                    <w:t>本项目不属于</w:t>
                  </w:r>
                  <w:r>
                    <w:rPr>
                      <w:rFonts w:hint="eastAsia"/>
                      <w:b w:val="0"/>
                      <w:color w:val="auto"/>
                      <w:kern w:val="0"/>
                      <w:szCs w:val="21"/>
                      <w:highlight w:val="none"/>
                    </w:rPr>
                    <w:t>涉磷企业</w:t>
                  </w:r>
                </w:p>
              </w:tc>
              <w:tc>
                <w:tcPr>
                  <w:tcW w:w="885" w:type="dxa"/>
                  <w:noWrap w:val="0"/>
                  <w:vAlign w:val="center"/>
                </w:tcPr>
                <w:p w14:paraId="35F3F802">
                  <w:pPr>
                    <w:pStyle w:val="63"/>
                    <w:spacing w:line="240" w:lineRule="exact"/>
                    <w:jc w:val="center"/>
                    <w:rPr>
                      <w:rFonts w:hint="eastAsia" w:eastAsia="宋体"/>
                      <w:b w:val="0"/>
                      <w:color w:val="auto"/>
                      <w:kern w:val="0"/>
                      <w:szCs w:val="21"/>
                      <w:highlight w:val="none"/>
                      <w:lang w:eastAsia="zh-CN"/>
                    </w:rPr>
                  </w:pPr>
                  <w:r>
                    <w:rPr>
                      <w:rFonts w:hint="eastAsia"/>
                      <w:b w:val="0"/>
                      <w:color w:val="auto"/>
                      <w:kern w:val="0"/>
                      <w:szCs w:val="21"/>
                      <w:highlight w:val="none"/>
                      <w:lang w:val="en-US" w:eastAsia="zh-CN"/>
                    </w:rPr>
                    <w:t>符合</w:t>
                  </w:r>
                </w:p>
              </w:tc>
            </w:tr>
            <w:tr w14:paraId="3DE5CE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850" w:type="dxa"/>
                  <w:vMerge w:val="continue"/>
                  <w:noWrap w:val="0"/>
                  <w:vAlign w:val="center"/>
                </w:tcPr>
                <w:p w14:paraId="2FE77A03">
                  <w:pPr>
                    <w:pStyle w:val="63"/>
                    <w:spacing w:line="240" w:lineRule="exact"/>
                    <w:jc w:val="center"/>
                    <w:rPr>
                      <w:b w:val="0"/>
                      <w:color w:val="auto"/>
                      <w:kern w:val="0"/>
                      <w:szCs w:val="21"/>
                      <w:highlight w:val="none"/>
                    </w:rPr>
                  </w:pPr>
                </w:p>
              </w:tc>
              <w:tc>
                <w:tcPr>
                  <w:tcW w:w="616" w:type="dxa"/>
                  <w:vMerge w:val="continue"/>
                  <w:noWrap w:val="0"/>
                  <w:vAlign w:val="center"/>
                </w:tcPr>
                <w:p w14:paraId="1F4571D5">
                  <w:pPr>
                    <w:pStyle w:val="63"/>
                    <w:spacing w:line="240" w:lineRule="exact"/>
                    <w:jc w:val="center"/>
                    <w:rPr>
                      <w:rFonts w:hint="eastAsia"/>
                      <w:b w:val="0"/>
                      <w:color w:val="auto"/>
                      <w:kern w:val="0"/>
                      <w:szCs w:val="21"/>
                      <w:highlight w:val="none"/>
                    </w:rPr>
                  </w:pPr>
                </w:p>
              </w:tc>
              <w:tc>
                <w:tcPr>
                  <w:tcW w:w="979" w:type="dxa"/>
                  <w:noWrap w:val="0"/>
                  <w:vAlign w:val="center"/>
                </w:tcPr>
                <w:p w14:paraId="56E18EA4">
                  <w:pPr>
                    <w:pStyle w:val="63"/>
                    <w:spacing w:line="240" w:lineRule="exact"/>
                    <w:jc w:val="center"/>
                    <w:rPr>
                      <w:rFonts w:hint="eastAsia"/>
                      <w:b w:val="0"/>
                      <w:color w:val="auto"/>
                      <w:kern w:val="0"/>
                      <w:szCs w:val="21"/>
                      <w:highlight w:val="none"/>
                    </w:rPr>
                  </w:pPr>
                  <w:r>
                    <w:rPr>
                      <w:rFonts w:hint="eastAsia"/>
                      <w:b w:val="0"/>
                      <w:color w:val="auto"/>
                      <w:kern w:val="0"/>
                      <w:szCs w:val="21"/>
                      <w:highlight w:val="none"/>
                    </w:rPr>
                    <w:t>污染物排放管控</w:t>
                  </w:r>
                </w:p>
              </w:tc>
              <w:tc>
                <w:tcPr>
                  <w:tcW w:w="6141" w:type="dxa"/>
                  <w:noWrap w:val="0"/>
                  <w:vAlign w:val="center"/>
                </w:tcPr>
                <w:p w14:paraId="508464A0">
                  <w:pPr>
                    <w:pStyle w:val="63"/>
                    <w:spacing w:line="240" w:lineRule="exact"/>
                    <w:jc w:val="both"/>
                    <w:rPr>
                      <w:rFonts w:hint="eastAsia"/>
                      <w:b/>
                      <w:bCs/>
                      <w:color w:val="auto"/>
                      <w:kern w:val="0"/>
                      <w:szCs w:val="21"/>
                      <w:highlight w:val="none"/>
                    </w:rPr>
                  </w:pPr>
                  <w:r>
                    <w:rPr>
                      <w:rFonts w:hint="eastAsia"/>
                      <w:b/>
                      <w:bCs/>
                      <w:color w:val="auto"/>
                      <w:kern w:val="0"/>
                      <w:szCs w:val="21"/>
                      <w:highlight w:val="none"/>
                    </w:rPr>
                    <w:t>城镇污水污染控制措施要求</w:t>
                  </w:r>
                </w:p>
                <w:p w14:paraId="69433274">
                  <w:pPr>
                    <w:pStyle w:val="63"/>
                    <w:spacing w:line="240" w:lineRule="exact"/>
                    <w:jc w:val="both"/>
                    <w:rPr>
                      <w:rFonts w:hint="eastAsia"/>
                      <w:b/>
                      <w:bCs/>
                      <w:color w:val="auto"/>
                      <w:kern w:val="0"/>
                      <w:szCs w:val="21"/>
                      <w:highlight w:val="none"/>
                    </w:rPr>
                  </w:pPr>
                  <w:r>
                    <w:rPr>
                      <w:rFonts w:hint="eastAsia"/>
                      <w:b/>
                      <w:bCs/>
                      <w:color w:val="auto"/>
                      <w:kern w:val="0"/>
                      <w:szCs w:val="21"/>
                      <w:highlight w:val="none"/>
                    </w:rPr>
                    <w:t>工业废水污染控制措施要求</w:t>
                  </w:r>
                </w:p>
                <w:p w14:paraId="44109AA5">
                  <w:pPr>
                    <w:pStyle w:val="63"/>
                    <w:spacing w:line="240" w:lineRule="exact"/>
                    <w:jc w:val="both"/>
                    <w:rPr>
                      <w:rFonts w:hint="eastAsia"/>
                      <w:b w:val="0"/>
                      <w:color w:val="auto"/>
                      <w:kern w:val="0"/>
                      <w:szCs w:val="21"/>
                      <w:highlight w:val="none"/>
                    </w:rPr>
                  </w:pPr>
                  <w:r>
                    <w:rPr>
                      <w:rFonts w:hint="eastAsia"/>
                      <w:b w:val="0"/>
                      <w:color w:val="auto"/>
                      <w:kern w:val="0"/>
                      <w:szCs w:val="21"/>
                      <w:highlight w:val="none"/>
                    </w:rPr>
                    <w:t>1、深入实施工业企业污水处理设施升级改造，全面实现工业废水达标排放。2、强化工业集聚区污水治理，推进工业污水集中处理设施及配套收集系统建设与提标升级改造，大力推进现有污水收集、处理设施问题排查及整治；完善园区及企业雨污分流系统，全面推进医药、化工等行业初期雨水收集处理，推动有条件的园区实施入园企业“一企一管、明管输送、实时监测”。3、加强工业园区集中污水处理设施运行监管，强企业废水预处理和排水管理，鼓励纳管企业与园区污水处理厂运营单位通过签订委托处理合同等方式协同处理废水。4、加强新化学物质环境管理，严格执行《新化学物质环境管理登记办法》,落实企业新化学物质环境风险防控主体责任。落实国家《优先控制化学品名录（第一批）》《优先控制化学品名录（第二批）》《重点管控新污染物清单（2023年版）》环境风险管控措施。</w:t>
                  </w:r>
                </w:p>
                <w:p w14:paraId="4833093B">
                  <w:pPr>
                    <w:pStyle w:val="63"/>
                    <w:spacing w:line="240" w:lineRule="exact"/>
                    <w:jc w:val="both"/>
                    <w:rPr>
                      <w:rFonts w:hint="eastAsia"/>
                      <w:b/>
                      <w:bCs/>
                      <w:color w:val="auto"/>
                      <w:kern w:val="0"/>
                      <w:szCs w:val="21"/>
                      <w:highlight w:val="none"/>
                    </w:rPr>
                  </w:pPr>
                  <w:r>
                    <w:rPr>
                      <w:rFonts w:hint="eastAsia"/>
                      <w:b/>
                      <w:bCs/>
                      <w:color w:val="auto"/>
                      <w:kern w:val="0"/>
                      <w:szCs w:val="21"/>
                      <w:highlight w:val="none"/>
                    </w:rPr>
                    <w:t>农业面源水污染控制措施要求</w:t>
                  </w:r>
                </w:p>
                <w:p w14:paraId="71DAE87A">
                  <w:pPr>
                    <w:pStyle w:val="63"/>
                    <w:spacing w:line="240" w:lineRule="exact"/>
                    <w:jc w:val="both"/>
                    <w:rPr>
                      <w:rFonts w:hint="eastAsia"/>
                      <w:b/>
                      <w:bCs/>
                      <w:color w:val="auto"/>
                      <w:kern w:val="0"/>
                      <w:szCs w:val="21"/>
                      <w:highlight w:val="none"/>
                    </w:rPr>
                  </w:pPr>
                  <w:r>
                    <w:rPr>
                      <w:rFonts w:hint="eastAsia"/>
                      <w:b/>
                      <w:bCs/>
                      <w:color w:val="auto"/>
                      <w:kern w:val="0"/>
                      <w:szCs w:val="21"/>
                      <w:highlight w:val="none"/>
                    </w:rPr>
                    <w:t>船舶港口水污染控制措施要求</w:t>
                  </w:r>
                </w:p>
                <w:p w14:paraId="5B56BF19">
                  <w:pPr>
                    <w:pStyle w:val="63"/>
                    <w:spacing w:line="240" w:lineRule="exact"/>
                    <w:jc w:val="both"/>
                    <w:rPr>
                      <w:b w:val="0"/>
                      <w:color w:val="auto"/>
                      <w:kern w:val="0"/>
                      <w:szCs w:val="21"/>
                      <w:highlight w:val="none"/>
                    </w:rPr>
                  </w:pPr>
                  <w:r>
                    <w:rPr>
                      <w:rFonts w:hint="eastAsia"/>
                      <w:b/>
                      <w:bCs/>
                      <w:color w:val="auto"/>
                      <w:kern w:val="0"/>
                      <w:szCs w:val="21"/>
                      <w:highlight w:val="none"/>
                    </w:rPr>
                    <w:t>饮用水水源和其它特殊水体保护要求</w:t>
                  </w:r>
                </w:p>
              </w:tc>
              <w:tc>
                <w:tcPr>
                  <w:tcW w:w="2514" w:type="dxa"/>
                  <w:noWrap w:val="0"/>
                  <w:vAlign w:val="center"/>
                </w:tcPr>
                <w:p w14:paraId="2CE3BD55">
                  <w:pPr>
                    <w:pStyle w:val="63"/>
                    <w:spacing w:line="240" w:lineRule="exact"/>
                    <w:jc w:val="both"/>
                    <w:rPr>
                      <w:rFonts w:hint="default" w:eastAsia="宋体"/>
                      <w:b w:val="0"/>
                      <w:color w:val="auto"/>
                      <w:kern w:val="0"/>
                      <w:szCs w:val="21"/>
                      <w:highlight w:val="none"/>
                      <w:lang w:val="en-US" w:eastAsia="zh-CN"/>
                    </w:rPr>
                  </w:pPr>
                  <w:r>
                    <w:rPr>
                      <w:rFonts w:hint="eastAsia"/>
                      <w:b w:val="0"/>
                      <w:color w:val="auto"/>
                      <w:kern w:val="0"/>
                      <w:szCs w:val="21"/>
                      <w:highlight w:val="none"/>
                      <w:lang w:val="en-US" w:eastAsia="zh-CN"/>
                    </w:rPr>
                    <w:t>本项目厂区内实行雨污分流制，雨水经雨水沟收集后排入市政雨水管网，项目运营过程生产废水（车辆清洗废水、实验设备清洗废水）经隔油池+三级沉淀池处理后回用不外排；生活污水（含食堂废水）经隔油池+化粪池处理后用作农肥不外排。</w:t>
                  </w:r>
                </w:p>
              </w:tc>
              <w:tc>
                <w:tcPr>
                  <w:tcW w:w="885" w:type="dxa"/>
                  <w:noWrap w:val="0"/>
                  <w:vAlign w:val="center"/>
                </w:tcPr>
                <w:p w14:paraId="6583E766">
                  <w:pPr>
                    <w:pStyle w:val="63"/>
                    <w:spacing w:line="240" w:lineRule="exact"/>
                    <w:jc w:val="center"/>
                    <w:rPr>
                      <w:rFonts w:hint="eastAsia"/>
                      <w:b w:val="0"/>
                      <w:color w:val="auto"/>
                      <w:kern w:val="0"/>
                      <w:szCs w:val="21"/>
                      <w:highlight w:val="none"/>
                    </w:rPr>
                  </w:pPr>
                  <w:r>
                    <w:rPr>
                      <w:rFonts w:hint="eastAsia"/>
                      <w:b w:val="0"/>
                      <w:color w:val="auto"/>
                      <w:kern w:val="0"/>
                      <w:szCs w:val="21"/>
                      <w:highlight w:val="none"/>
                    </w:rPr>
                    <w:t>符合</w:t>
                  </w:r>
                </w:p>
              </w:tc>
            </w:tr>
            <w:tr w14:paraId="72BB00E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850" w:type="dxa"/>
                  <w:vMerge w:val="continue"/>
                  <w:noWrap w:val="0"/>
                  <w:vAlign w:val="center"/>
                </w:tcPr>
                <w:p w14:paraId="5A478591">
                  <w:pPr>
                    <w:pStyle w:val="63"/>
                    <w:spacing w:line="240" w:lineRule="exact"/>
                    <w:jc w:val="center"/>
                    <w:rPr>
                      <w:b w:val="0"/>
                      <w:color w:val="auto"/>
                      <w:kern w:val="0"/>
                      <w:szCs w:val="21"/>
                      <w:highlight w:val="none"/>
                    </w:rPr>
                  </w:pPr>
                </w:p>
              </w:tc>
              <w:tc>
                <w:tcPr>
                  <w:tcW w:w="616" w:type="dxa"/>
                  <w:vMerge w:val="continue"/>
                  <w:noWrap w:val="0"/>
                  <w:vAlign w:val="center"/>
                </w:tcPr>
                <w:p w14:paraId="3CBF1FB5">
                  <w:pPr>
                    <w:pStyle w:val="63"/>
                    <w:spacing w:line="240" w:lineRule="exact"/>
                    <w:jc w:val="center"/>
                    <w:rPr>
                      <w:rFonts w:hint="eastAsia"/>
                      <w:b w:val="0"/>
                      <w:color w:val="auto"/>
                      <w:kern w:val="0"/>
                      <w:szCs w:val="21"/>
                      <w:highlight w:val="none"/>
                    </w:rPr>
                  </w:pPr>
                </w:p>
              </w:tc>
              <w:tc>
                <w:tcPr>
                  <w:tcW w:w="979" w:type="dxa"/>
                  <w:noWrap w:val="0"/>
                  <w:vAlign w:val="center"/>
                </w:tcPr>
                <w:p w14:paraId="17BE303A">
                  <w:pPr>
                    <w:pStyle w:val="63"/>
                    <w:spacing w:line="240" w:lineRule="exact"/>
                    <w:jc w:val="center"/>
                    <w:rPr>
                      <w:b w:val="0"/>
                      <w:color w:val="auto"/>
                      <w:kern w:val="0"/>
                      <w:szCs w:val="21"/>
                      <w:highlight w:val="none"/>
                    </w:rPr>
                  </w:pPr>
                  <w:r>
                    <w:rPr>
                      <w:rFonts w:hint="eastAsia"/>
                      <w:b w:val="0"/>
                      <w:color w:val="auto"/>
                      <w:kern w:val="0"/>
                      <w:szCs w:val="21"/>
                      <w:highlight w:val="none"/>
                    </w:rPr>
                    <w:t>环境风险防控</w:t>
                  </w:r>
                </w:p>
              </w:tc>
              <w:tc>
                <w:tcPr>
                  <w:tcW w:w="6141" w:type="dxa"/>
                  <w:noWrap w:val="0"/>
                  <w:vAlign w:val="center"/>
                </w:tcPr>
                <w:p w14:paraId="0D758517">
                  <w:pPr>
                    <w:pStyle w:val="63"/>
                    <w:spacing w:line="240" w:lineRule="exact"/>
                    <w:jc w:val="both"/>
                    <w:rPr>
                      <w:rFonts w:hint="eastAsia"/>
                      <w:b w:val="0"/>
                      <w:color w:val="auto"/>
                      <w:kern w:val="0"/>
                      <w:szCs w:val="21"/>
                      <w:highlight w:val="none"/>
                    </w:rPr>
                  </w:pPr>
                  <w:r>
                    <w:rPr>
                      <w:rFonts w:hint="eastAsia"/>
                      <w:b w:val="0"/>
                      <w:color w:val="auto"/>
                      <w:kern w:val="0"/>
                      <w:szCs w:val="21"/>
                      <w:highlight w:val="none"/>
                    </w:rPr>
                    <w:t>禁止在长江干支流岸线一公里范围内新建、扩建化工园区和化工项目。按要求设置生态隔离带，建设相应的防护工程。合理设置与抗风险能力相匹配的事故调蓄设施和环境应急措施。强化工业园区环境风险防控工作，突出全防全控，完善各项环境风险防范制度，确保将风险防范纳入日常环境管理制度体系。加强执法监督，实现对工业园区、重点工矿企业和主要环境风险类型的动态监控。</w:t>
                  </w:r>
                </w:p>
              </w:tc>
              <w:tc>
                <w:tcPr>
                  <w:tcW w:w="2514" w:type="dxa"/>
                  <w:noWrap w:val="0"/>
                  <w:vAlign w:val="center"/>
                </w:tcPr>
                <w:p w14:paraId="6C2AAEF8">
                  <w:pPr>
                    <w:pStyle w:val="63"/>
                    <w:spacing w:line="240" w:lineRule="exact"/>
                    <w:jc w:val="both"/>
                    <w:rPr>
                      <w:rFonts w:hint="default" w:eastAsia="宋体"/>
                      <w:b w:val="0"/>
                      <w:color w:val="auto"/>
                      <w:kern w:val="0"/>
                      <w:szCs w:val="21"/>
                      <w:highlight w:val="none"/>
                      <w:lang w:val="en-US" w:eastAsia="zh-CN"/>
                    </w:rPr>
                  </w:pPr>
                  <w:r>
                    <w:rPr>
                      <w:rFonts w:hint="eastAsia"/>
                      <w:b w:val="0"/>
                      <w:color w:val="auto"/>
                      <w:kern w:val="0"/>
                      <w:szCs w:val="21"/>
                      <w:highlight w:val="none"/>
                      <w:lang w:val="en-US" w:eastAsia="zh-CN"/>
                    </w:rPr>
                    <w:t>本项目不属于化工园区和化工项目，项目建成后严格按照相关规范要求编制突发环境事件应急预案并严格执行。</w:t>
                  </w:r>
                </w:p>
              </w:tc>
              <w:tc>
                <w:tcPr>
                  <w:tcW w:w="885" w:type="dxa"/>
                  <w:noWrap w:val="0"/>
                  <w:vAlign w:val="center"/>
                </w:tcPr>
                <w:p w14:paraId="489511B7">
                  <w:pPr>
                    <w:pStyle w:val="63"/>
                    <w:spacing w:line="240" w:lineRule="exact"/>
                    <w:jc w:val="both"/>
                    <w:rPr>
                      <w:rFonts w:hint="eastAsia" w:eastAsia="宋体"/>
                      <w:b w:val="0"/>
                      <w:color w:val="auto"/>
                      <w:kern w:val="0"/>
                      <w:szCs w:val="21"/>
                      <w:highlight w:val="none"/>
                      <w:lang w:eastAsia="zh-CN"/>
                    </w:rPr>
                  </w:pPr>
                  <w:r>
                    <w:rPr>
                      <w:rFonts w:hint="eastAsia" w:eastAsia="宋体"/>
                      <w:b w:val="0"/>
                      <w:color w:val="auto"/>
                      <w:kern w:val="0"/>
                      <w:szCs w:val="21"/>
                      <w:highlight w:val="none"/>
                      <w:lang w:val="en-US" w:eastAsia="zh-CN"/>
                    </w:rPr>
                    <w:t>符合</w:t>
                  </w:r>
                </w:p>
              </w:tc>
            </w:tr>
            <w:tr w14:paraId="3FB8A3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850" w:type="dxa"/>
                  <w:vMerge w:val="continue"/>
                  <w:noWrap w:val="0"/>
                  <w:vAlign w:val="center"/>
                </w:tcPr>
                <w:p w14:paraId="3275C05D">
                  <w:pPr>
                    <w:pStyle w:val="63"/>
                    <w:spacing w:line="240" w:lineRule="exact"/>
                    <w:jc w:val="center"/>
                    <w:rPr>
                      <w:b w:val="0"/>
                      <w:color w:val="auto"/>
                      <w:kern w:val="0"/>
                      <w:szCs w:val="21"/>
                      <w:highlight w:val="none"/>
                    </w:rPr>
                  </w:pPr>
                </w:p>
              </w:tc>
              <w:tc>
                <w:tcPr>
                  <w:tcW w:w="616" w:type="dxa"/>
                  <w:vMerge w:val="continue"/>
                  <w:noWrap w:val="0"/>
                  <w:vAlign w:val="center"/>
                </w:tcPr>
                <w:p w14:paraId="4A570642">
                  <w:pPr>
                    <w:pStyle w:val="63"/>
                    <w:spacing w:line="240" w:lineRule="exact"/>
                    <w:jc w:val="center"/>
                    <w:rPr>
                      <w:rFonts w:hint="eastAsia"/>
                      <w:b w:val="0"/>
                      <w:color w:val="auto"/>
                      <w:kern w:val="0"/>
                      <w:szCs w:val="21"/>
                      <w:highlight w:val="none"/>
                    </w:rPr>
                  </w:pPr>
                </w:p>
              </w:tc>
              <w:tc>
                <w:tcPr>
                  <w:tcW w:w="979" w:type="dxa"/>
                  <w:noWrap w:val="0"/>
                  <w:vAlign w:val="center"/>
                </w:tcPr>
                <w:p w14:paraId="1209D530">
                  <w:pPr>
                    <w:pStyle w:val="63"/>
                    <w:spacing w:line="240" w:lineRule="exact"/>
                    <w:jc w:val="center"/>
                    <w:rPr>
                      <w:b w:val="0"/>
                      <w:color w:val="auto"/>
                      <w:kern w:val="0"/>
                      <w:szCs w:val="21"/>
                      <w:highlight w:val="none"/>
                    </w:rPr>
                  </w:pPr>
                  <w:r>
                    <w:rPr>
                      <w:rFonts w:hint="eastAsia"/>
                      <w:b w:val="0"/>
                      <w:color w:val="auto"/>
                      <w:kern w:val="0"/>
                      <w:szCs w:val="21"/>
                      <w:highlight w:val="none"/>
                    </w:rPr>
                    <w:t>资源开发利用效率要求</w:t>
                  </w:r>
                </w:p>
              </w:tc>
              <w:tc>
                <w:tcPr>
                  <w:tcW w:w="6141" w:type="dxa"/>
                  <w:noWrap w:val="0"/>
                  <w:vAlign w:val="center"/>
                </w:tcPr>
                <w:p w14:paraId="188EF214">
                  <w:pPr>
                    <w:pStyle w:val="63"/>
                    <w:spacing w:line="240" w:lineRule="exact"/>
                    <w:jc w:val="both"/>
                    <w:rPr>
                      <w:rFonts w:hint="default" w:eastAsia="宋体"/>
                      <w:b w:val="0"/>
                      <w:color w:val="auto"/>
                      <w:kern w:val="0"/>
                      <w:szCs w:val="21"/>
                      <w:highlight w:val="none"/>
                      <w:lang w:val="en-US" w:eastAsia="zh-CN"/>
                    </w:rPr>
                  </w:pPr>
                  <w:r>
                    <w:rPr>
                      <w:rFonts w:hint="default" w:eastAsia="宋体"/>
                      <w:b w:val="0"/>
                      <w:color w:val="auto"/>
                      <w:kern w:val="0"/>
                      <w:szCs w:val="21"/>
                      <w:highlight w:val="none"/>
                      <w:lang w:val="en-US" w:eastAsia="zh-CN"/>
                    </w:rPr>
                    <w:t>加强高耗水行业用水定额管理，以水定产，严格控制高耗水新建、改建、扩建项目。</w:t>
                  </w:r>
                </w:p>
              </w:tc>
              <w:tc>
                <w:tcPr>
                  <w:tcW w:w="2514" w:type="dxa"/>
                  <w:noWrap w:val="0"/>
                  <w:vAlign w:val="center"/>
                </w:tcPr>
                <w:p w14:paraId="46C4CC0C">
                  <w:pPr>
                    <w:pStyle w:val="63"/>
                    <w:spacing w:line="240" w:lineRule="exact"/>
                    <w:jc w:val="both"/>
                    <w:rPr>
                      <w:rFonts w:hint="default" w:eastAsia="宋体"/>
                      <w:b w:val="0"/>
                      <w:color w:val="auto"/>
                      <w:kern w:val="0"/>
                      <w:szCs w:val="21"/>
                      <w:highlight w:val="none"/>
                      <w:lang w:val="en-US" w:eastAsia="zh-CN"/>
                    </w:rPr>
                  </w:pPr>
                  <w:r>
                    <w:rPr>
                      <w:rFonts w:hint="eastAsia"/>
                      <w:b w:val="0"/>
                      <w:color w:val="auto"/>
                      <w:kern w:val="0"/>
                      <w:szCs w:val="21"/>
                      <w:highlight w:val="none"/>
                      <w:lang w:val="en-US" w:eastAsia="zh-CN"/>
                    </w:rPr>
                    <w:t>本项目不属于高耗水项目</w:t>
                  </w:r>
                </w:p>
              </w:tc>
              <w:tc>
                <w:tcPr>
                  <w:tcW w:w="885" w:type="dxa"/>
                  <w:noWrap w:val="0"/>
                  <w:vAlign w:val="center"/>
                </w:tcPr>
                <w:p w14:paraId="37FF22A4">
                  <w:pPr>
                    <w:pStyle w:val="63"/>
                    <w:spacing w:line="240" w:lineRule="exact"/>
                    <w:jc w:val="both"/>
                    <w:rPr>
                      <w:rFonts w:hint="eastAsia" w:eastAsia="宋体"/>
                      <w:b w:val="0"/>
                      <w:color w:val="auto"/>
                      <w:kern w:val="0"/>
                      <w:szCs w:val="21"/>
                      <w:highlight w:val="none"/>
                      <w:lang w:eastAsia="zh-CN"/>
                    </w:rPr>
                  </w:pPr>
                  <w:r>
                    <w:rPr>
                      <w:rFonts w:hint="eastAsia" w:eastAsia="宋体"/>
                      <w:b w:val="0"/>
                      <w:color w:val="auto"/>
                      <w:kern w:val="0"/>
                      <w:szCs w:val="21"/>
                      <w:highlight w:val="none"/>
                      <w:lang w:val="en-US" w:eastAsia="zh-CN"/>
                    </w:rPr>
                    <w:t>符合</w:t>
                  </w:r>
                </w:p>
              </w:tc>
            </w:tr>
            <w:tr w14:paraId="392CAD9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850" w:type="dxa"/>
                  <w:vMerge w:val="restart"/>
                  <w:noWrap w:val="0"/>
                  <w:vAlign w:val="center"/>
                </w:tcPr>
                <w:p w14:paraId="6D5E1480">
                  <w:pPr>
                    <w:pStyle w:val="63"/>
                    <w:spacing w:line="240" w:lineRule="exact"/>
                    <w:jc w:val="center"/>
                    <w:rPr>
                      <w:b w:val="0"/>
                      <w:color w:val="auto"/>
                      <w:kern w:val="0"/>
                      <w:szCs w:val="21"/>
                      <w:highlight w:val="none"/>
                    </w:rPr>
                  </w:pPr>
                  <w:r>
                    <w:rPr>
                      <w:rFonts w:hint="eastAsia"/>
                      <w:b w:val="0"/>
                      <w:color w:val="auto"/>
                      <w:kern w:val="0"/>
                      <w:szCs w:val="21"/>
                      <w:highlight w:val="none"/>
                    </w:rPr>
                    <w:t>东岳新型工业集聚区YS5117022310002</w:t>
                  </w:r>
                </w:p>
              </w:tc>
              <w:tc>
                <w:tcPr>
                  <w:tcW w:w="616" w:type="dxa"/>
                  <w:vMerge w:val="restart"/>
                  <w:noWrap w:val="0"/>
                  <w:vAlign w:val="center"/>
                </w:tcPr>
                <w:p w14:paraId="2489B07C">
                  <w:pPr>
                    <w:pStyle w:val="63"/>
                    <w:spacing w:line="240" w:lineRule="exact"/>
                    <w:jc w:val="center"/>
                    <w:rPr>
                      <w:rFonts w:hint="eastAsia"/>
                      <w:b w:val="0"/>
                      <w:color w:val="auto"/>
                      <w:kern w:val="0"/>
                      <w:szCs w:val="21"/>
                      <w:highlight w:val="none"/>
                    </w:rPr>
                  </w:pPr>
                  <w:r>
                    <w:rPr>
                      <w:rFonts w:hint="eastAsia"/>
                      <w:b w:val="0"/>
                      <w:color w:val="auto"/>
                      <w:kern w:val="0"/>
                      <w:szCs w:val="21"/>
                      <w:highlight w:val="none"/>
                    </w:rPr>
                    <w:t>单元级清单管控要求</w:t>
                  </w:r>
                </w:p>
              </w:tc>
              <w:tc>
                <w:tcPr>
                  <w:tcW w:w="979" w:type="dxa"/>
                  <w:noWrap w:val="0"/>
                  <w:vAlign w:val="center"/>
                </w:tcPr>
                <w:p w14:paraId="01A7838E">
                  <w:pPr>
                    <w:pStyle w:val="63"/>
                    <w:spacing w:line="240" w:lineRule="exact"/>
                    <w:jc w:val="center"/>
                    <w:rPr>
                      <w:b w:val="0"/>
                      <w:color w:val="auto"/>
                      <w:kern w:val="0"/>
                      <w:szCs w:val="21"/>
                      <w:highlight w:val="none"/>
                    </w:rPr>
                  </w:pPr>
                  <w:r>
                    <w:rPr>
                      <w:b w:val="0"/>
                      <w:color w:val="auto"/>
                      <w:kern w:val="0"/>
                      <w:szCs w:val="21"/>
                      <w:highlight w:val="none"/>
                    </w:rPr>
                    <w:t>空间布局约束</w:t>
                  </w:r>
                </w:p>
              </w:tc>
              <w:tc>
                <w:tcPr>
                  <w:tcW w:w="6141" w:type="dxa"/>
                  <w:noWrap w:val="0"/>
                  <w:vAlign w:val="center"/>
                </w:tcPr>
                <w:p w14:paraId="4F19540C">
                  <w:pPr>
                    <w:pStyle w:val="63"/>
                    <w:spacing w:line="240" w:lineRule="exact"/>
                    <w:jc w:val="both"/>
                    <w:rPr>
                      <w:rFonts w:hint="eastAsia" w:eastAsia="宋体"/>
                      <w:b/>
                      <w:bCs/>
                      <w:color w:val="auto"/>
                      <w:kern w:val="0"/>
                      <w:szCs w:val="21"/>
                      <w:highlight w:val="none"/>
                      <w:lang w:val="en-US" w:eastAsia="zh-CN"/>
                    </w:rPr>
                  </w:pPr>
                  <w:r>
                    <w:rPr>
                      <w:rFonts w:hint="eastAsia" w:eastAsia="宋体"/>
                      <w:b/>
                      <w:bCs/>
                      <w:color w:val="auto"/>
                      <w:kern w:val="0"/>
                      <w:szCs w:val="21"/>
                      <w:highlight w:val="none"/>
                      <w:lang w:val="en-US" w:eastAsia="zh-CN"/>
                    </w:rPr>
                    <w:t>禁止开发建设活动的要求</w:t>
                  </w:r>
                </w:p>
                <w:p w14:paraId="5BCCF43F">
                  <w:pPr>
                    <w:pStyle w:val="63"/>
                    <w:spacing w:line="240" w:lineRule="exact"/>
                    <w:jc w:val="both"/>
                    <w:rPr>
                      <w:rFonts w:hint="eastAsia" w:eastAsia="宋体"/>
                      <w:b w:val="0"/>
                      <w:color w:val="auto"/>
                      <w:kern w:val="0"/>
                      <w:szCs w:val="21"/>
                      <w:highlight w:val="none"/>
                      <w:lang w:val="en-US" w:eastAsia="zh-CN"/>
                    </w:rPr>
                  </w:pPr>
                  <w:r>
                    <w:rPr>
                      <w:rFonts w:hint="eastAsia" w:eastAsia="宋体"/>
                      <w:b w:val="0"/>
                      <w:color w:val="auto"/>
                      <w:kern w:val="0"/>
                      <w:szCs w:val="21"/>
                      <w:highlight w:val="none"/>
                      <w:lang w:val="en-US" w:eastAsia="zh-CN"/>
                    </w:rPr>
                    <w:t>/</w:t>
                  </w:r>
                </w:p>
                <w:p w14:paraId="1B04C03B">
                  <w:pPr>
                    <w:pStyle w:val="63"/>
                    <w:spacing w:line="240" w:lineRule="exact"/>
                    <w:jc w:val="both"/>
                    <w:rPr>
                      <w:rFonts w:hint="eastAsia" w:eastAsia="宋体"/>
                      <w:b/>
                      <w:bCs/>
                      <w:color w:val="auto"/>
                      <w:kern w:val="0"/>
                      <w:szCs w:val="21"/>
                      <w:highlight w:val="none"/>
                      <w:lang w:val="en-US" w:eastAsia="zh-CN"/>
                    </w:rPr>
                  </w:pPr>
                  <w:r>
                    <w:rPr>
                      <w:rFonts w:hint="eastAsia" w:eastAsia="宋体"/>
                      <w:b/>
                      <w:bCs/>
                      <w:color w:val="auto"/>
                      <w:kern w:val="0"/>
                      <w:szCs w:val="21"/>
                      <w:highlight w:val="none"/>
                      <w:lang w:val="en-US" w:eastAsia="zh-CN"/>
                    </w:rPr>
                    <w:t>限制开发建设活动的要求</w:t>
                  </w:r>
                </w:p>
                <w:p w14:paraId="44361D1D">
                  <w:pPr>
                    <w:pStyle w:val="63"/>
                    <w:spacing w:line="240" w:lineRule="exact"/>
                    <w:jc w:val="both"/>
                    <w:rPr>
                      <w:rFonts w:hint="eastAsia" w:eastAsia="宋体"/>
                      <w:b w:val="0"/>
                      <w:color w:val="auto"/>
                      <w:kern w:val="0"/>
                      <w:szCs w:val="21"/>
                      <w:highlight w:val="none"/>
                      <w:lang w:val="en-US" w:eastAsia="zh-CN"/>
                    </w:rPr>
                  </w:pPr>
                  <w:r>
                    <w:rPr>
                      <w:rFonts w:hint="eastAsia" w:eastAsia="宋体"/>
                      <w:b w:val="0"/>
                      <w:color w:val="auto"/>
                      <w:kern w:val="0"/>
                      <w:szCs w:val="21"/>
                      <w:highlight w:val="none"/>
                      <w:lang w:val="en-US" w:eastAsia="zh-CN"/>
                    </w:rPr>
                    <w:t>/</w:t>
                  </w:r>
                </w:p>
                <w:p w14:paraId="240FCC84">
                  <w:pPr>
                    <w:pStyle w:val="63"/>
                    <w:spacing w:line="240" w:lineRule="exact"/>
                    <w:jc w:val="both"/>
                    <w:rPr>
                      <w:rFonts w:hint="eastAsia" w:eastAsia="宋体"/>
                      <w:b/>
                      <w:bCs/>
                      <w:color w:val="auto"/>
                      <w:kern w:val="0"/>
                      <w:szCs w:val="21"/>
                      <w:highlight w:val="none"/>
                      <w:lang w:val="en-US" w:eastAsia="zh-CN"/>
                    </w:rPr>
                  </w:pPr>
                  <w:r>
                    <w:rPr>
                      <w:rFonts w:hint="eastAsia" w:eastAsia="宋体"/>
                      <w:b/>
                      <w:bCs/>
                      <w:color w:val="auto"/>
                      <w:kern w:val="0"/>
                      <w:szCs w:val="21"/>
                      <w:highlight w:val="none"/>
                      <w:lang w:val="en-US" w:eastAsia="zh-CN"/>
                    </w:rPr>
                    <w:t>允许开发建设活动的要求</w:t>
                  </w:r>
                </w:p>
                <w:p w14:paraId="6B3059CC">
                  <w:pPr>
                    <w:pStyle w:val="63"/>
                    <w:spacing w:line="240" w:lineRule="exact"/>
                    <w:jc w:val="both"/>
                    <w:rPr>
                      <w:rFonts w:hint="eastAsia" w:eastAsia="宋体"/>
                      <w:b w:val="0"/>
                      <w:color w:val="auto"/>
                      <w:kern w:val="0"/>
                      <w:szCs w:val="21"/>
                      <w:highlight w:val="none"/>
                      <w:lang w:val="en-US" w:eastAsia="zh-CN"/>
                    </w:rPr>
                  </w:pPr>
                  <w:r>
                    <w:rPr>
                      <w:rFonts w:hint="eastAsia" w:eastAsia="宋体"/>
                      <w:b w:val="0"/>
                      <w:color w:val="auto"/>
                      <w:kern w:val="0"/>
                      <w:szCs w:val="21"/>
                      <w:highlight w:val="none"/>
                      <w:lang w:val="en-US" w:eastAsia="zh-CN"/>
                    </w:rPr>
                    <w:t>/</w:t>
                  </w:r>
                </w:p>
                <w:p w14:paraId="68E70AAE">
                  <w:pPr>
                    <w:pStyle w:val="63"/>
                    <w:spacing w:line="240" w:lineRule="exact"/>
                    <w:jc w:val="both"/>
                    <w:rPr>
                      <w:rFonts w:hint="eastAsia" w:eastAsia="宋体"/>
                      <w:b/>
                      <w:bCs/>
                      <w:color w:val="auto"/>
                      <w:kern w:val="0"/>
                      <w:szCs w:val="21"/>
                      <w:highlight w:val="none"/>
                      <w:lang w:val="en-US" w:eastAsia="zh-CN"/>
                    </w:rPr>
                  </w:pPr>
                  <w:r>
                    <w:rPr>
                      <w:rFonts w:hint="eastAsia" w:eastAsia="宋体"/>
                      <w:b/>
                      <w:bCs/>
                      <w:color w:val="auto"/>
                      <w:kern w:val="0"/>
                      <w:szCs w:val="21"/>
                      <w:highlight w:val="none"/>
                      <w:lang w:val="en-US" w:eastAsia="zh-CN"/>
                    </w:rPr>
                    <w:t>不符合空间布局要求活动的退出要求</w:t>
                  </w:r>
                </w:p>
                <w:p w14:paraId="4055A817">
                  <w:pPr>
                    <w:pStyle w:val="63"/>
                    <w:spacing w:line="240" w:lineRule="exact"/>
                    <w:jc w:val="both"/>
                    <w:rPr>
                      <w:rFonts w:hint="eastAsia" w:eastAsia="宋体"/>
                      <w:b w:val="0"/>
                      <w:color w:val="auto"/>
                      <w:kern w:val="0"/>
                      <w:szCs w:val="21"/>
                      <w:highlight w:val="none"/>
                      <w:lang w:val="en-US" w:eastAsia="zh-CN"/>
                    </w:rPr>
                  </w:pPr>
                  <w:r>
                    <w:rPr>
                      <w:rFonts w:hint="eastAsia" w:eastAsia="宋体"/>
                      <w:b w:val="0"/>
                      <w:color w:val="auto"/>
                      <w:kern w:val="0"/>
                      <w:szCs w:val="21"/>
                      <w:highlight w:val="none"/>
                      <w:lang w:val="en-US" w:eastAsia="zh-CN"/>
                    </w:rPr>
                    <w:t>/</w:t>
                  </w:r>
                </w:p>
                <w:p w14:paraId="67312606">
                  <w:pPr>
                    <w:pStyle w:val="63"/>
                    <w:spacing w:line="240" w:lineRule="exact"/>
                    <w:jc w:val="both"/>
                    <w:rPr>
                      <w:rFonts w:hint="eastAsia" w:eastAsia="宋体"/>
                      <w:b/>
                      <w:bCs/>
                      <w:color w:val="auto"/>
                      <w:kern w:val="0"/>
                      <w:szCs w:val="21"/>
                      <w:highlight w:val="none"/>
                      <w:lang w:val="en-US" w:eastAsia="zh-CN"/>
                    </w:rPr>
                  </w:pPr>
                  <w:r>
                    <w:rPr>
                      <w:rFonts w:hint="eastAsia" w:eastAsia="宋体"/>
                      <w:b/>
                      <w:bCs/>
                      <w:color w:val="auto"/>
                      <w:kern w:val="0"/>
                      <w:szCs w:val="21"/>
                      <w:highlight w:val="none"/>
                      <w:lang w:val="en-US" w:eastAsia="zh-CN"/>
                    </w:rPr>
                    <w:t>其他空间布局约束要求</w:t>
                  </w:r>
                </w:p>
                <w:p w14:paraId="7BB00038">
                  <w:pPr>
                    <w:pStyle w:val="63"/>
                    <w:spacing w:line="240" w:lineRule="exact"/>
                    <w:jc w:val="both"/>
                    <w:rPr>
                      <w:rFonts w:hint="eastAsia" w:eastAsia="宋体"/>
                      <w:b w:val="0"/>
                      <w:color w:val="auto"/>
                      <w:kern w:val="0"/>
                      <w:szCs w:val="21"/>
                      <w:highlight w:val="none"/>
                      <w:lang w:val="en-US" w:eastAsia="zh-CN"/>
                    </w:rPr>
                  </w:pPr>
                  <w:r>
                    <w:rPr>
                      <w:rFonts w:hint="eastAsia" w:eastAsia="宋体"/>
                      <w:b w:val="0"/>
                      <w:color w:val="auto"/>
                      <w:kern w:val="0"/>
                      <w:szCs w:val="21"/>
                      <w:highlight w:val="none"/>
                      <w:lang w:val="en-US" w:eastAsia="zh-CN"/>
                    </w:rPr>
                    <w:t>/</w:t>
                  </w:r>
                </w:p>
              </w:tc>
              <w:tc>
                <w:tcPr>
                  <w:tcW w:w="2514" w:type="dxa"/>
                  <w:noWrap w:val="0"/>
                  <w:vAlign w:val="center"/>
                </w:tcPr>
                <w:p w14:paraId="44D6275B">
                  <w:pPr>
                    <w:pStyle w:val="63"/>
                    <w:spacing w:line="240" w:lineRule="exact"/>
                    <w:jc w:val="both"/>
                    <w:rPr>
                      <w:rFonts w:hint="default" w:eastAsia="宋体"/>
                      <w:b w:val="0"/>
                      <w:color w:val="auto"/>
                      <w:kern w:val="0"/>
                      <w:szCs w:val="21"/>
                      <w:highlight w:val="none"/>
                      <w:lang w:val="en-US" w:eastAsia="zh-CN"/>
                    </w:rPr>
                  </w:pPr>
                  <w:r>
                    <w:rPr>
                      <w:rFonts w:hint="eastAsia"/>
                      <w:b w:val="0"/>
                      <w:color w:val="auto"/>
                      <w:kern w:val="0"/>
                      <w:szCs w:val="21"/>
                      <w:highlight w:val="none"/>
                      <w:lang w:val="en-US" w:eastAsia="zh-CN"/>
                    </w:rPr>
                    <w:t>/</w:t>
                  </w:r>
                </w:p>
              </w:tc>
              <w:tc>
                <w:tcPr>
                  <w:tcW w:w="885" w:type="dxa"/>
                  <w:noWrap w:val="0"/>
                  <w:vAlign w:val="center"/>
                </w:tcPr>
                <w:p w14:paraId="77063052">
                  <w:pPr>
                    <w:pStyle w:val="63"/>
                    <w:spacing w:line="240" w:lineRule="exact"/>
                    <w:jc w:val="both"/>
                    <w:rPr>
                      <w:rFonts w:hint="eastAsia" w:eastAsia="宋体"/>
                      <w:b w:val="0"/>
                      <w:color w:val="auto"/>
                      <w:kern w:val="0"/>
                      <w:szCs w:val="21"/>
                      <w:highlight w:val="none"/>
                      <w:lang w:val="en-US" w:eastAsia="zh-CN"/>
                    </w:rPr>
                  </w:pPr>
                  <w:r>
                    <w:rPr>
                      <w:rFonts w:hint="eastAsia"/>
                      <w:b w:val="0"/>
                      <w:color w:val="auto"/>
                      <w:kern w:val="0"/>
                      <w:szCs w:val="21"/>
                      <w:highlight w:val="none"/>
                      <w:lang w:val="en-US" w:eastAsia="zh-CN"/>
                    </w:rPr>
                    <w:t>/</w:t>
                  </w:r>
                </w:p>
              </w:tc>
            </w:tr>
            <w:tr w14:paraId="574AA53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850" w:type="dxa"/>
                  <w:vMerge w:val="continue"/>
                  <w:noWrap w:val="0"/>
                  <w:vAlign w:val="center"/>
                </w:tcPr>
                <w:p w14:paraId="2DBA2BD5">
                  <w:pPr>
                    <w:pStyle w:val="63"/>
                    <w:spacing w:line="240" w:lineRule="exact"/>
                    <w:jc w:val="center"/>
                    <w:rPr>
                      <w:b w:val="0"/>
                      <w:color w:val="auto"/>
                      <w:kern w:val="0"/>
                      <w:szCs w:val="21"/>
                      <w:highlight w:val="none"/>
                    </w:rPr>
                  </w:pPr>
                </w:p>
              </w:tc>
              <w:tc>
                <w:tcPr>
                  <w:tcW w:w="616" w:type="dxa"/>
                  <w:vMerge w:val="continue"/>
                  <w:noWrap w:val="0"/>
                  <w:vAlign w:val="center"/>
                </w:tcPr>
                <w:p w14:paraId="2BF75C78">
                  <w:pPr>
                    <w:pStyle w:val="63"/>
                    <w:spacing w:line="240" w:lineRule="exact"/>
                    <w:jc w:val="center"/>
                    <w:rPr>
                      <w:rFonts w:hint="eastAsia"/>
                      <w:b w:val="0"/>
                      <w:color w:val="auto"/>
                      <w:kern w:val="0"/>
                      <w:szCs w:val="21"/>
                      <w:highlight w:val="none"/>
                    </w:rPr>
                  </w:pPr>
                </w:p>
              </w:tc>
              <w:tc>
                <w:tcPr>
                  <w:tcW w:w="979" w:type="dxa"/>
                  <w:noWrap w:val="0"/>
                  <w:vAlign w:val="center"/>
                </w:tcPr>
                <w:p w14:paraId="0B356FC9">
                  <w:pPr>
                    <w:pStyle w:val="63"/>
                    <w:spacing w:line="240" w:lineRule="exact"/>
                    <w:jc w:val="center"/>
                    <w:rPr>
                      <w:b w:val="0"/>
                      <w:color w:val="auto"/>
                      <w:kern w:val="0"/>
                      <w:szCs w:val="21"/>
                      <w:highlight w:val="none"/>
                    </w:rPr>
                  </w:pPr>
                  <w:r>
                    <w:rPr>
                      <w:rFonts w:hint="eastAsia"/>
                      <w:b w:val="0"/>
                      <w:color w:val="auto"/>
                      <w:kern w:val="0"/>
                      <w:szCs w:val="21"/>
                      <w:highlight w:val="none"/>
                    </w:rPr>
                    <w:t>污染物排放管控</w:t>
                  </w:r>
                </w:p>
              </w:tc>
              <w:tc>
                <w:tcPr>
                  <w:tcW w:w="6141" w:type="dxa"/>
                  <w:noWrap w:val="0"/>
                  <w:vAlign w:val="center"/>
                </w:tcPr>
                <w:p w14:paraId="4BBBB8D4">
                  <w:pPr>
                    <w:pStyle w:val="63"/>
                    <w:spacing w:line="240" w:lineRule="exact"/>
                    <w:ind w:firstLine="0" w:firstLineChars="0"/>
                    <w:jc w:val="both"/>
                    <w:rPr>
                      <w:rFonts w:hint="eastAsia" w:eastAsia="宋体"/>
                      <w:b/>
                      <w:bCs/>
                      <w:color w:val="auto"/>
                      <w:kern w:val="0"/>
                      <w:szCs w:val="21"/>
                      <w:highlight w:val="none"/>
                      <w:lang w:val="en-US" w:eastAsia="zh-CN"/>
                    </w:rPr>
                  </w:pPr>
                  <w:r>
                    <w:rPr>
                      <w:rFonts w:hint="eastAsia" w:eastAsia="宋体"/>
                      <w:b/>
                      <w:bCs/>
                      <w:color w:val="auto"/>
                      <w:kern w:val="0"/>
                      <w:szCs w:val="21"/>
                      <w:highlight w:val="none"/>
                      <w:lang w:val="en-US" w:eastAsia="zh-CN"/>
                    </w:rPr>
                    <w:t>大气环境质量执行标准</w:t>
                  </w:r>
                </w:p>
                <w:p w14:paraId="3AFA290A">
                  <w:pPr>
                    <w:pStyle w:val="63"/>
                    <w:spacing w:line="240" w:lineRule="exact"/>
                    <w:ind w:firstLine="0" w:firstLineChars="0"/>
                    <w:jc w:val="both"/>
                    <w:rPr>
                      <w:rFonts w:hint="eastAsia" w:eastAsia="宋体"/>
                      <w:b w:val="0"/>
                      <w:color w:val="auto"/>
                      <w:kern w:val="0"/>
                      <w:szCs w:val="21"/>
                      <w:highlight w:val="none"/>
                      <w:lang w:val="en-US" w:eastAsia="zh-CN"/>
                    </w:rPr>
                  </w:pPr>
                  <w:r>
                    <w:rPr>
                      <w:rFonts w:hint="eastAsia"/>
                      <w:b w:val="0"/>
                      <w:color w:val="auto"/>
                      <w:kern w:val="0"/>
                      <w:szCs w:val="21"/>
                      <w:highlight w:val="none"/>
                      <w:lang w:val="en-US" w:eastAsia="zh-CN"/>
                    </w:rPr>
                    <w:t>-</w:t>
                  </w:r>
                  <w:r>
                    <w:rPr>
                      <w:rFonts w:hint="eastAsia" w:eastAsia="宋体"/>
                      <w:b w:val="0"/>
                      <w:color w:val="auto"/>
                      <w:kern w:val="0"/>
                      <w:szCs w:val="21"/>
                      <w:highlight w:val="none"/>
                      <w:lang w:val="en-US" w:eastAsia="zh-CN"/>
                    </w:rPr>
                    <w:t>《环境空气质量标准》（GB3095-2012）：二级</w:t>
                  </w:r>
                </w:p>
                <w:p w14:paraId="6DC01E56">
                  <w:pPr>
                    <w:pStyle w:val="63"/>
                    <w:spacing w:line="240" w:lineRule="exact"/>
                    <w:ind w:firstLine="0" w:firstLineChars="0"/>
                    <w:jc w:val="both"/>
                    <w:rPr>
                      <w:rFonts w:hint="eastAsia" w:eastAsia="宋体"/>
                      <w:b/>
                      <w:bCs/>
                      <w:color w:val="auto"/>
                      <w:kern w:val="0"/>
                      <w:szCs w:val="21"/>
                      <w:highlight w:val="none"/>
                      <w:lang w:val="en-US" w:eastAsia="zh-CN"/>
                    </w:rPr>
                  </w:pPr>
                  <w:r>
                    <w:rPr>
                      <w:rFonts w:hint="eastAsia" w:eastAsia="宋体"/>
                      <w:b/>
                      <w:bCs/>
                      <w:color w:val="auto"/>
                      <w:kern w:val="0"/>
                      <w:szCs w:val="21"/>
                      <w:highlight w:val="none"/>
                      <w:lang w:val="en-US" w:eastAsia="zh-CN"/>
                    </w:rPr>
                    <w:t>区域大气污染物削减/替代要求</w:t>
                  </w:r>
                </w:p>
                <w:p w14:paraId="5E64B32A">
                  <w:pPr>
                    <w:pStyle w:val="63"/>
                    <w:spacing w:line="240" w:lineRule="exact"/>
                    <w:ind w:firstLine="0" w:firstLineChars="0"/>
                    <w:jc w:val="both"/>
                    <w:rPr>
                      <w:rFonts w:hint="eastAsia" w:eastAsia="宋体"/>
                      <w:b w:val="0"/>
                      <w:color w:val="auto"/>
                      <w:kern w:val="0"/>
                      <w:szCs w:val="21"/>
                      <w:highlight w:val="none"/>
                      <w:lang w:val="en-US" w:eastAsia="zh-CN"/>
                    </w:rPr>
                  </w:pPr>
                  <w:r>
                    <w:rPr>
                      <w:rFonts w:hint="eastAsia" w:eastAsia="宋体"/>
                      <w:b w:val="0"/>
                      <w:color w:val="auto"/>
                      <w:kern w:val="0"/>
                      <w:szCs w:val="21"/>
                      <w:highlight w:val="none"/>
                      <w:lang w:val="en-US" w:eastAsia="zh-CN"/>
                    </w:rPr>
                    <w:t>/</w:t>
                  </w:r>
                </w:p>
                <w:p w14:paraId="7E74C108">
                  <w:pPr>
                    <w:pStyle w:val="63"/>
                    <w:spacing w:line="240" w:lineRule="exact"/>
                    <w:ind w:firstLine="0" w:firstLineChars="0"/>
                    <w:jc w:val="both"/>
                    <w:rPr>
                      <w:rFonts w:hint="eastAsia" w:eastAsia="宋体"/>
                      <w:b/>
                      <w:bCs/>
                      <w:color w:val="auto"/>
                      <w:kern w:val="0"/>
                      <w:szCs w:val="21"/>
                      <w:highlight w:val="none"/>
                      <w:lang w:val="en-US" w:eastAsia="zh-CN"/>
                    </w:rPr>
                  </w:pPr>
                  <w:r>
                    <w:rPr>
                      <w:rFonts w:hint="eastAsia" w:eastAsia="宋体"/>
                      <w:b/>
                      <w:bCs/>
                      <w:color w:val="auto"/>
                      <w:kern w:val="0"/>
                      <w:szCs w:val="21"/>
                      <w:highlight w:val="none"/>
                      <w:lang w:val="en-US" w:eastAsia="zh-CN"/>
                    </w:rPr>
                    <w:t>燃煤和其他能源大气污染控制要求</w:t>
                  </w:r>
                </w:p>
                <w:p w14:paraId="44295949">
                  <w:pPr>
                    <w:pStyle w:val="63"/>
                    <w:spacing w:line="240" w:lineRule="exact"/>
                    <w:ind w:firstLine="0" w:firstLineChars="0"/>
                    <w:jc w:val="both"/>
                    <w:rPr>
                      <w:rFonts w:hint="eastAsia" w:eastAsia="宋体"/>
                      <w:b w:val="0"/>
                      <w:color w:val="auto"/>
                      <w:kern w:val="0"/>
                      <w:szCs w:val="21"/>
                      <w:highlight w:val="none"/>
                      <w:lang w:val="en-US" w:eastAsia="zh-CN"/>
                    </w:rPr>
                  </w:pPr>
                  <w:r>
                    <w:rPr>
                      <w:rFonts w:hint="eastAsia" w:eastAsia="宋体"/>
                      <w:b w:val="0"/>
                      <w:color w:val="auto"/>
                      <w:kern w:val="0"/>
                      <w:szCs w:val="21"/>
                      <w:highlight w:val="none"/>
                      <w:lang w:val="en-US" w:eastAsia="zh-CN"/>
                    </w:rPr>
                    <w:t>/</w:t>
                  </w:r>
                </w:p>
                <w:p w14:paraId="6B9FE76E">
                  <w:pPr>
                    <w:pStyle w:val="63"/>
                    <w:spacing w:line="240" w:lineRule="exact"/>
                    <w:ind w:firstLine="0" w:firstLineChars="0"/>
                    <w:jc w:val="both"/>
                    <w:rPr>
                      <w:rFonts w:hint="eastAsia" w:eastAsia="宋体"/>
                      <w:b/>
                      <w:bCs/>
                      <w:color w:val="auto"/>
                      <w:kern w:val="0"/>
                      <w:szCs w:val="21"/>
                      <w:highlight w:val="none"/>
                      <w:lang w:val="en-US" w:eastAsia="zh-CN"/>
                    </w:rPr>
                  </w:pPr>
                  <w:r>
                    <w:rPr>
                      <w:rFonts w:hint="eastAsia" w:eastAsia="宋体"/>
                      <w:b/>
                      <w:bCs/>
                      <w:color w:val="auto"/>
                      <w:kern w:val="0"/>
                      <w:szCs w:val="21"/>
                      <w:highlight w:val="none"/>
                      <w:lang w:val="en-US" w:eastAsia="zh-CN"/>
                    </w:rPr>
                    <w:t>工业废气污染控制要求</w:t>
                  </w:r>
                </w:p>
                <w:p w14:paraId="47757EEC">
                  <w:pPr>
                    <w:pStyle w:val="63"/>
                    <w:spacing w:line="240" w:lineRule="exact"/>
                    <w:ind w:firstLine="0" w:firstLineChars="0"/>
                    <w:jc w:val="both"/>
                    <w:rPr>
                      <w:rFonts w:hint="eastAsia" w:eastAsia="宋体"/>
                      <w:b w:val="0"/>
                      <w:color w:val="auto"/>
                      <w:kern w:val="0"/>
                      <w:szCs w:val="21"/>
                      <w:highlight w:val="none"/>
                      <w:lang w:val="en-US" w:eastAsia="zh-CN"/>
                    </w:rPr>
                  </w:pPr>
                  <w:r>
                    <w:rPr>
                      <w:rFonts w:hint="eastAsia" w:eastAsia="宋体"/>
                      <w:b w:val="0"/>
                      <w:color w:val="auto"/>
                      <w:kern w:val="0"/>
                      <w:szCs w:val="21"/>
                      <w:highlight w:val="none"/>
                      <w:lang w:val="en-US" w:eastAsia="zh-CN"/>
                    </w:rPr>
                    <w:t>1、全面淘汰10蒸吨/小时及以下燃煤锅炉，原则上不再新建35蒸吨/小时及以下的燃煤锅炉，推进县级及以上城市建成区淘汰35蒸吨/小时及以下燃煤锅炉，以工业余热、电厂热力、清洁能源等替代煤炭。</w:t>
                  </w:r>
                </w:p>
                <w:p w14:paraId="01B053FD">
                  <w:pPr>
                    <w:pStyle w:val="63"/>
                    <w:spacing w:line="240" w:lineRule="exact"/>
                    <w:ind w:firstLine="0" w:firstLineChars="0"/>
                    <w:jc w:val="both"/>
                    <w:rPr>
                      <w:rFonts w:hint="eastAsia" w:eastAsia="宋体"/>
                      <w:b w:val="0"/>
                      <w:color w:val="auto"/>
                      <w:kern w:val="0"/>
                      <w:szCs w:val="21"/>
                      <w:highlight w:val="none"/>
                      <w:lang w:val="en-US" w:eastAsia="zh-CN"/>
                    </w:rPr>
                  </w:pPr>
                  <w:r>
                    <w:rPr>
                      <w:rFonts w:hint="eastAsia" w:eastAsia="宋体"/>
                      <w:b w:val="0"/>
                      <w:color w:val="auto"/>
                      <w:kern w:val="0"/>
                      <w:szCs w:val="21"/>
                      <w:highlight w:val="none"/>
                      <w:lang w:val="en-US" w:eastAsia="zh-CN"/>
                    </w:rPr>
                    <w:t>2、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14:paraId="15A2798F">
                  <w:pPr>
                    <w:pStyle w:val="63"/>
                    <w:spacing w:line="240" w:lineRule="exact"/>
                    <w:ind w:firstLine="0" w:firstLineChars="0"/>
                    <w:jc w:val="both"/>
                    <w:rPr>
                      <w:rFonts w:hint="eastAsia" w:eastAsia="宋体"/>
                      <w:b/>
                      <w:bCs/>
                      <w:color w:val="auto"/>
                      <w:kern w:val="0"/>
                      <w:szCs w:val="21"/>
                      <w:highlight w:val="none"/>
                      <w:lang w:val="en-US" w:eastAsia="zh-CN"/>
                    </w:rPr>
                  </w:pPr>
                  <w:r>
                    <w:rPr>
                      <w:rFonts w:hint="eastAsia" w:eastAsia="宋体"/>
                      <w:b/>
                      <w:bCs/>
                      <w:color w:val="auto"/>
                      <w:kern w:val="0"/>
                      <w:szCs w:val="21"/>
                      <w:highlight w:val="none"/>
                      <w:lang w:val="en-US" w:eastAsia="zh-CN"/>
                    </w:rPr>
                    <w:t>机动车船大气污染控制要求</w:t>
                  </w:r>
                </w:p>
                <w:p w14:paraId="4746025B">
                  <w:pPr>
                    <w:pStyle w:val="63"/>
                    <w:spacing w:line="240" w:lineRule="exact"/>
                    <w:ind w:firstLine="0" w:firstLineChars="0"/>
                    <w:jc w:val="both"/>
                    <w:rPr>
                      <w:rFonts w:hint="eastAsia" w:eastAsia="宋体"/>
                      <w:b w:val="0"/>
                      <w:color w:val="auto"/>
                      <w:kern w:val="0"/>
                      <w:szCs w:val="21"/>
                      <w:highlight w:val="none"/>
                      <w:lang w:val="en-US" w:eastAsia="zh-CN"/>
                    </w:rPr>
                  </w:pPr>
                  <w:r>
                    <w:rPr>
                      <w:rFonts w:hint="eastAsia" w:eastAsia="宋体"/>
                      <w:b w:val="0"/>
                      <w:color w:val="auto"/>
                      <w:kern w:val="0"/>
                      <w:szCs w:val="21"/>
                      <w:highlight w:val="none"/>
                      <w:lang w:val="en-US" w:eastAsia="zh-CN"/>
                    </w:rPr>
                    <w:t>/</w:t>
                  </w:r>
                </w:p>
                <w:p w14:paraId="4ABBBE63">
                  <w:pPr>
                    <w:pStyle w:val="63"/>
                    <w:spacing w:line="240" w:lineRule="exact"/>
                    <w:ind w:firstLine="0" w:firstLineChars="0"/>
                    <w:jc w:val="both"/>
                    <w:rPr>
                      <w:rFonts w:hint="eastAsia" w:eastAsia="宋体"/>
                      <w:b/>
                      <w:bCs/>
                      <w:color w:val="auto"/>
                      <w:kern w:val="0"/>
                      <w:szCs w:val="21"/>
                      <w:highlight w:val="none"/>
                      <w:lang w:val="en-US" w:eastAsia="zh-CN"/>
                    </w:rPr>
                  </w:pPr>
                  <w:r>
                    <w:rPr>
                      <w:rFonts w:hint="eastAsia" w:eastAsia="宋体"/>
                      <w:b/>
                      <w:bCs/>
                      <w:color w:val="auto"/>
                      <w:kern w:val="0"/>
                      <w:szCs w:val="21"/>
                      <w:highlight w:val="none"/>
                      <w:lang w:val="en-US" w:eastAsia="zh-CN"/>
                    </w:rPr>
                    <w:t>扬尘污染控制要求</w:t>
                  </w:r>
                </w:p>
                <w:p w14:paraId="5EBAE32E">
                  <w:pPr>
                    <w:pStyle w:val="63"/>
                    <w:spacing w:line="240" w:lineRule="exact"/>
                    <w:ind w:firstLine="0" w:firstLineChars="0"/>
                    <w:jc w:val="both"/>
                    <w:rPr>
                      <w:rFonts w:hint="eastAsia" w:eastAsia="宋体"/>
                      <w:b w:val="0"/>
                      <w:color w:val="auto"/>
                      <w:kern w:val="0"/>
                      <w:szCs w:val="21"/>
                      <w:highlight w:val="none"/>
                      <w:lang w:val="en-US" w:eastAsia="zh-CN"/>
                    </w:rPr>
                  </w:pPr>
                  <w:r>
                    <w:rPr>
                      <w:rFonts w:hint="eastAsia" w:eastAsia="宋体"/>
                      <w:b w:val="0"/>
                      <w:color w:val="auto"/>
                      <w:kern w:val="0"/>
                      <w:szCs w:val="21"/>
                      <w:highlight w:val="none"/>
                      <w:lang w:val="en-US" w:eastAsia="zh-CN"/>
                    </w:rPr>
                    <w:t>/</w:t>
                  </w:r>
                </w:p>
                <w:p w14:paraId="7AD57687">
                  <w:pPr>
                    <w:pStyle w:val="63"/>
                    <w:spacing w:line="240" w:lineRule="exact"/>
                    <w:ind w:firstLine="0" w:firstLineChars="0"/>
                    <w:jc w:val="both"/>
                    <w:rPr>
                      <w:rFonts w:hint="eastAsia" w:eastAsia="宋体"/>
                      <w:b/>
                      <w:bCs/>
                      <w:color w:val="auto"/>
                      <w:kern w:val="0"/>
                      <w:szCs w:val="21"/>
                      <w:highlight w:val="none"/>
                      <w:lang w:val="en-US" w:eastAsia="zh-CN"/>
                    </w:rPr>
                  </w:pPr>
                  <w:r>
                    <w:rPr>
                      <w:rFonts w:hint="eastAsia" w:eastAsia="宋体"/>
                      <w:b/>
                      <w:bCs/>
                      <w:color w:val="auto"/>
                      <w:kern w:val="0"/>
                      <w:szCs w:val="21"/>
                      <w:highlight w:val="none"/>
                      <w:lang w:val="en-US" w:eastAsia="zh-CN"/>
                    </w:rPr>
                    <w:t>农业生产经营活动大气污染控制要求</w:t>
                  </w:r>
                </w:p>
                <w:p w14:paraId="4C24FCDD">
                  <w:pPr>
                    <w:pStyle w:val="63"/>
                    <w:spacing w:line="240" w:lineRule="exact"/>
                    <w:ind w:firstLine="0" w:firstLineChars="0"/>
                    <w:jc w:val="both"/>
                    <w:rPr>
                      <w:rFonts w:hint="eastAsia" w:eastAsia="宋体"/>
                      <w:b w:val="0"/>
                      <w:color w:val="auto"/>
                      <w:kern w:val="0"/>
                      <w:szCs w:val="21"/>
                      <w:highlight w:val="none"/>
                      <w:lang w:val="en-US" w:eastAsia="zh-CN"/>
                    </w:rPr>
                  </w:pPr>
                  <w:r>
                    <w:rPr>
                      <w:rFonts w:hint="eastAsia" w:eastAsia="宋体"/>
                      <w:b w:val="0"/>
                      <w:color w:val="auto"/>
                      <w:kern w:val="0"/>
                      <w:szCs w:val="21"/>
                      <w:highlight w:val="none"/>
                      <w:lang w:val="en-US" w:eastAsia="zh-CN"/>
                    </w:rPr>
                    <w:t>/</w:t>
                  </w:r>
                </w:p>
                <w:p w14:paraId="56056136">
                  <w:pPr>
                    <w:pStyle w:val="63"/>
                    <w:spacing w:line="240" w:lineRule="exact"/>
                    <w:ind w:firstLine="0" w:firstLineChars="0"/>
                    <w:jc w:val="both"/>
                    <w:rPr>
                      <w:rFonts w:hint="eastAsia" w:eastAsia="宋体"/>
                      <w:b/>
                      <w:bCs/>
                      <w:color w:val="auto"/>
                      <w:kern w:val="0"/>
                      <w:szCs w:val="21"/>
                      <w:highlight w:val="none"/>
                      <w:lang w:val="en-US" w:eastAsia="zh-CN"/>
                    </w:rPr>
                  </w:pPr>
                  <w:r>
                    <w:rPr>
                      <w:rFonts w:hint="eastAsia" w:eastAsia="宋体"/>
                      <w:b/>
                      <w:bCs/>
                      <w:color w:val="auto"/>
                      <w:kern w:val="0"/>
                      <w:szCs w:val="21"/>
                      <w:highlight w:val="none"/>
                      <w:lang w:val="en-US" w:eastAsia="zh-CN"/>
                    </w:rPr>
                    <w:t>重点行业企业专项治理要求</w:t>
                  </w:r>
                </w:p>
                <w:p w14:paraId="7AC4E74F">
                  <w:pPr>
                    <w:pStyle w:val="63"/>
                    <w:spacing w:line="240" w:lineRule="exact"/>
                    <w:ind w:firstLine="0" w:firstLineChars="0"/>
                    <w:jc w:val="both"/>
                    <w:rPr>
                      <w:rFonts w:hint="eastAsia" w:eastAsia="宋体"/>
                      <w:b w:val="0"/>
                      <w:color w:val="auto"/>
                      <w:kern w:val="0"/>
                      <w:szCs w:val="21"/>
                      <w:highlight w:val="none"/>
                      <w:lang w:val="en-US" w:eastAsia="zh-CN"/>
                    </w:rPr>
                  </w:pPr>
                  <w:r>
                    <w:rPr>
                      <w:rFonts w:hint="eastAsia"/>
                      <w:b w:val="0"/>
                      <w:color w:val="auto"/>
                      <w:kern w:val="0"/>
                      <w:szCs w:val="21"/>
                      <w:highlight w:val="none"/>
                      <w:lang w:val="en-US" w:eastAsia="zh-CN"/>
                    </w:rPr>
                    <w:t>-</w:t>
                  </w:r>
                  <w:r>
                    <w:rPr>
                      <w:rFonts w:hint="eastAsia" w:eastAsia="宋体"/>
                      <w:b w:val="0"/>
                      <w:color w:val="auto"/>
                      <w:kern w:val="0"/>
                      <w:szCs w:val="21"/>
                      <w:highlight w:val="none"/>
                      <w:lang w:val="en-US" w:eastAsia="zh-CN"/>
                    </w:rPr>
                    <w:t>加快实施低VOCs含量原辅材料替代。持续开展VOCs治理设施提级增效，对采用单一低温等离子、光氧化、光催化以及非水溶性VOCs废气采用单一喷淋吸收等治理技术且无法稳定达标的，加快推进升级改造。强化VOCs无组织排放整治。石化、化工等行业加强非正常工况废气排放管控。推进涉VOCs产业集群治理提升</w:t>
                  </w:r>
                </w:p>
                <w:p w14:paraId="6B001637">
                  <w:pPr>
                    <w:pStyle w:val="63"/>
                    <w:spacing w:line="240" w:lineRule="exact"/>
                    <w:ind w:firstLine="0" w:firstLineChars="0"/>
                    <w:jc w:val="both"/>
                    <w:rPr>
                      <w:rFonts w:hint="eastAsia" w:eastAsia="宋体"/>
                      <w:b/>
                      <w:bCs/>
                      <w:color w:val="auto"/>
                      <w:kern w:val="0"/>
                      <w:szCs w:val="21"/>
                      <w:highlight w:val="none"/>
                      <w:lang w:val="en-US" w:eastAsia="zh-CN"/>
                    </w:rPr>
                  </w:pPr>
                  <w:r>
                    <w:rPr>
                      <w:rFonts w:hint="eastAsia" w:eastAsia="宋体"/>
                      <w:b/>
                      <w:bCs/>
                      <w:color w:val="auto"/>
                      <w:kern w:val="0"/>
                      <w:szCs w:val="21"/>
                      <w:highlight w:val="none"/>
                      <w:lang w:val="en-US" w:eastAsia="zh-CN"/>
                    </w:rPr>
                    <w:t>其他大气污染物排放管控要求</w:t>
                  </w:r>
                </w:p>
                <w:p w14:paraId="7E497A4C">
                  <w:pPr>
                    <w:pStyle w:val="63"/>
                    <w:spacing w:line="240" w:lineRule="exact"/>
                    <w:ind w:firstLine="0" w:firstLineChars="0"/>
                    <w:jc w:val="both"/>
                    <w:rPr>
                      <w:rFonts w:hint="eastAsia" w:eastAsia="宋体"/>
                      <w:b w:val="0"/>
                      <w:color w:val="auto"/>
                      <w:kern w:val="0"/>
                      <w:szCs w:val="21"/>
                      <w:highlight w:val="none"/>
                      <w:lang w:val="en-US" w:eastAsia="zh-CN"/>
                    </w:rPr>
                  </w:pPr>
                  <w:r>
                    <w:rPr>
                      <w:rFonts w:hint="eastAsia" w:eastAsia="宋体"/>
                      <w:b w:val="0"/>
                      <w:color w:val="auto"/>
                      <w:kern w:val="0"/>
                      <w:szCs w:val="21"/>
                      <w:highlight w:val="none"/>
                      <w:lang w:val="en-US" w:eastAsia="zh-CN"/>
                    </w:rPr>
                    <w:t>/</w:t>
                  </w:r>
                </w:p>
              </w:tc>
              <w:tc>
                <w:tcPr>
                  <w:tcW w:w="2514" w:type="dxa"/>
                  <w:noWrap w:val="0"/>
                  <w:vAlign w:val="center"/>
                </w:tcPr>
                <w:p w14:paraId="6E9C96F8">
                  <w:pPr>
                    <w:pStyle w:val="63"/>
                    <w:spacing w:line="240" w:lineRule="exact"/>
                    <w:ind w:firstLine="0" w:firstLineChars="0"/>
                    <w:jc w:val="both"/>
                    <w:rPr>
                      <w:rFonts w:hint="default" w:eastAsia="宋体"/>
                      <w:b w:val="0"/>
                      <w:color w:val="auto"/>
                      <w:kern w:val="0"/>
                      <w:szCs w:val="21"/>
                      <w:highlight w:val="none"/>
                      <w:lang w:val="en-US" w:eastAsia="zh-CN"/>
                    </w:rPr>
                  </w:pPr>
                  <w:r>
                    <w:rPr>
                      <w:rFonts w:hint="eastAsia"/>
                      <w:b w:val="0"/>
                      <w:color w:val="auto"/>
                      <w:kern w:val="0"/>
                      <w:szCs w:val="21"/>
                      <w:highlight w:val="none"/>
                      <w:lang w:val="en-US" w:eastAsia="zh-CN"/>
                    </w:rPr>
                    <w:t>本项目所在区域属于环境空气二类区，大气环境质量执行</w:t>
                  </w:r>
                  <w:r>
                    <w:rPr>
                      <w:rFonts w:hint="eastAsia" w:eastAsia="宋体"/>
                      <w:b w:val="0"/>
                      <w:color w:val="auto"/>
                      <w:kern w:val="0"/>
                      <w:szCs w:val="21"/>
                      <w:highlight w:val="none"/>
                      <w:lang w:val="en-US" w:eastAsia="zh-CN"/>
                    </w:rPr>
                    <w:t>《环境空气质量标准》（GB3095-2012）二级</w:t>
                  </w:r>
                  <w:r>
                    <w:rPr>
                      <w:rFonts w:hint="eastAsia"/>
                      <w:b w:val="0"/>
                      <w:color w:val="auto"/>
                      <w:kern w:val="0"/>
                      <w:szCs w:val="21"/>
                      <w:highlight w:val="none"/>
                      <w:lang w:val="en-US" w:eastAsia="zh-CN"/>
                    </w:rPr>
                    <w:t>标准；本项目不使用燃煤锅炉及炉窑，烘干炉和导热油炉以天然气作为能源并安装低氮燃烧装置；本项目属于其他非金属矿物制品制造及煤制品制造，不属于</w:t>
                  </w:r>
                  <w:r>
                    <w:rPr>
                      <w:rFonts w:hint="eastAsia" w:eastAsia="宋体"/>
                      <w:b w:val="0"/>
                      <w:color w:val="auto"/>
                      <w:kern w:val="0"/>
                      <w:szCs w:val="21"/>
                      <w:highlight w:val="none"/>
                      <w:lang w:val="en-US" w:eastAsia="zh-CN"/>
                    </w:rPr>
                    <w:t>火电、钢铁、铸造（含烧结、球团、高炉工序）水泥、焦化</w:t>
                  </w:r>
                  <w:r>
                    <w:rPr>
                      <w:rFonts w:hint="eastAsia"/>
                      <w:b w:val="0"/>
                      <w:color w:val="auto"/>
                      <w:kern w:val="0"/>
                      <w:szCs w:val="21"/>
                      <w:highlight w:val="none"/>
                      <w:lang w:val="en-US" w:eastAsia="zh-CN"/>
                    </w:rPr>
                    <w:t>、陶瓷、玻璃、铁合金、有色、砖瓦等行业；项目生产工序全部在封闭车间内完成，沥青加热、搅拌工序产生的VOCs（以NMHC计）经集气罩收集后由喷淋+干式过滤+活性炭吸附脱附+催化燃烧装置处理后由22m高排气筒排放，厂区内设置洒水降尘装置。</w:t>
                  </w:r>
                </w:p>
              </w:tc>
              <w:tc>
                <w:tcPr>
                  <w:tcW w:w="885" w:type="dxa"/>
                  <w:noWrap w:val="0"/>
                  <w:vAlign w:val="center"/>
                </w:tcPr>
                <w:p w14:paraId="2FD77831">
                  <w:pPr>
                    <w:pStyle w:val="63"/>
                    <w:spacing w:line="240" w:lineRule="exact"/>
                    <w:ind w:firstLine="0" w:firstLineChars="0"/>
                    <w:jc w:val="both"/>
                    <w:rPr>
                      <w:rFonts w:hint="eastAsia" w:eastAsia="宋体"/>
                      <w:b w:val="0"/>
                      <w:color w:val="auto"/>
                      <w:kern w:val="0"/>
                      <w:szCs w:val="21"/>
                      <w:highlight w:val="none"/>
                      <w:lang w:eastAsia="zh-CN"/>
                    </w:rPr>
                  </w:pPr>
                  <w:r>
                    <w:rPr>
                      <w:rFonts w:hint="eastAsia" w:eastAsia="宋体"/>
                      <w:b w:val="0"/>
                      <w:color w:val="auto"/>
                      <w:kern w:val="0"/>
                      <w:szCs w:val="21"/>
                      <w:highlight w:val="none"/>
                      <w:lang w:val="en-US" w:eastAsia="zh-CN"/>
                    </w:rPr>
                    <w:t>符合</w:t>
                  </w:r>
                </w:p>
              </w:tc>
            </w:tr>
            <w:tr w14:paraId="700C32B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850" w:type="dxa"/>
                  <w:vMerge w:val="continue"/>
                  <w:noWrap w:val="0"/>
                  <w:vAlign w:val="center"/>
                </w:tcPr>
                <w:p w14:paraId="7D6A945C">
                  <w:pPr>
                    <w:pStyle w:val="63"/>
                    <w:spacing w:line="240" w:lineRule="exact"/>
                    <w:jc w:val="center"/>
                    <w:rPr>
                      <w:b w:val="0"/>
                      <w:color w:val="auto"/>
                      <w:kern w:val="0"/>
                      <w:szCs w:val="21"/>
                      <w:highlight w:val="none"/>
                    </w:rPr>
                  </w:pPr>
                </w:p>
              </w:tc>
              <w:tc>
                <w:tcPr>
                  <w:tcW w:w="616" w:type="dxa"/>
                  <w:vMerge w:val="continue"/>
                  <w:noWrap w:val="0"/>
                  <w:vAlign w:val="center"/>
                </w:tcPr>
                <w:p w14:paraId="50960E30">
                  <w:pPr>
                    <w:pStyle w:val="63"/>
                    <w:spacing w:line="240" w:lineRule="exact"/>
                    <w:jc w:val="center"/>
                    <w:rPr>
                      <w:rFonts w:hint="eastAsia"/>
                      <w:b w:val="0"/>
                      <w:color w:val="auto"/>
                      <w:kern w:val="0"/>
                      <w:szCs w:val="21"/>
                      <w:highlight w:val="none"/>
                    </w:rPr>
                  </w:pPr>
                </w:p>
              </w:tc>
              <w:tc>
                <w:tcPr>
                  <w:tcW w:w="979" w:type="dxa"/>
                  <w:noWrap w:val="0"/>
                  <w:vAlign w:val="center"/>
                </w:tcPr>
                <w:p w14:paraId="004FF58D">
                  <w:pPr>
                    <w:pStyle w:val="63"/>
                    <w:spacing w:line="240" w:lineRule="exact"/>
                    <w:jc w:val="center"/>
                    <w:rPr>
                      <w:b w:val="0"/>
                      <w:color w:val="auto"/>
                      <w:kern w:val="0"/>
                      <w:szCs w:val="21"/>
                      <w:highlight w:val="none"/>
                    </w:rPr>
                  </w:pPr>
                  <w:r>
                    <w:rPr>
                      <w:rFonts w:hint="eastAsia"/>
                      <w:b w:val="0"/>
                      <w:color w:val="auto"/>
                      <w:kern w:val="0"/>
                      <w:szCs w:val="21"/>
                      <w:highlight w:val="none"/>
                    </w:rPr>
                    <w:t>环境风险防控</w:t>
                  </w:r>
                </w:p>
              </w:tc>
              <w:tc>
                <w:tcPr>
                  <w:tcW w:w="6141" w:type="dxa"/>
                  <w:noWrap w:val="0"/>
                  <w:vAlign w:val="center"/>
                </w:tcPr>
                <w:p w14:paraId="59F2D7FA">
                  <w:pPr>
                    <w:pStyle w:val="63"/>
                    <w:spacing w:line="240" w:lineRule="exact"/>
                    <w:ind w:firstLine="0" w:firstLineChars="0"/>
                    <w:jc w:val="both"/>
                    <w:rPr>
                      <w:rFonts w:hint="default" w:eastAsia="宋体"/>
                      <w:b w:val="0"/>
                      <w:color w:val="auto"/>
                      <w:kern w:val="0"/>
                      <w:szCs w:val="21"/>
                      <w:highlight w:val="none"/>
                      <w:lang w:val="en-US" w:eastAsia="zh-CN"/>
                    </w:rPr>
                  </w:pPr>
                  <w:r>
                    <w:rPr>
                      <w:rFonts w:hint="eastAsia"/>
                      <w:b w:val="0"/>
                      <w:color w:val="auto"/>
                      <w:kern w:val="0"/>
                      <w:szCs w:val="21"/>
                      <w:highlight w:val="none"/>
                      <w:lang w:val="en-US" w:eastAsia="zh-CN"/>
                    </w:rPr>
                    <w:t>/</w:t>
                  </w:r>
                </w:p>
              </w:tc>
              <w:tc>
                <w:tcPr>
                  <w:tcW w:w="2514" w:type="dxa"/>
                  <w:noWrap w:val="0"/>
                  <w:vAlign w:val="center"/>
                </w:tcPr>
                <w:p w14:paraId="42FC9C79">
                  <w:pPr>
                    <w:pStyle w:val="63"/>
                    <w:spacing w:line="240" w:lineRule="exact"/>
                    <w:ind w:firstLine="0" w:firstLineChars="0"/>
                    <w:jc w:val="both"/>
                    <w:rPr>
                      <w:rFonts w:hint="default" w:eastAsia="宋体"/>
                      <w:b w:val="0"/>
                      <w:color w:val="auto"/>
                      <w:kern w:val="0"/>
                      <w:szCs w:val="21"/>
                      <w:highlight w:val="none"/>
                      <w:lang w:val="en-US" w:eastAsia="zh-CN"/>
                    </w:rPr>
                  </w:pPr>
                  <w:r>
                    <w:rPr>
                      <w:rFonts w:hint="eastAsia"/>
                      <w:b w:val="0"/>
                      <w:color w:val="auto"/>
                      <w:kern w:val="0"/>
                      <w:szCs w:val="21"/>
                      <w:highlight w:val="none"/>
                      <w:lang w:val="en-US" w:eastAsia="zh-CN"/>
                    </w:rPr>
                    <w:t>/</w:t>
                  </w:r>
                </w:p>
              </w:tc>
              <w:tc>
                <w:tcPr>
                  <w:tcW w:w="885" w:type="dxa"/>
                  <w:noWrap w:val="0"/>
                  <w:vAlign w:val="center"/>
                </w:tcPr>
                <w:p w14:paraId="58A0A783">
                  <w:pPr>
                    <w:pStyle w:val="63"/>
                    <w:spacing w:line="240" w:lineRule="exact"/>
                    <w:ind w:firstLine="0" w:firstLineChars="0"/>
                    <w:jc w:val="both"/>
                    <w:rPr>
                      <w:rFonts w:hint="eastAsia" w:eastAsia="宋体"/>
                      <w:b w:val="0"/>
                      <w:color w:val="auto"/>
                      <w:kern w:val="0"/>
                      <w:szCs w:val="21"/>
                      <w:highlight w:val="none"/>
                      <w:lang w:eastAsia="zh-CN"/>
                    </w:rPr>
                  </w:pPr>
                  <w:r>
                    <w:rPr>
                      <w:rFonts w:hint="eastAsia"/>
                      <w:b w:val="0"/>
                      <w:color w:val="auto"/>
                      <w:kern w:val="0"/>
                      <w:szCs w:val="21"/>
                      <w:highlight w:val="none"/>
                    </w:rPr>
                    <w:t>/</w:t>
                  </w:r>
                </w:p>
              </w:tc>
            </w:tr>
            <w:tr w14:paraId="2A600E9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850" w:type="dxa"/>
                  <w:vMerge w:val="continue"/>
                  <w:noWrap w:val="0"/>
                  <w:vAlign w:val="center"/>
                </w:tcPr>
                <w:p w14:paraId="6F87C77E">
                  <w:pPr>
                    <w:pStyle w:val="63"/>
                    <w:spacing w:line="240" w:lineRule="exact"/>
                    <w:jc w:val="center"/>
                    <w:rPr>
                      <w:b w:val="0"/>
                      <w:color w:val="auto"/>
                      <w:kern w:val="0"/>
                      <w:szCs w:val="21"/>
                      <w:highlight w:val="none"/>
                    </w:rPr>
                  </w:pPr>
                </w:p>
              </w:tc>
              <w:tc>
                <w:tcPr>
                  <w:tcW w:w="616" w:type="dxa"/>
                  <w:vMerge w:val="continue"/>
                  <w:noWrap w:val="0"/>
                  <w:vAlign w:val="center"/>
                </w:tcPr>
                <w:p w14:paraId="747708BB">
                  <w:pPr>
                    <w:pStyle w:val="63"/>
                    <w:spacing w:line="240" w:lineRule="exact"/>
                    <w:jc w:val="center"/>
                    <w:rPr>
                      <w:rFonts w:hint="eastAsia"/>
                      <w:b w:val="0"/>
                      <w:color w:val="auto"/>
                      <w:kern w:val="0"/>
                      <w:szCs w:val="21"/>
                      <w:highlight w:val="none"/>
                    </w:rPr>
                  </w:pPr>
                </w:p>
              </w:tc>
              <w:tc>
                <w:tcPr>
                  <w:tcW w:w="979" w:type="dxa"/>
                  <w:noWrap w:val="0"/>
                  <w:vAlign w:val="center"/>
                </w:tcPr>
                <w:p w14:paraId="46FB4FB6">
                  <w:pPr>
                    <w:pStyle w:val="63"/>
                    <w:spacing w:line="240" w:lineRule="exact"/>
                    <w:jc w:val="center"/>
                    <w:rPr>
                      <w:b w:val="0"/>
                      <w:color w:val="auto"/>
                      <w:kern w:val="0"/>
                      <w:szCs w:val="21"/>
                      <w:highlight w:val="none"/>
                    </w:rPr>
                  </w:pPr>
                  <w:r>
                    <w:rPr>
                      <w:rFonts w:hint="eastAsia"/>
                      <w:b w:val="0"/>
                      <w:color w:val="auto"/>
                      <w:kern w:val="0"/>
                      <w:szCs w:val="21"/>
                      <w:highlight w:val="none"/>
                    </w:rPr>
                    <w:t>资源开发利用效率要求</w:t>
                  </w:r>
                </w:p>
              </w:tc>
              <w:tc>
                <w:tcPr>
                  <w:tcW w:w="6141" w:type="dxa"/>
                  <w:noWrap w:val="0"/>
                  <w:vAlign w:val="center"/>
                </w:tcPr>
                <w:p w14:paraId="61782657">
                  <w:pPr>
                    <w:pStyle w:val="63"/>
                    <w:spacing w:line="240" w:lineRule="exact"/>
                    <w:jc w:val="both"/>
                    <w:rPr>
                      <w:rFonts w:hint="default" w:eastAsia="宋体"/>
                      <w:b w:val="0"/>
                      <w:color w:val="auto"/>
                      <w:kern w:val="0"/>
                      <w:szCs w:val="21"/>
                      <w:highlight w:val="none"/>
                      <w:lang w:val="en-US" w:eastAsia="zh-CN"/>
                    </w:rPr>
                  </w:pPr>
                  <w:r>
                    <w:rPr>
                      <w:rFonts w:hint="eastAsia"/>
                      <w:b w:val="0"/>
                      <w:color w:val="auto"/>
                      <w:kern w:val="0"/>
                      <w:szCs w:val="21"/>
                      <w:highlight w:val="none"/>
                      <w:lang w:val="en-US" w:eastAsia="zh-CN"/>
                    </w:rPr>
                    <w:t>/</w:t>
                  </w:r>
                </w:p>
              </w:tc>
              <w:tc>
                <w:tcPr>
                  <w:tcW w:w="2514" w:type="dxa"/>
                  <w:noWrap w:val="0"/>
                  <w:vAlign w:val="center"/>
                </w:tcPr>
                <w:p w14:paraId="2492FDDA">
                  <w:pPr>
                    <w:pStyle w:val="63"/>
                    <w:spacing w:line="240" w:lineRule="exact"/>
                    <w:jc w:val="both"/>
                    <w:rPr>
                      <w:rFonts w:hint="default" w:eastAsia="宋体"/>
                      <w:b w:val="0"/>
                      <w:color w:val="auto"/>
                      <w:kern w:val="0"/>
                      <w:szCs w:val="21"/>
                      <w:highlight w:val="none"/>
                      <w:lang w:val="en-US" w:eastAsia="zh-CN"/>
                    </w:rPr>
                  </w:pPr>
                  <w:r>
                    <w:rPr>
                      <w:rFonts w:hint="eastAsia"/>
                      <w:b w:val="0"/>
                      <w:color w:val="auto"/>
                      <w:kern w:val="0"/>
                      <w:szCs w:val="21"/>
                      <w:highlight w:val="none"/>
                      <w:lang w:val="en-US" w:eastAsia="zh-CN"/>
                    </w:rPr>
                    <w:t>/</w:t>
                  </w:r>
                </w:p>
              </w:tc>
              <w:tc>
                <w:tcPr>
                  <w:tcW w:w="885" w:type="dxa"/>
                  <w:noWrap w:val="0"/>
                  <w:vAlign w:val="center"/>
                </w:tcPr>
                <w:p w14:paraId="6F579AE0">
                  <w:pPr>
                    <w:pStyle w:val="63"/>
                    <w:spacing w:line="240" w:lineRule="exact"/>
                    <w:jc w:val="both"/>
                    <w:rPr>
                      <w:rFonts w:hint="eastAsia" w:eastAsia="宋体"/>
                      <w:b w:val="0"/>
                      <w:color w:val="auto"/>
                      <w:kern w:val="0"/>
                      <w:szCs w:val="21"/>
                      <w:highlight w:val="none"/>
                      <w:lang w:eastAsia="zh-CN"/>
                    </w:rPr>
                  </w:pPr>
                  <w:r>
                    <w:rPr>
                      <w:rFonts w:hint="eastAsia"/>
                      <w:b w:val="0"/>
                      <w:color w:val="auto"/>
                      <w:kern w:val="0"/>
                      <w:szCs w:val="21"/>
                      <w:highlight w:val="none"/>
                      <w:lang w:val="en-US" w:eastAsia="zh-CN"/>
                    </w:rPr>
                    <w:t>/</w:t>
                  </w:r>
                </w:p>
              </w:tc>
            </w:tr>
            <w:tr w14:paraId="75B34B2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850" w:type="dxa"/>
                  <w:vMerge w:val="restart"/>
                  <w:noWrap w:val="0"/>
                  <w:vAlign w:val="center"/>
                </w:tcPr>
                <w:p w14:paraId="73EC1627">
                  <w:pPr>
                    <w:pStyle w:val="63"/>
                    <w:spacing w:line="240" w:lineRule="exact"/>
                    <w:jc w:val="center"/>
                    <w:rPr>
                      <w:b w:val="0"/>
                      <w:color w:val="auto"/>
                      <w:kern w:val="0"/>
                      <w:szCs w:val="21"/>
                      <w:highlight w:val="none"/>
                    </w:rPr>
                  </w:pPr>
                  <w:r>
                    <w:rPr>
                      <w:rFonts w:hint="eastAsia"/>
                      <w:b w:val="0"/>
                      <w:color w:val="auto"/>
                      <w:kern w:val="0"/>
                      <w:szCs w:val="21"/>
                      <w:highlight w:val="none"/>
                    </w:rPr>
                    <w:t>通川区城镇开发边界YS5117022530001</w:t>
                  </w:r>
                </w:p>
              </w:tc>
              <w:tc>
                <w:tcPr>
                  <w:tcW w:w="616" w:type="dxa"/>
                  <w:vMerge w:val="restart"/>
                  <w:noWrap w:val="0"/>
                  <w:vAlign w:val="center"/>
                </w:tcPr>
                <w:p w14:paraId="0391092C">
                  <w:pPr>
                    <w:pStyle w:val="63"/>
                    <w:spacing w:line="240" w:lineRule="exact"/>
                    <w:jc w:val="center"/>
                    <w:rPr>
                      <w:rFonts w:hint="eastAsia"/>
                      <w:b w:val="0"/>
                      <w:color w:val="auto"/>
                      <w:kern w:val="0"/>
                      <w:szCs w:val="21"/>
                      <w:highlight w:val="none"/>
                    </w:rPr>
                  </w:pPr>
                  <w:r>
                    <w:rPr>
                      <w:rFonts w:hint="eastAsia"/>
                      <w:b w:val="0"/>
                      <w:color w:val="auto"/>
                      <w:kern w:val="0"/>
                      <w:szCs w:val="21"/>
                      <w:highlight w:val="none"/>
                    </w:rPr>
                    <w:t>单元级清单管控要求</w:t>
                  </w:r>
                </w:p>
              </w:tc>
              <w:tc>
                <w:tcPr>
                  <w:tcW w:w="979" w:type="dxa"/>
                  <w:noWrap w:val="0"/>
                  <w:vAlign w:val="center"/>
                </w:tcPr>
                <w:p w14:paraId="7C5610B4">
                  <w:pPr>
                    <w:pStyle w:val="63"/>
                    <w:spacing w:line="240" w:lineRule="exact"/>
                    <w:jc w:val="center"/>
                    <w:rPr>
                      <w:b w:val="0"/>
                      <w:color w:val="auto"/>
                      <w:kern w:val="0"/>
                      <w:szCs w:val="21"/>
                      <w:highlight w:val="none"/>
                    </w:rPr>
                  </w:pPr>
                  <w:r>
                    <w:rPr>
                      <w:b w:val="0"/>
                      <w:color w:val="auto"/>
                      <w:kern w:val="0"/>
                      <w:szCs w:val="21"/>
                      <w:highlight w:val="none"/>
                    </w:rPr>
                    <w:t>空间布局约束</w:t>
                  </w:r>
                </w:p>
              </w:tc>
              <w:tc>
                <w:tcPr>
                  <w:tcW w:w="6141" w:type="dxa"/>
                  <w:noWrap w:val="0"/>
                  <w:vAlign w:val="center"/>
                </w:tcPr>
                <w:p w14:paraId="36F86A99">
                  <w:pPr>
                    <w:pStyle w:val="63"/>
                    <w:spacing w:line="240" w:lineRule="exact"/>
                    <w:jc w:val="both"/>
                    <w:rPr>
                      <w:rFonts w:hint="default" w:eastAsia="宋体"/>
                      <w:b w:val="0"/>
                      <w:color w:val="auto"/>
                      <w:kern w:val="0"/>
                      <w:szCs w:val="21"/>
                      <w:highlight w:val="none"/>
                      <w:lang w:val="en-US" w:eastAsia="zh-CN"/>
                    </w:rPr>
                  </w:pPr>
                  <w:r>
                    <w:rPr>
                      <w:rFonts w:hint="default" w:eastAsia="宋体"/>
                      <w:b w:val="0"/>
                      <w:color w:val="auto"/>
                      <w:kern w:val="0"/>
                      <w:szCs w:val="21"/>
                      <w:highlight w:val="none"/>
                      <w:lang w:val="en-US" w:eastAsia="zh-CN"/>
                    </w:rPr>
                    <w:t>1.以城镇开发建设现状为基础，综合考虑资源承载能力、人口分布、经济布局、城乡统筹、城镇无序蔓延科学预留一定比例的留白区，为未来发展留有开发空间城镇建设和发展不得违法违规侵占河道、湖面、滩地</w:t>
                  </w:r>
                  <w:r>
                    <w:rPr>
                      <w:rFonts w:hint="eastAsia"/>
                      <w:b w:val="0"/>
                      <w:color w:val="auto"/>
                      <w:kern w:val="0"/>
                      <w:szCs w:val="21"/>
                      <w:highlight w:val="none"/>
                      <w:lang w:val="en-US" w:eastAsia="zh-CN"/>
                    </w:rPr>
                    <w:t>；</w:t>
                  </w:r>
                  <w:r>
                    <w:rPr>
                      <w:rFonts w:hint="default" w:eastAsia="宋体"/>
                      <w:b w:val="0"/>
                      <w:color w:val="auto"/>
                      <w:kern w:val="0"/>
                      <w:szCs w:val="21"/>
                      <w:highlight w:val="none"/>
                      <w:lang w:val="en-US" w:eastAsia="zh-CN"/>
                    </w:rPr>
                    <w:t>2.城镇开发边界调整报国土空间规划原审批机关审批</w:t>
                  </w:r>
                </w:p>
              </w:tc>
              <w:tc>
                <w:tcPr>
                  <w:tcW w:w="2514" w:type="dxa"/>
                  <w:noWrap w:val="0"/>
                  <w:vAlign w:val="center"/>
                </w:tcPr>
                <w:p w14:paraId="3F3050A5">
                  <w:pPr>
                    <w:pStyle w:val="63"/>
                    <w:spacing w:line="240" w:lineRule="exact"/>
                    <w:jc w:val="both"/>
                    <w:rPr>
                      <w:rFonts w:hint="default" w:eastAsia="宋体"/>
                      <w:b w:val="0"/>
                      <w:color w:val="auto"/>
                      <w:kern w:val="0"/>
                      <w:szCs w:val="21"/>
                      <w:highlight w:val="none"/>
                      <w:lang w:val="en-US" w:eastAsia="zh-CN"/>
                    </w:rPr>
                  </w:pPr>
                  <w:r>
                    <w:rPr>
                      <w:rFonts w:hint="eastAsia"/>
                      <w:b w:val="0"/>
                      <w:color w:val="auto"/>
                      <w:kern w:val="0"/>
                      <w:szCs w:val="21"/>
                      <w:highlight w:val="none"/>
                      <w:lang w:val="en-US" w:eastAsia="zh-CN"/>
                    </w:rPr>
                    <w:t>本项目选址位于工业园区内，不涉及违规侵占河道、湖面、滩地</w:t>
                  </w:r>
                </w:p>
              </w:tc>
              <w:tc>
                <w:tcPr>
                  <w:tcW w:w="885" w:type="dxa"/>
                  <w:noWrap w:val="0"/>
                  <w:vAlign w:val="center"/>
                </w:tcPr>
                <w:p w14:paraId="03854186">
                  <w:pPr>
                    <w:pStyle w:val="63"/>
                    <w:spacing w:line="240" w:lineRule="exact"/>
                    <w:jc w:val="both"/>
                    <w:rPr>
                      <w:rFonts w:hint="eastAsia" w:eastAsia="宋体"/>
                      <w:b w:val="0"/>
                      <w:color w:val="auto"/>
                      <w:kern w:val="0"/>
                      <w:szCs w:val="21"/>
                      <w:highlight w:val="none"/>
                      <w:lang w:val="en-US" w:eastAsia="zh-CN"/>
                    </w:rPr>
                  </w:pPr>
                  <w:r>
                    <w:rPr>
                      <w:rFonts w:hint="eastAsia"/>
                      <w:b w:val="0"/>
                      <w:color w:val="auto"/>
                      <w:kern w:val="0"/>
                      <w:szCs w:val="21"/>
                      <w:highlight w:val="none"/>
                      <w:lang w:val="en-US" w:eastAsia="zh-CN"/>
                    </w:rPr>
                    <w:t>符合</w:t>
                  </w:r>
                </w:p>
              </w:tc>
            </w:tr>
            <w:tr w14:paraId="0162B65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850" w:type="dxa"/>
                  <w:vMerge w:val="continue"/>
                  <w:noWrap w:val="0"/>
                  <w:vAlign w:val="center"/>
                </w:tcPr>
                <w:p w14:paraId="7722ADDD">
                  <w:pPr>
                    <w:pStyle w:val="63"/>
                    <w:spacing w:line="240" w:lineRule="exact"/>
                    <w:jc w:val="center"/>
                    <w:rPr>
                      <w:b w:val="0"/>
                      <w:color w:val="auto"/>
                      <w:kern w:val="0"/>
                      <w:szCs w:val="21"/>
                      <w:highlight w:val="none"/>
                    </w:rPr>
                  </w:pPr>
                </w:p>
              </w:tc>
              <w:tc>
                <w:tcPr>
                  <w:tcW w:w="616" w:type="dxa"/>
                  <w:vMerge w:val="continue"/>
                  <w:noWrap w:val="0"/>
                  <w:vAlign w:val="center"/>
                </w:tcPr>
                <w:p w14:paraId="2991CB3F">
                  <w:pPr>
                    <w:pStyle w:val="63"/>
                    <w:spacing w:line="240" w:lineRule="exact"/>
                    <w:jc w:val="center"/>
                    <w:rPr>
                      <w:rFonts w:hint="eastAsia"/>
                      <w:b w:val="0"/>
                      <w:color w:val="auto"/>
                      <w:kern w:val="0"/>
                      <w:szCs w:val="21"/>
                      <w:highlight w:val="none"/>
                    </w:rPr>
                  </w:pPr>
                </w:p>
              </w:tc>
              <w:tc>
                <w:tcPr>
                  <w:tcW w:w="979" w:type="dxa"/>
                  <w:noWrap w:val="0"/>
                  <w:vAlign w:val="center"/>
                </w:tcPr>
                <w:p w14:paraId="1FD72E5B">
                  <w:pPr>
                    <w:pStyle w:val="63"/>
                    <w:spacing w:line="240" w:lineRule="exact"/>
                    <w:jc w:val="center"/>
                    <w:rPr>
                      <w:b w:val="0"/>
                      <w:color w:val="auto"/>
                      <w:kern w:val="0"/>
                      <w:szCs w:val="21"/>
                      <w:highlight w:val="none"/>
                    </w:rPr>
                  </w:pPr>
                  <w:r>
                    <w:rPr>
                      <w:rFonts w:hint="eastAsia"/>
                      <w:b w:val="0"/>
                      <w:color w:val="auto"/>
                      <w:kern w:val="0"/>
                      <w:szCs w:val="21"/>
                      <w:highlight w:val="none"/>
                    </w:rPr>
                    <w:t>污染物排放管控</w:t>
                  </w:r>
                </w:p>
              </w:tc>
              <w:tc>
                <w:tcPr>
                  <w:tcW w:w="6141" w:type="dxa"/>
                  <w:noWrap w:val="0"/>
                  <w:vAlign w:val="center"/>
                </w:tcPr>
                <w:p w14:paraId="336CB7BE">
                  <w:pPr>
                    <w:pStyle w:val="63"/>
                    <w:spacing w:line="240" w:lineRule="exact"/>
                    <w:ind w:firstLine="0" w:firstLineChars="0"/>
                    <w:jc w:val="both"/>
                    <w:rPr>
                      <w:rFonts w:hint="default" w:eastAsia="宋体"/>
                      <w:b w:val="0"/>
                      <w:color w:val="auto"/>
                      <w:kern w:val="0"/>
                      <w:szCs w:val="21"/>
                      <w:highlight w:val="none"/>
                      <w:lang w:val="en-US" w:eastAsia="zh-CN"/>
                    </w:rPr>
                  </w:pPr>
                  <w:r>
                    <w:rPr>
                      <w:rFonts w:hint="eastAsia"/>
                      <w:b w:val="0"/>
                      <w:color w:val="auto"/>
                      <w:kern w:val="0"/>
                      <w:szCs w:val="21"/>
                      <w:highlight w:val="none"/>
                      <w:lang w:val="en-US" w:eastAsia="zh-CN"/>
                    </w:rPr>
                    <w:t>/</w:t>
                  </w:r>
                </w:p>
              </w:tc>
              <w:tc>
                <w:tcPr>
                  <w:tcW w:w="2514" w:type="dxa"/>
                  <w:noWrap w:val="0"/>
                  <w:vAlign w:val="center"/>
                </w:tcPr>
                <w:p w14:paraId="358ED230">
                  <w:pPr>
                    <w:pStyle w:val="63"/>
                    <w:spacing w:line="240" w:lineRule="exact"/>
                    <w:ind w:firstLine="0" w:firstLineChars="0"/>
                    <w:jc w:val="both"/>
                    <w:rPr>
                      <w:rFonts w:hint="default" w:eastAsia="宋体"/>
                      <w:b w:val="0"/>
                      <w:color w:val="auto"/>
                      <w:kern w:val="0"/>
                      <w:szCs w:val="21"/>
                      <w:highlight w:val="none"/>
                      <w:lang w:val="en-US" w:eastAsia="zh-CN"/>
                    </w:rPr>
                  </w:pPr>
                  <w:r>
                    <w:rPr>
                      <w:rFonts w:hint="eastAsia"/>
                      <w:b w:val="0"/>
                      <w:color w:val="auto"/>
                      <w:kern w:val="0"/>
                      <w:szCs w:val="21"/>
                      <w:highlight w:val="none"/>
                      <w:lang w:val="en-US" w:eastAsia="zh-CN"/>
                    </w:rPr>
                    <w:t>/</w:t>
                  </w:r>
                </w:p>
              </w:tc>
              <w:tc>
                <w:tcPr>
                  <w:tcW w:w="885" w:type="dxa"/>
                  <w:noWrap w:val="0"/>
                  <w:vAlign w:val="center"/>
                </w:tcPr>
                <w:p w14:paraId="7EAAF290">
                  <w:pPr>
                    <w:pStyle w:val="63"/>
                    <w:spacing w:line="240" w:lineRule="exact"/>
                    <w:ind w:firstLine="0" w:firstLineChars="0"/>
                    <w:jc w:val="both"/>
                    <w:rPr>
                      <w:rFonts w:hint="eastAsia"/>
                      <w:b w:val="0"/>
                      <w:color w:val="auto"/>
                      <w:kern w:val="0"/>
                      <w:szCs w:val="21"/>
                      <w:highlight w:val="none"/>
                    </w:rPr>
                  </w:pPr>
                  <w:r>
                    <w:rPr>
                      <w:rFonts w:hint="eastAsia"/>
                      <w:b w:val="0"/>
                      <w:color w:val="auto"/>
                      <w:kern w:val="0"/>
                      <w:szCs w:val="21"/>
                      <w:highlight w:val="none"/>
                    </w:rPr>
                    <w:t>/</w:t>
                  </w:r>
                </w:p>
              </w:tc>
            </w:tr>
            <w:tr w14:paraId="05B66AA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850" w:type="dxa"/>
                  <w:vMerge w:val="continue"/>
                  <w:noWrap w:val="0"/>
                  <w:vAlign w:val="center"/>
                </w:tcPr>
                <w:p w14:paraId="405115E5">
                  <w:pPr>
                    <w:pStyle w:val="63"/>
                    <w:spacing w:line="240" w:lineRule="exact"/>
                    <w:jc w:val="center"/>
                    <w:rPr>
                      <w:b w:val="0"/>
                      <w:color w:val="auto"/>
                      <w:kern w:val="0"/>
                      <w:szCs w:val="21"/>
                      <w:highlight w:val="none"/>
                    </w:rPr>
                  </w:pPr>
                </w:p>
              </w:tc>
              <w:tc>
                <w:tcPr>
                  <w:tcW w:w="616" w:type="dxa"/>
                  <w:vMerge w:val="continue"/>
                  <w:noWrap w:val="0"/>
                  <w:vAlign w:val="center"/>
                </w:tcPr>
                <w:p w14:paraId="5EE243BC">
                  <w:pPr>
                    <w:pStyle w:val="63"/>
                    <w:spacing w:line="240" w:lineRule="exact"/>
                    <w:jc w:val="center"/>
                    <w:rPr>
                      <w:rFonts w:hint="eastAsia"/>
                      <w:b w:val="0"/>
                      <w:color w:val="auto"/>
                      <w:kern w:val="0"/>
                      <w:szCs w:val="21"/>
                      <w:highlight w:val="none"/>
                    </w:rPr>
                  </w:pPr>
                </w:p>
              </w:tc>
              <w:tc>
                <w:tcPr>
                  <w:tcW w:w="979" w:type="dxa"/>
                  <w:noWrap w:val="0"/>
                  <w:vAlign w:val="center"/>
                </w:tcPr>
                <w:p w14:paraId="717E9E7A">
                  <w:pPr>
                    <w:pStyle w:val="63"/>
                    <w:spacing w:line="240" w:lineRule="exact"/>
                    <w:jc w:val="center"/>
                    <w:rPr>
                      <w:b w:val="0"/>
                      <w:color w:val="auto"/>
                      <w:kern w:val="0"/>
                      <w:szCs w:val="21"/>
                      <w:highlight w:val="none"/>
                    </w:rPr>
                  </w:pPr>
                  <w:r>
                    <w:rPr>
                      <w:rFonts w:hint="eastAsia"/>
                      <w:b w:val="0"/>
                      <w:color w:val="auto"/>
                      <w:kern w:val="0"/>
                      <w:szCs w:val="21"/>
                      <w:highlight w:val="none"/>
                    </w:rPr>
                    <w:t>环境风险防控</w:t>
                  </w:r>
                </w:p>
              </w:tc>
              <w:tc>
                <w:tcPr>
                  <w:tcW w:w="6141" w:type="dxa"/>
                  <w:noWrap w:val="0"/>
                  <w:vAlign w:val="center"/>
                </w:tcPr>
                <w:p w14:paraId="0EBB602D">
                  <w:pPr>
                    <w:pStyle w:val="63"/>
                    <w:spacing w:line="240" w:lineRule="exact"/>
                    <w:ind w:firstLine="0" w:firstLineChars="0"/>
                    <w:jc w:val="both"/>
                    <w:rPr>
                      <w:rFonts w:hint="default" w:eastAsia="宋体"/>
                      <w:b w:val="0"/>
                      <w:color w:val="auto"/>
                      <w:kern w:val="0"/>
                      <w:szCs w:val="21"/>
                      <w:highlight w:val="none"/>
                      <w:lang w:val="en-US" w:eastAsia="zh-CN"/>
                    </w:rPr>
                  </w:pPr>
                  <w:r>
                    <w:rPr>
                      <w:rFonts w:hint="eastAsia"/>
                      <w:b w:val="0"/>
                      <w:color w:val="auto"/>
                      <w:kern w:val="0"/>
                      <w:szCs w:val="21"/>
                      <w:highlight w:val="none"/>
                      <w:lang w:val="en-US" w:eastAsia="zh-CN"/>
                    </w:rPr>
                    <w:t>/</w:t>
                  </w:r>
                </w:p>
              </w:tc>
              <w:tc>
                <w:tcPr>
                  <w:tcW w:w="2514" w:type="dxa"/>
                  <w:noWrap w:val="0"/>
                  <w:vAlign w:val="center"/>
                </w:tcPr>
                <w:p w14:paraId="5449A61A">
                  <w:pPr>
                    <w:pStyle w:val="63"/>
                    <w:spacing w:line="240" w:lineRule="exact"/>
                    <w:ind w:firstLine="0" w:firstLineChars="0"/>
                    <w:jc w:val="both"/>
                    <w:rPr>
                      <w:rFonts w:hint="default" w:eastAsia="宋体"/>
                      <w:b w:val="0"/>
                      <w:color w:val="auto"/>
                      <w:kern w:val="0"/>
                      <w:szCs w:val="21"/>
                      <w:highlight w:val="none"/>
                      <w:lang w:val="en-US" w:eastAsia="zh-CN"/>
                    </w:rPr>
                  </w:pPr>
                  <w:r>
                    <w:rPr>
                      <w:rFonts w:hint="eastAsia"/>
                      <w:b w:val="0"/>
                      <w:color w:val="auto"/>
                      <w:kern w:val="0"/>
                      <w:szCs w:val="21"/>
                      <w:highlight w:val="none"/>
                      <w:lang w:val="en-US" w:eastAsia="zh-CN"/>
                    </w:rPr>
                    <w:t>/</w:t>
                  </w:r>
                </w:p>
              </w:tc>
              <w:tc>
                <w:tcPr>
                  <w:tcW w:w="885" w:type="dxa"/>
                  <w:noWrap w:val="0"/>
                  <w:vAlign w:val="center"/>
                </w:tcPr>
                <w:p w14:paraId="13E03CB0">
                  <w:pPr>
                    <w:pStyle w:val="63"/>
                    <w:spacing w:line="240" w:lineRule="exact"/>
                    <w:ind w:firstLine="0" w:firstLineChars="0"/>
                    <w:jc w:val="both"/>
                    <w:rPr>
                      <w:rFonts w:hint="eastAsia"/>
                      <w:b w:val="0"/>
                      <w:color w:val="auto"/>
                      <w:kern w:val="0"/>
                      <w:szCs w:val="21"/>
                      <w:highlight w:val="none"/>
                    </w:rPr>
                  </w:pPr>
                  <w:r>
                    <w:rPr>
                      <w:rFonts w:hint="eastAsia"/>
                      <w:b w:val="0"/>
                      <w:color w:val="auto"/>
                      <w:kern w:val="0"/>
                      <w:szCs w:val="21"/>
                      <w:highlight w:val="none"/>
                      <w:lang w:val="en-US" w:eastAsia="zh-CN"/>
                    </w:rPr>
                    <w:t>/</w:t>
                  </w:r>
                </w:p>
              </w:tc>
            </w:tr>
            <w:tr w14:paraId="0BCDFA9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850" w:type="dxa"/>
                  <w:vMerge w:val="continue"/>
                  <w:noWrap w:val="0"/>
                  <w:vAlign w:val="center"/>
                </w:tcPr>
                <w:p w14:paraId="399053FF">
                  <w:pPr>
                    <w:pStyle w:val="63"/>
                    <w:spacing w:line="240" w:lineRule="exact"/>
                    <w:jc w:val="center"/>
                    <w:rPr>
                      <w:b w:val="0"/>
                      <w:color w:val="auto"/>
                      <w:kern w:val="0"/>
                      <w:szCs w:val="21"/>
                      <w:highlight w:val="none"/>
                    </w:rPr>
                  </w:pPr>
                </w:p>
              </w:tc>
              <w:tc>
                <w:tcPr>
                  <w:tcW w:w="616" w:type="dxa"/>
                  <w:vMerge w:val="continue"/>
                  <w:noWrap w:val="0"/>
                  <w:vAlign w:val="center"/>
                </w:tcPr>
                <w:p w14:paraId="4A8B58BF">
                  <w:pPr>
                    <w:pStyle w:val="63"/>
                    <w:spacing w:line="240" w:lineRule="exact"/>
                    <w:jc w:val="center"/>
                    <w:rPr>
                      <w:rFonts w:hint="eastAsia"/>
                      <w:b w:val="0"/>
                      <w:color w:val="auto"/>
                      <w:kern w:val="0"/>
                      <w:szCs w:val="21"/>
                      <w:highlight w:val="none"/>
                    </w:rPr>
                  </w:pPr>
                </w:p>
              </w:tc>
              <w:tc>
                <w:tcPr>
                  <w:tcW w:w="979" w:type="dxa"/>
                  <w:noWrap w:val="0"/>
                  <w:vAlign w:val="center"/>
                </w:tcPr>
                <w:p w14:paraId="3795F397">
                  <w:pPr>
                    <w:pStyle w:val="63"/>
                    <w:spacing w:line="240" w:lineRule="exact"/>
                    <w:jc w:val="center"/>
                    <w:rPr>
                      <w:b w:val="0"/>
                      <w:color w:val="auto"/>
                      <w:kern w:val="0"/>
                      <w:szCs w:val="21"/>
                      <w:highlight w:val="none"/>
                    </w:rPr>
                  </w:pPr>
                  <w:r>
                    <w:rPr>
                      <w:rFonts w:hint="eastAsia"/>
                      <w:b w:val="0"/>
                      <w:color w:val="auto"/>
                      <w:kern w:val="0"/>
                      <w:szCs w:val="21"/>
                      <w:highlight w:val="none"/>
                    </w:rPr>
                    <w:t>资源开发利用效率要求</w:t>
                  </w:r>
                </w:p>
              </w:tc>
              <w:tc>
                <w:tcPr>
                  <w:tcW w:w="6141" w:type="dxa"/>
                  <w:noWrap w:val="0"/>
                  <w:vAlign w:val="center"/>
                </w:tcPr>
                <w:p w14:paraId="7E1244B3">
                  <w:pPr>
                    <w:pStyle w:val="63"/>
                    <w:spacing w:line="240" w:lineRule="exact"/>
                    <w:jc w:val="both"/>
                    <w:rPr>
                      <w:rFonts w:hint="eastAsia"/>
                      <w:b/>
                      <w:bCs/>
                      <w:color w:val="auto"/>
                      <w:kern w:val="0"/>
                      <w:szCs w:val="21"/>
                      <w:highlight w:val="none"/>
                    </w:rPr>
                  </w:pPr>
                  <w:r>
                    <w:rPr>
                      <w:rFonts w:hint="eastAsia"/>
                      <w:b/>
                      <w:bCs/>
                      <w:color w:val="auto"/>
                      <w:kern w:val="0"/>
                      <w:szCs w:val="21"/>
                      <w:highlight w:val="none"/>
                    </w:rPr>
                    <w:t>土地资源开发效率要求</w:t>
                  </w:r>
                </w:p>
                <w:p w14:paraId="5FE45361">
                  <w:pPr>
                    <w:pStyle w:val="63"/>
                    <w:spacing w:line="240" w:lineRule="exact"/>
                    <w:jc w:val="both"/>
                    <w:rPr>
                      <w:rFonts w:hint="eastAsia"/>
                      <w:b w:val="0"/>
                      <w:color w:val="auto"/>
                      <w:kern w:val="0"/>
                      <w:szCs w:val="21"/>
                      <w:highlight w:val="none"/>
                    </w:rPr>
                  </w:pPr>
                  <w:r>
                    <w:rPr>
                      <w:rFonts w:hint="eastAsia"/>
                      <w:b w:val="0"/>
                      <w:color w:val="auto"/>
                      <w:kern w:val="0"/>
                      <w:szCs w:val="21"/>
                      <w:highlight w:val="none"/>
                      <w:lang w:val="en-US" w:eastAsia="zh-CN"/>
                    </w:rPr>
                    <w:t>-</w:t>
                  </w:r>
                  <w:r>
                    <w:rPr>
                      <w:rFonts w:hint="eastAsia"/>
                      <w:b w:val="0"/>
                      <w:color w:val="auto"/>
                      <w:kern w:val="0"/>
                      <w:szCs w:val="21"/>
                      <w:highlight w:val="none"/>
                    </w:rPr>
                    <w:t>土地资源开发利用量不得超过土地资源利用上线控制性指标。</w:t>
                  </w:r>
                </w:p>
                <w:p w14:paraId="4B6DCF02">
                  <w:pPr>
                    <w:pStyle w:val="63"/>
                    <w:spacing w:line="240" w:lineRule="exact"/>
                    <w:jc w:val="both"/>
                    <w:rPr>
                      <w:rFonts w:hint="eastAsia"/>
                      <w:b/>
                      <w:bCs/>
                      <w:color w:val="auto"/>
                      <w:kern w:val="0"/>
                      <w:szCs w:val="21"/>
                      <w:highlight w:val="none"/>
                    </w:rPr>
                  </w:pPr>
                  <w:r>
                    <w:rPr>
                      <w:rFonts w:hint="eastAsia"/>
                      <w:b/>
                      <w:bCs/>
                      <w:color w:val="auto"/>
                      <w:kern w:val="0"/>
                      <w:szCs w:val="21"/>
                      <w:highlight w:val="none"/>
                    </w:rPr>
                    <w:t>能源资源开发效率要求</w:t>
                  </w:r>
                </w:p>
                <w:p w14:paraId="1B722103">
                  <w:pPr>
                    <w:pStyle w:val="63"/>
                    <w:spacing w:line="240" w:lineRule="exact"/>
                    <w:jc w:val="both"/>
                    <w:rPr>
                      <w:b w:val="0"/>
                      <w:color w:val="auto"/>
                      <w:kern w:val="0"/>
                      <w:szCs w:val="21"/>
                      <w:highlight w:val="none"/>
                    </w:rPr>
                  </w:pPr>
                  <w:r>
                    <w:rPr>
                      <w:rFonts w:hint="eastAsia"/>
                      <w:b/>
                      <w:bCs/>
                      <w:color w:val="auto"/>
                      <w:kern w:val="0"/>
                      <w:szCs w:val="21"/>
                      <w:highlight w:val="none"/>
                    </w:rPr>
                    <w:t>其他资源开发效率要求</w:t>
                  </w:r>
                </w:p>
              </w:tc>
              <w:tc>
                <w:tcPr>
                  <w:tcW w:w="2514" w:type="dxa"/>
                  <w:noWrap w:val="0"/>
                  <w:vAlign w:val="center"/>
                </w:tcPr>
                <w:p w14:paraId="51BD1691">
                  <w:pPr>
                    <w:pStyle w:val="63"/>
                    <w:spacing w:line="240" w:lineRule="exact"/>
                    <w:jc w:val="both"/>
                    <w:rPr>
                      <w:rFonts w:hint="default" w:eastAsia="宋体"/>
                      <w:b w:val="0"/>
                      <w:color w:val="auto"/>
                      <w:kern w:val="0"/>
                      <w:szCs w:val="21"/>
                      <w:highlight w:val="none"/>
                      <w:lang w:val="en-US" w:eastAsia="zh-CN"/>
                    </w:rPr>
                  </w:pPr>
                  <w:r>
                    <w:rPr>
                      <w:rFonts w:hint="eastAsia"/>
                      <w:b w:val="0"/>
                      <w:color w:val="auto"/>
                      <w:kern w:val="0"/>
                      <w:szCs w:val="21"/>
                      <w:highlight w:val="none"/>
                      <w:lang w:val="en-US" w:eastAsia="zh-CN"/>
                    </w:rPr>
                    <w:t>本项目用地属于规划的工业用地，土地资源开发利用量不会超过土地资源利用上线控制性指标</w:t>
                  </w:r>
                </w:p>
              </w:tc>
              <w:tc>
                <w:tcPr>
                  <w:tcW w:w="885" w:type="dxa"/>
                  <w:noWrap w:val="0"/>
                  <w:vAlign w:val="center"/>
                </w:tcPr>
                <w:p w14:paraId="3EB196F7">
                  <w:pPr>
                    <w:pStyle w:val="63"/>
                    <w:spacing w:line="240" w:lineRule="exact"/>
                    <w:jc w:val="both"/>
                    <w:rPr>
                      <w:rFonts w:hint="default" w:eastAsia="宋体"/>
                      <w:b w:val="0"/>
                      <w:color w:val="auto"/>
                      <w:kern w:val="0"/>
                      <w:szCs w:val="21"/>
                      <w:highlight w:val="none"/>
                      <w:lang w:val="en-US" w:eastAsia="zh-CN"/>
                    </w:rPr>
                  </w:pPr>
                  <w:r>
                    <w:rPr>
                      <w:rFonts w:hint="eastAsia"/>
                      <w:b w:val="0"/>
                      <w:color w:val="auto"/>
                      <w:kern w:val="0"/>
                      <w:szCs w:val="21"/>
                      <w:highlight w:val="none"/>
                      <w:lang w:val="en-US" w:eastAsia="zh-CN"/>
                    </w:rPr>
                    <w:t>符合</w:t>
                  </w:r>
                </w:p>
              </w:tc>
            </w:tr>
            <w:tr w14:paraId="02E4D09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850" w:type="dxa"/>
                  <w:vMerge w:val="restart"/>
                  <w:noWrap w:val="0"/>
                  <w:vAlign w:val="center"/>
                </w:tcPr>
                <w:p w14:paraId="0FBEE2EB">
                  <w:pPr>
                    <w:pStyle w:val="63"/>
                    <w:spacing w:line="240" w:lineRule="exact"/>
                    <w:jc w:val="center"/>
                    <w:rPr>
                      <w:b w:val="0"/>
                      <w:color w:val="auto"/>
                      <w:kern w:val="0"/>
                      <w:szCs w:val="21"/>
                      <w:highlight w:val="none"/>
                    </w:rPr>
                  </w:pPr>
                  <w:r>
                    <w:rPr>
                      <w:rFonts w:hint="eastAsia"/>
                      <w:b w:val="0"/>
                      <w:color w:val="auto"/>
                      <w:kern w:val="0"/>
                      <w:szCs w:val="21"/>
                      <w:highlight w:val="none"/>
                    </w:rPr>
                    <w:t>通川区自然资源重点管控区YS5117022550001</w:t>
                  </w:r>
                </w:p>
              </w:tc>
              <w:tc>
                <w:tcPr>
                  <w:tcW w:w="616" w:type="dxa"/>
                  <w:vMerge w:val="restart"/>
                  <w:noWrap w:val="0"/>
                  <w:vAlign w:val="center"/>
                </w:tcPr>
                <w:p w14:paraId="37160678">
                  <w:pPr>
                    <w:pStyle w:val="63"/>
                    <w:spacing w:line="240" w:lineRule="exact"/>
                    <w:jc w:val="center"/>
                    <w:rPr>
                      <w:rFonts w:hint="eastAsia"/>
                      <w:b w:val="0"/>
                      <w:color w:val="auto"/>
                      <w:kern w:val="0"/>
                      <w:szCs w:val="21"/>
                      <w:highlight w:val="none"/>
                    </w:rPr>
                  </w:pPr>
                  <w:r>
                    <w:rPr>
                      <w:rFonts w:hint="eastAsia"/>
                      <w:b w:val="0"/>
                      <w:color w:val="auto"/>
                      <w:kern w:val="0"/>
                      <w:szCs w:val="21"/>
                      <w:highlight w:val="none"/>
                    </w:rPr>
                    <w:t>单元级清单管控要求</w:t>
                  </w:r>
                </w:p>
              </w:tc>
              <w:tc>
                <w:tcPr>
                  <w:tcW w:w="979" w:type="dxa"/>
                  <w:noWrap w:val="0"/>
                  <w:vAlign w:val="center"/>
                </w:tcPr>
                <w:p w14:paraId="39B7ED91">
                  <w:pPr>
                    <w:pStyle w:val="63"/>
                    <w:spacing w:line="240" w:lineRule="exact"/>
                    <w:jc w:val="center"/>
                    <w:rPr>
                      <w:rFonts w:hint="eastAsia"/>
                      <w:b w:val="0"/>
                      <w:color w:val="auto"/>
                      <w:kern w:val="0"/>
                      <w:szCs w:val="21"/>
                      <w:highlight w:val="none"/>
                    </w:rPr>
                  </w:pPr>
                  <w:r>
                    <w:rPr>
                      <w:b w:val="0"/>
                      <w:color w:val="auto"/>
                      <w:kern w:val="0"/>
                      <w:szCs w:val="21"/>
                      <w:highlight w:val="none"/>
                    </w:rPr>
                    <w:t>空间布局约束</w:t>
                  </w:r>
                </w:p>
              </w:tc>
              <w:tc>
                <w:tcPr>
                  <w:tcW w:w="6141" w:type="dxa"/>
                  <w:noWrap w:val="0"/>
                  <w:vAlign w:val="center"/>
                </w:tcPr>
                <w:p w14:paraId="5F9EAB19">
                  <w:pPr>
                    <w:pStyle w:val="63"/>
                    <w:spacing w:line="240" w:lineRule="exact"/>
                    <w:ind w:firstLine="0" w:firstLineChars="0"/>
                    <w:jc w:val="both"/>
                    <w:rPr>
                      <w:rFonts w:hint="default"/>
                      <w:b/>
                      <w:bCs/>
                      <w:color w:val="auto"/>
                      <w:kern w:val="0"/>
                      <w:szCs w:val="21"/>
                      <w:highlight w:val="none"/>
                      <w:lang w:val="en-US" w:eastAsia="zh-CN"/>
                    </w:rPr>
                  </w:pPr>
                  <w:r>
                    <w:rPr>
                      <w:rFonts w:hint="eastAsia"/>
                      <w:b/>
                      <w:bCs/>
                      <w:color w:val="auto"/>
                      <w:kern w:val="0"/>
                      <w:szCs w:val="21"/>
                      <w:highlight w:val="none"/>
                      <w:lang w:val="en-US" w:eastAsia="zh-CN"/>
                    </w:rPr>
                    <w:t>/</w:t>
                  </w:r>
                </w:p>
              </w:tc>
              <w:tc>
                <w:tcPr>
                  <w:tcW w:w="2514" w:type="dxa"/>
                  <w:noWrap w:val="0"/>
                  <w:vAlign w:val="center"/>
                </w:tcPr>
                <w:p w14:paraId="3FAFAAA5">
                  <w:pPr>
                    <w:pStyle w:val="63"/>
                    <w:spacing w:line="240" w:lineRule="exact"/>
                    <w:ind w:firstLine="0" w:firstLineChars="0"/>
                    <w:jc w:val="both"/>
                    <w:rPr>
                      <w:rFonts w:hint="default" w:eastAsia="宋体"/>
                      <w:b w:val="0"/>
                      <w:color w:val="auto"/>
                      <w:kern w:val="0"/>
                      <w:szCs w:val="21"/>
                      <w:highlight w:val="none"/>
                      <w:lang w:val="en-US" w:eastAsia="zh-CN"/>
                    </w:rPr>
                  </w:pPr>
                  <w:r>
                    <w:rPr>
                      <w:rFonts w:hint="eastAsia"/>
                      <w:b w:val="0"/>
                      <w:color w:val="auto"/>
                      <w:kern w:val="0"/>
                      <w:szCs w:val="21"/>
                      <w:highlight w:val="none"/>
                      <w:lang w:val="en-US" w:eastAsia="zh-CN"/>
                    </w:rPr>
                    <w:t>/</w:t>
                  </w:r>
                </w:p>
              </w:tc>
              <w:tc>
                <w:tcPr>
                  <w:tcW w:w="885" w:type="dxa"/>
                  <w:noWrap w:val="0"/>
                  <w:vAlign w:val="center"/>
                </w:tcPr>
                <w:p w14:paraId="1089F08B">
                  <w:pPr>
                    <w:pStyle w:val="63"/>
                    <w:spacing w:line="240" w:lineRule="exact"/>
                    <w:ind w:firstLine="0" w:firstLineChars="0"/>
                    <w:jc w:val="both"/>
                    <w:rPr>
                      <w:rFonts w:hint="eastAsia" w:eastAsia="宋体"/>
                      <w:b w:val="0"/>
                      <w:color w:val="auto"/>
                      <w:kern w:val="0"/>
                      <w:szCs w:val="21"/>
                      <w:highlight w:val="none"/>
                      <w:lang w:val="en-US" w:eastAsia="zh-CN"/>
                    </w:rPr>
                  </w:pPr>
                  <w:r>
                    <w:rPr>
                      <w:rFonts w:hint="eastAsia"/>
                      <w:b w:val="0"/>
                      <w:color w:val="auto"/>
                      <w:kern w:val="0"/>
                      <w:szCs w:val="21"/>
                      <w:highlight w:val="none"/>
                    </w:rPr>
                    <w:t>/</w:t>
                  </w:r>
                </w:p>
              </w:tc>
            </w:tr>
            <w:tr w14:paraId="01BE238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850" w:type="dxa"/>
                  <w:vMerge w:val="continue"/>
                  <w:noWrap w:val="0"/>
                  <w:vAlign w:val="center"/>
                </w:tcPr>
                <w:p w14:paraId="5AC2D5CF">
                  <w:pPr>
                    <w:pStyle w:val="63"/>
                    <w:spacing w:line="240" w:lineRule="exact"/>
                    <w:jc w:val="center"/>
                    <w:rPr>
                      <w:b w:val="0"/>
                      <w:color w:val="auto"/>
                      <w:kern w:val="0"/>
                      <w:szCs w:val="21"/>
                      <w:highlight w:val="none"/>
                    </w:rPr>
                  </w:pPr>
                </w:p>
              </w:tc>
              <w:tc>
                <w:tcPr>
                  <w:tcW w:w="616" w:type="dxa"/>
                  <w:vMerge w:val="continue"/>
                  <w:noWrap w:val="0"/>
                  <w:vAlign w:val="center"/>
                </w:tcPr>
                <w:p w14:paraId="6D0911B5">
                  <w:pPr>
                    <w:pStyle w:val="63"/>
                    <w:spacing w:line="240" w:lineRule="exact"/>
                    <w:jc w:val="center"/>
                    <w:rPr>
                      <w:rFonts w:hint="eastAsia"/>
                      <w:b w:val="0"/>
                      <w:color w:val="auto"/>
                      <w:kern w:val="0"/>
                      <w:szCs w:val="21"/>
                      <w:highlight w:val="none"/>
                    </w:rPr>
                  </w:pPr>
                </w:p>
              </w:tc>
              <w:tc>
                <w:tcPr>
                  <w:tcW w:w="979" w:type="dxa"/>
                  <w:noWrap w:val="0"/>
                  <w:vAlign w:val="center"/>
                </w:tcPr>
                <w:p w14:paraId="0D209223">
                  <w:pPr>
                    <w:pStyle w:val="63"/>
                    <w:spacing w:line="240" w:lineRule="exact"/>
                    <w:jc w:val="center"/>
                    <w:rPr>
                      <w:rFonts w:hint="eastAsia"/>
                      <w:b w:val="0"/>
                      <w:color w:val="auto"/>
                      <w:kern w:val="0"/>
                      <w:szCs w:val="21"/>
                      <w:highlight w:val="none"/>
                    </w:rPr>
                  </w:pPr>
                  <w:r>
                    <w:rPr>
                      <w:rFonts w:hint="eastAsia"/>
                      <w:b w:val="0"/>
                      <w:color w:val="auto"/>
                      <w:kern w:val="0"/>
                      <w:szCs w:val="21"/>
                      <w:highlight w:val="none"/>
                    </w:rPr>
                    <w:t>污染物排放管控</w:t>
                  </w:r>
                </w:p>
              </w:tc>
              <w:tc>
                <w:tcPr>
                  <w:tcW w:w="6141" w:type="dxa"/>
                  <w:noWrap w:val="0"/>
                  <w:vAlign w:val="center"/>
                </w:tcPr>
                <w:p w14:paraId="4D518D9F">
                  <w:pPr>
                    <w:pStyle w:val="63"/>
                    <w:spacing w:line="240" w:lineRule="exact"/>
                    <w:ind w:firstLine="0" w:firstLineChars="0"/>
                    <w:jc w:val="both"/>
                    <w:rPr>
                      <w:rFonts w:hint="default"/>
                      <w:b/>
                      <w:bCs/>
                      <w:color w:val="auto"/>
                      <w:kern w:val="0"/>
                      <w:szCs w:val="21"/>
                      <w:highlight w:val="none"/>
                      <w:lang w:val="en-US" w:eastAsia="zh-CN"/>
                    </w:rPr>
                  </w:pPr>
                  <w:r>
                    <w:rPr>
                      <w:rFonts w:hint="eastAsia"/>
                      <w:b/>
                      <w:bCs/>
                      <w:color w:val="auto"/>
                      <w:kern w:val="0"/>
                      <w:szCs w:val="21"/>
                      <w:highlight w:val="none"/>
                      <w:lang w:val="en-US" w:eastAsia="zh-CN"/>
                    </w:rPr>
                    <w:t>/</w:t>
                  </w:r>
                </w:p>
              </w:tc>
              <w:tc>
                <w:tcPr>
                  <w:tcW w:w="2514" w:type="dxa"/>
                  <w:noWrap w:val="0"/>
                  <w:vAlign w:val="center"/>
                </w:tcPr>
                <w:p w14:paraId="4EFA7162">
                  <w:pPr>
                    <w:pStyle w:val="63"/>
                    <w:spacing w:line="240" w:lineRule="exact"/>
                    <w:ind w:firstLine="0" w:firstLineChars="0"/>
                    <w:jc w:val="both"/>
                    <w:rPr>
                      <w:rFonts w:hint="default" w:eastAsia="宋体"/>
                      <w:b w:val="0"/>
                      <w:color w:val="auto"/>
                      <w:kern w:val="0"/>
                      <w:szCs w:val="21"/>
                      <w:highlight w:val="none"/>
                      <w:lang w:val="en-US" w:eastAsia="zh-CN"/>
                    </w:rPr>
                  </w:pPr>
                  <w:r>
                    <w:rPr>
                      <w:rFonts w:hint="eastAsia"/>
                      <w:b w:val="0"/>
                      <w:color w:val="auto"/>
                      <w:kern w:val="0"/>
                      <w:szCs w:val="21"/>
                      <w:highlight w:val="none"/>
                      <w:lang w:val="en-US" w:eastAsia="zh-CN"/>
                    </w:rPr>
                    <w:t>/</w:t>
                  </w:r>
                </w:p>
              </w:tc>
              <w:tc>
                <w:tcPr>
                  <w:tcW w:w="885" w:type="dxa"/>
                  <w:noWrap w:val="0"/>
                  <w:vAlign w:val="center"/>
                </w:tcPr>
                <w:p w14:paraId="04F9792D">
                  <w:pPr>
                    <w:pStyle w:val="63"/>
                    <w:spacing w:line="240" w:lineRule="exact"/>
                    <w:ind w:firstLine="0" w:firstLineChars="0"/>
                    <w:jc w:val="both"/>
                    <w:rPr>
                      <w:rFonts w:hint="default" w:eastAsia="宋体"/>
                      <w:b w:val="0"/>
                      <w:color w:val="auto"/>
                      <w:kern w:val="0"/>
                      <w:szCs w:val="21"/>
                      <w:highlight w:val="none"/>
                      <w:lang w:val="en-US" w:eastAsia="zh-CN"/>
                    </w:rPr>
                  </w:pPr>
                  <w:r>
                    <w:rPr>
                      <w:rFonts w:hint="eastAsia"/>
                      <w:b w:val="0"/>
                      <w:color w:val="auto"/>
                      <w:kern w:val="0"/>
                      <w:szCs w:val="21"/>
                      <w:highlight w:val="none"/>
                    </w:rPr>
                    <w:t>/</w:t>
                  </w:r>
                </w:p>
              </w:tc>
            </w:tr>
            <w:tr w14:paraId="3CD5F5F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850" w:type="dxa"/>
                  <w:vMerge w:val="continue"/>
                  <w:noWrap w:val="0"/>
                  <w:vAlign w:val="center"/>
                </w:tcPr>
                <w:p w14:paraId="11F408E7">
                  <w:pPr>
                    <w:pStyle w:val="63"/>
                    <w:spacing w:line="240" w:lineRule="exact"/>
                    <w:jc w:val="center"/>
                    <w:rPr>
                      <w:b w:val="0"/>
                      <w:color w:val="auto"/>
                      <w:kern w:val="0"/>
                      <w:szCs w:val="21"/>
                      <w:highlight w:val="none"/>
                    </w:rPr>
                  </w:pPr>
                </w:p>
              </w:tc>
              <w:tc>
                <w:tcPr>
                  <w:tcW w:w="616" w:type="dxa"/>
                  <w:vMerge w:val="continue"/>
                  <w:noWrap w:val="0"/>
                  <w:vAlign w:val="center"/>
                </w:tcPr>
                <w:p w14:paraId="05DB502A">
                  <w:pPr>
                    <w:pStyle w:val="63"/>
                    <w:spacing w:line="240" w:lineRule="exact"/>
                    <w:jc w:val="center"/>
                    <w:rPr>
                      <w:rFonts w:hint="eastAsia"/>
                      <w:b w:val="0"/>
                      <w:color w:val="auto"/>
                      <w:kern w:val="0"/>
                      <w:szCs w:val="21"/>
                      <w:highlight w:val="none"/>
                    </w:rPr>
                  </w:pPr>
                </w:p>
              </w:tc>
              <w:tc>
                <w:tcPr>
                  <w:tcW w:w="979" w:type="dxa"/>
                  <w:noWrap w:val="0"/>
                  <w:vAlign w:val="center"/>
                </w:tcPr>
                <w:p w14:paraId="1F530B7E">
                  <w:pPr>
                    <w:pStyle w:val="63"/>
                    <w:spacing w:line="240" w:lineRule="exact"/>
                    <w:jc w:val="center"/>
                    <w:rPr>
                      <w:rFonts w:hint="eastAsia"/>
                      <w:b w:val="0"/>
                      <w:color w:val="auto"/>
                      <w:kern w:val="0"/>
                      <w:szCs w:val="21"/>
                      <w:highlight w:val="none"/>
                    </w:rPr>
                  </w:pPr>
                  <w:r>
                    <w:rPr>
                      <w:rFonts w:hint="eastAsia"/>
                      <w:b w:val="0"/>
                      <w:color w:val="auto"/>
                      <w:kern w:val="0"/>
                      <w:szCs w:val="21"/>
                      <w:highlight w:val="none"/>
                    </w:rPr>
                    <w:t>环境风险防控</w:t>
                  </w:r>
                </w:p>
              </w:tc>
              <w:tc>
                <w:tcPr>
                  <w:tcW w:w="6141" w:type="dxa"/>
                  <w:noWrap w:val="0"/>
                  <w:vAlign w:val="center"/>
                </w:tcPr>
                <w:p w14:paraId="7535B4F2">
                  <w:pPr>
                    <w:pStyle w:val="63"/>
                    <w:spacing w:line="240" w:lineRule="exact"/>
                    <w:ind w:firstLine="0" w:firstLineChars="0"/>
                    <w:jc w:val="both"/>
                    <w:rPr>
                      <w:rFonts w:hint="default"/>
                      <w:b w:val="0"/>
                      <w:bCs w:val="0"/>
                      <w:color w:val="auto"/>
                      <w:kern w:val="0"/>
                      <w:szCs w:val="21"/>
                      <w:highlight w:val="none"/>
                      <w:lang w:val="en-US" w:eastAsia="zh-CN"/>
                    </w:rPr>
                  </w:pPr>
                  <w:r>
                    <w:rPr>
                      <w:rFonts w:hint="eastAsia"/>
                      <w:b w:val="0"/>
                      <w:bCs w:val="0"/>
                      <w:color w:val="auto"/>
                      <w:kern w:val="0"/>
                      <w:szCs w:val="21"/>
                      <w:highlight w:val="none"/>
                      <w:lang w:val="en-US" w:eastAsia="zh-CN"/>
                    </w:rPr>
                    <w:t>/</w:t>
                  </w:r>
                </w:p>
              </w:tc>
              <w:tc>
                <w:tcPr>
                  <w:tcW w:w="2514" w:type="dxa"/>
                  <w:noWrap w:val="0"/>
                  <w:vAlign w:val="center"/>
                </w:tcPr>
                <w:p w14:paraId="2CF81518">
                  <w:pPr>
                    <w:pStyle w:val="63"/>
                    <w:spacing w:line="240" w:lineRule="exact"/>
                    <w:ind w:firstLine="0" w:firstLineChars="0"/>
                    <w:jc w:val="both"/>
                    <w:rPr>
                      <w:rFonts w:hint="default" w:eastAsia="宋体"/>
                      <w:b w:val="0"/>
                      <w:color w:val="auto"/>
                      <w:kern w:val="0"/>
                      <w:szCs w:val="21"/>
                      <w:highlight w:val="none"/>
                      <w:lang w:val="en-US" w:eastAsia="zh-CN"/>
                    </w:rPr>
                  </w:pPr>
                  <w:r>
                    <w:rPr>
                      <w:rFonts w:hint="eastAsia"/>
                      <w:b w:val="0"/>
                      <w:color w:val="auto"/>
                      <w:kern w:val="0"/>
                      <w:szCs w:val="21"/>
                      <w:highlight w:val="none"/>
                      <w:lang w:val="en-US" w:eastAsia="zh-CN"/>
                    </w:rPr>
                    <w:t>/</w:t>
                  </w:r>
                </w:p>
              </w:tc>
              <w:tc>
                <w:tcPr>
                  <w:tcW w:w="885" w:type="dxa"/>
                  <w:noWrap w:val="0"/>
                  <w:vAlign w:val="center"/>
                </w:tcPr>
                <w:p w14:paraId="6091CCC5">
                  <w:pPr>
                    <w:pStyle w:val="63"/>
                    <w:spacing w:line="240" w:lineRule="exact"/>
                    <w:ind w:firstLine="0" w:firstLineChars="0"/>
                    <w:jc w:val="both"/>
                    <w:rPr>
                      <w:rFonts w:hint="eastAsia" w:eastAsia="宋体"/>
                      <w:b w:val="0"/>
                      <w:color w:val="auto"/>
                      <w:kern w:val="0"/>
                      <w:szCs w:val="21"/>
                      <w:highlight w:val="none"/>
                      <w:lang w:val="en-US" w:eastAsia="zh-CN"/>
                    </w:rPr>
                  </w:pPr>
                  <w:r>
                    <w:rPr>
                      <w:rFonts w:hint="eastAsia"/>
                      <w:b w:val="0"/>
                      <w:color w:val="auto"/>
                      <w:kern w:val="0"/>
                      <w:szCs w:val="21"/>
                      <w:highlight w:val="none"/>
                    </w:rPr>
                    <w:t>/</w:t>
                  </w:r>
                </w:p>
              </w:tc>
            </w:tr>
            <w:tr w14:paraId="1AD4355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850" w:type="dxa"/>
                  <w:vMerge w:val="continue"/>
                  <w:noWrap w:val="0"/>
                  <w:vAlign w:val="center"/>
                </w:tcPr>
                <w:p w14:paraId="4E0BE044">
                  <w:pPr>
                    <w:pStyle w:val="63"/>
                    <w:spacing w:line="240" w:lineRule="exact"/>
                    <w:jc w:val="center"/>
                    <w:rPr>
                      <w:b w:val="0"/>
                      <w:color w:val="auto"/>
                      <w:kern w:val="0"/>
                      <w:szCs w:val="21"/>
                      <w:highlight w:val="none"/>
                    </w:rPr>
                  </w:pPr>
                </w:p>
              </w:tc>
              <w:tc>
                <w:tcPr>
                  <w:tcW w:w="616" w:type="dxa"/>
                  <w:vMerge w:val="continue"/>
                  <w:noWrap w:val="0"/>
                  <w:vAlign w:val="center"/>
                </w:tcPr>
                <w:p w14:paraId="10DCA616">
                  <w:pPr>
                    <w:pStyle w:val="63"/>
                    <w:spacing w:line="240" w:lineRule="exact"/>
                    <w:jc w:val="center"/>
                    <w:rPr>
                      <w:rFonts w:hint="eastAsia"/>
                      <w:b w:val="0"/>
                      <w:color w:val="auto"/>
                      <w:kern w:val="0"/>
                      <w:szCs w:val="21"/>
                      <w:highlight w:val="none"/>
                    </w:rPr>
                  </w:pPr>
                </w:p>
              </w:tc>
              <w:tc>
                <w:tcPr>
                  <w:tcW w:w="979" w:type="dxa"/>
                  <w:noWrap w:val="0"/>
                  <w:vAlign w:val="center"/>
                </w:tcPr>
                <w:p w14:paraId="4FA7E808">
                  <w:pPr>
                    <w:pStyle w:val="63"/>
                    <w:spacing w:line="240" w:lineRule="exact"/>
                    <w:jc w:val="center"/>
                    <w:rPr>
                      <w:rFonts w:hint="eastAsia"/>
                      <w:b w:val="0"/>
                      <w:color w:val="auto"/>
                      <w:kern w:val="0"/>
                      <w:szCs w:val="21"/>
                      <w:highlight w:val="none"/>
                    </w:rPr>
                  </w:pPr>
                  <w:r>
                    <w:rPr>
                      <w:rFonts w:hint="eastAsia"/>
                      <w:b w:val="0"/>
                      <w:color w:val="auto"/>
                      <w:kern w:val="0"/>
                      <w:szCs w:val="21"/>
                      <w:highlight w:val="none"/>
                    </w:rPr>
                    <w:t>资源开发利用效率要求</w:t>
                  </w:r>
                </w:p>
              </w:tc>
              <w:tc>
                <w:tcPr>
                  <w:tcW w:w="6141" w:type="dxa"/>
                  <w:noWrap w:val="0"/>
                  <w:vAlign w:val="center"/>
                </w:tcPr>
                <w:p w14:paraId="0E9D7198">
                  <w:pPr>
                    <w:pStyle w:val="63"/>
                    <w:spacing w:line="240" w:lineRule="exact"/>
                    <w:jc w:val="both"/>
                    <w:rPr>
                      <w:rFonts w:hint="default"/>
                      <w:b/>
                      <w:bCs/>
                      <w:color w:val="auto"/>
                      <w:kern w:val="0"/>
                      <w:szCs w:val="21"/>
                      <w:highlight w:val="none"/>
                      <w:lang w:val="en-US" w:eastAsia="zh-CN"/>
                    </w:rPr>
                  </w:pPr>
                  <w:r>
                    <w:rPr>
                      <w:rFonts w:hint="default"/>
                      <w:b/>
                      <w:bCs/>
                      <w:color w:val="auto"/>
                      <w:kern w:val="0"/>
                      <w:szCs w:val="21"/>
                      <w:highlight w:val="none"/>
                      <w:lang w:val="en-US" w:eastAsia="zh-CN"/>
                    </w:rPr>
                    <w:t>土地资源开发效率要求</w:t>
                  </w:r>
                </w:p>
                <w:p w14:paraId="7F11F3C2">
                  <w:pPr>
                    <w:pStyle w:val="63"/>
                    <w:spacing w:line="240" w:lineRule="exact"/>
                    <w:jc w:val="both"/>
                    <w:rPr>
                      <w:rFonts w:hint="default"/>
                      <w:b/>
                      <w:bCs/>
                      <w:color w:val="auto"/>
                      <w:kern w:val="0"/>
                      <w:szCs w:val="21"/>
                      <w:highlight w:val="none"/>
                      <w:lang w:val="en-US" w:eastAsia="zh-CN"/>
                    </w:rPr>
                  </w:pPr>
                  <w:r>
                    <w:rPr>
                      <w:rFonts w:hint="default"/>
                      <w:b/>
                      <w:bCs/>
                      <w:color w:val="auto"/>
                      <w:kern w:val="0"/>
                      <w:szCs w:val="21"/>
                      <w:highlight w:val="none"/>
                      <w:lang w:val="en-US" w:eastAsia="zh-CN"/>
                    </w:rPr>
                    <w:t>能源资源开发效率要求</w:t>
                  </w:r>
                </w:p>
                <w:p w14:paraId="0C6E8580">
                  <w:pPr>
                    <w:pStyle w:val="63"/>
                    <w:spacing w:line="240" w:lineRule="exact"/>
                    <w:jc w:val="both"/>
                    <w:rPr>
                      <w:rFonts w:hint="default"/>
                      <w:b/>
                      <w:bCs/>
                      <w:color w:val="auto"/>
                      <w:kern w:val="0"/>
                      <w:szCs w:val="21"/>
                      <w:highlight w:val="none"/>
                      <w:lang w:val="en-US" w:eastAsia="zh-CN"/>
                    </w:rPr>
                  </w:pPr>
                  <w:r>
                    <w:rPr>
                      <w:rFonts w:hint="default"/>
                      <w:b/>
                      <w:bCs/>
                      <w:color w:val="auto"/>
                      <w:kern w:val="0"/>
                      <w:szCs w:val="21"/>
                      <w:highlight w:val="none"/>
                      <w:lang w:val="en-US" w:eastAsia="zh-CN"/>
                    </w:rPr>
                    <w:t>其他资源开发效率要求</w:t>
                  </w:r>
                </w:p>
              </w:tc>
              <w:tc>
                <w:tcPr>
                  <w:tcW w:w="2514" w:type="dxa"/>
                  <w:noWrap w:val="0"/>
                  <w:vAlign w:val="center"/>
                </w:tcPr>
                <w:p w14:paraId="2C7291ED">
                  <w:pPr>
                    <w:spacing w:line="240" w:lineRule="exact"/>
                    <w:jc w:val="both"/>
                    <w:rPr>
                      <w:rFonts w:hint="default" w:eastAsia="宋体"/>
                      <w:b w:val="0"/>
                      <w:color w:val="auto"/>
                      <w:kern w:val="0"/>
                      <w:szCs w:val="21"/>
                      <w:highlight w:val="none"/>
                      <w:lang w:val="en-US" w:eastAsia="zh-CN"/>
                    </w:rPr>
                  </w:pPr>
                  <w:r>
                    <w:rPr>
                      <w:rFonts w:hint="eastAsia"/>
                      <w:b w:val="0"/>
                      <w:color w:val="auto"/>
                      <w:kern w:val="0"/>
                      <w:szCs w:val="21"/>
                      <w:highlight w:val="none"/>
                      <w:lang w:val="en-US" w:eastAsia="zh-CN"/>
                    </w:rPr>
                    <w:t>/</w:t>
                  </w:r>
                </w:p>
              </w:tc>
              <w:tc>
                <w:tcPr>
                  <w:tcW w:w="885" w:type="dxa"/>
                  <w:noWrap w:val="0"/>
                  <w:vAlign w:val="center"/>
                </w:tcPr>
                <w:p w14:paraId="229D7463">
                  <w:pPr>
                    <w:spacing w:line="240" w:lineRule="exact"/>
                    <w:jc w:val="both"/>
                    <w:rPr>
                      <w:rFonts w:hint="eastAsia" w:eastAsia="宋体"/>
                      <w:b w:val="0"/>
                      <w:color w:val="auto"/>
                      <w:kern w:val="0"/>
                      <w:szCs w:val="21"/>
                      <w:highlight w:val="none"/>
                      <w:lang w:val="en-US" w:eastAsia="zh-CN"/>
                    </w:rPr>
                  </w:pPr>
                  <w:r>
                    <w:rPr>
                      <w:rFonts w:hint="eastAsia"/>
                      <w:b w:val="0"/>
                      <w:color w:val="auto"/>
                      <w:kern w:val="0"/>
                      <w:szCs w:val="21"/>
                      <w:highlight w:val="none"/>
                      <w:lang w:val="en-US" w:eastAsia="zh-CN"/>
                    </w:rPr>
                    <w:t>/</w:t>
                  </w:r>
                </w:p>
              </w:tc>
            </w:tr>
          </w:tbl>
          <w:p w14:paraId="6565F5B1">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20" w:firstLineChars="200"/>
              <w:jc w:val="center"/>
              <w:textAlignment w:val="auto"/>
              <w:outlineLvl w:val="0"/>
              <w:rPr>
                <w:rFonts w:hint="default" w:ascii="Times New Roman" w:hAnsi="Times New Roman" w:eastAsia="宋体" w:cs="Times New Roman"/>
                <w:snapToGrid w:val="0"/>
                <w:color w:val="auto"/>
                <w:sz w:val="21"/>
                <w:szCs w:val="21"/>
                <w:highlight w:val="none"/>
              </w:rPr>
            </w:pPr>
          </w:p>
          <w:p w14:paraId="5A4FDAB6">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ascii="Times New Roman" w:hAnsi="Times New Roman" w:eastAsia="黑体"/>
                <w:snapToGrid w:val="0"/>
                <w:color w:val="auto"/>
                <w:sz w:val="30"/>
                <w:szCs w:val="30"/>
                <w:highlight w:val="none"/>
                <w:vertAlign w:val="baseline"/>
              </w:rPr>
            </w:pPr>
            <w:r>
              <w:rPr>
                <w:rFonts w:hint="default" w:ascii="Times New Roman" w:hAnsi="Times New Roman" w:eastAsia="宋体" w:cs="Times New Roman"/>
                <w:snapToGrid w:val="0"/>
                <w:color w:val="auto"/>
                <w:szCs w:val="24"/>
                <w:highlight w:val="none"/>
              </w:rPr>
              <w:t>综上，经与“生态环境管控要求”进行对照，项目不在生态保护红线内、满足环境质量底线和资源利用上线要求，未列入环境准入负面清单内。项目符合“生态环境管控要求”相关要求。</w:t>
            </w:r>
          </w:p>
        </w:tc>
      </w:tr>
    </w:tbl>
    <w:p w14:paraId="5B0E4A6E">
      <w:pPr>
        <w:pStyle w:val="22"/>
        <w:wordWrap w:val="0"/>
        <w:spacing w:before="0" w:beforeAutospacing="0" w:after="0" w:afterAutospacing="0"/>
        <w:jc w:val="both"/>
        <w:outlineLvl w:val="0"/>
        <w:rPr>
          <w:rFonts w:ascii="Times New Roman" w:hAnsi="Times New Roman" w:eastAsia="黑体"/>
          <w:snapToGrid w:val="0"/>
          <w:sz w:val="30"/>
          <w:szCs w:val="30"/>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8224"/>
      </w:tblGrid>
      <w:tr w14:paraId="1259A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noWrap w:val="0"/>
            <w:vAlign w:val="center"/>
          </w:tcPr>
          <w:p w14:paraId="24A255A5">
            <w:pPr>
              <w:pStyle w:val="22"/>
              <w:spacing w:before="0" w:beforeAutospacing="0" w:after="0" w:afterAutospacing="0"/>
              <w:jc w:val="center"/>
              <w:outlineLvl w:val="0"/>
              <w:rPr>
                <w:rFonts w:ascii="Times New Roman" w:hAnsi="Times New Roman" w:eastAsia="黑体"/>
                <w:snapToGrid w:val="0"/>
                <w:color w:val="auto"/>
                <w:sz w:val="30"/>
                <w:szCs w:val="30"/>
                <w:highlight w:val="none"/>
              </w:rPr>
            </w:pPr>
            <w:r>
              <w:rPr>
                <w:rFonts w:ascii="Times New Roman" w:hAnsi="Times New Roman"/>
                <w:b/>
                <w:bCs/>
                <w:snapToGrid w:val="0"/>
                <w:color w:val="auto"/>
                <w:szCs w:val="24"/>
                <w:highlight w:val="none"/>
              </w:rPr>
              <w:t>其他符合性分析</w:t>
            </w:r>
          </w:p>
        </w:tc>
        <w:tc>
          <w:tcPr>
            <w:tcW w:w="8224" w:type="dxa"/>
            <w:noWrap w:val="0"/>
            <w:vAlign w:val="top"/>
          </w:tcPr>
          <w:p w14:paraId="1D868943">
            <w:pPr>
              <w:wordWrap w:val="0"/>
              <w:autoSpaceDE w:val="0"/>
              <w:autoSpaceDN w:val="0"/>
              <w:spacing w:line="360" w:lineRule="auto"/>
              <w:ind w:left="63" w:leftChars="30" w:right="63" w:rightChars="30" w:firstLine="482" w:firstLineChars="200"/>
              <w:rPr>
                <w:rFonts w:hint="eastAsia" w:eastAsia="宋体"/>
                <w:kern w:val="0"/>
                <w:sz w:val="24"/>
                <w:lang w:val="en-US" w:eastAsia="zh-CN"/>
              </w:rPr>
            </w:pPr>
            <w:r>
              <w:rPr>
                <w:rFonts w:hint="eastAsia"/>
                <w:b/>
                <w:bCs/>
                <w:kern w:val="0"/>
                <w:sz w:val="24"/>
                <w:lang w:val="en-US" w:eastAsia="zh-CN"/>
              </w:rPr>
              <w:t>4、与</w:t>
            </w:r>
            <w:r>
              <w:rPr>
                <w:rFonts w:hint="eastAsia"/>
                <w:b/>
                <w:bCs/>
                <w:kern w:val="0"/>
                <w:sz w:val="24"/>
              </w:rPr>
              <w:t>《达州市人民政府办公室关于加强生态环境分区管控的通知》（达市府办函</w:t>
            </w:r>
            <w:r>
              <w:rPr>
                <w:rFonts w:hint="eastAsia"/>
                <w:b/>
                <w:bCs/>
                <w:kern w:val="0"/>
                <w:sz w:val="24"/>
                <w:lang w:eastAsia="zh-CN"/>
              </w:rPr>
              <w:t>【</w:t>
            </w:r>
            <w:r>
              <w:rPr>
                <w:rFonts w:hint="eastAsia"/>
                <w:b/>
                <w:bCs/>
                <w:kern w:val="0"/>
                <w:sz w:val="24"/>
              </w:rPr>
              <w:t>2024</w:t>
            </w:r>
            <w:r>
              <w:rPr>
                <w:rFonts w:hint="eastAsia"/>
                <w:b/>
                <w:bCs/>
                <w:kern w:val="0"/>
                <w:sz w:val="24"/>
                <w:lang w:eastAsia="zh-CN"/>
              </w:rPr>
              <w:t>】</w:t>
            </w:r>
            <w:r>
              <w:rPr>
                <w:rFonts w:hint="eastAsia"/>
                <w:b/>
                <w:bCs/>
                <w:kern w:val="0"/>
                <w:sz w:val="24"/>
              </w:rPr>
              <w:t>31号）</w:t>
            </w:r>
            <w:r>
              <w:rPr>
                <w:rFonts w:hint="eastAsia"/>
                <w:b/>
                <w:bCs/>
                <w:kern w:val="0"/>
                <w:sz w:val="24"/>
                <w:lang w:val="en-US" w:eastAsia="zh-CN"/>
              </w:rPr>
              <w:t>符合性分析</w:t>
            </w:r>
          </w:p>
          <w:p w14:paraId="3B3D7B26">
            <w:pPr>
              <w:wordWrap w:val="0"/>
              <w:autoSpaceDE w:val="0"/>
              <w:autoSpaceDN w:val="0"/>
              <w:spacing w:line="360" w:lineRule="auto"/>
              <w:ind w:left="63" w:leftChars="30" w:right="63" w:rightChars="30" w:firstLine="480" w:firstLineChars="200"/>
              <w:rPr>
                <w:rFonts w:hint="eastAsia"/>
                <w:kern w:val="0"/>
                <w:sz w:val="24"/>
              </w:rPr>
            </w:pPr>
            <w:r>
              <w:rPr>
                <w:rFonts w:hint="eastAsia"/>
                <w:kern w:val="0"/>
                <w:sz w:val="24"/>
              </w:rPr>
              <w:t>根据《达州市人民政府办公室关于加强生态环境分区管控的通知》（达市府办函【2024】31号），本项目</w:t>
            </w:r>
            <w:r>
              <w:rPr>
                <w:rFonts w:hint="eastAsia"/>
                <w:kern w:val="0"/>
                <w:sz w:val="24"/>
                <w:lang w:val="en-US" w:eastAsia="zh-CN"/>
              </w:rPr>
              <w:t>所在位置属于工业重点控制单元，项目</w:t>
            </w:r>
            <w:r>
              <w:rPr>
                <w:rFonts w:hint="eastAsia"/>
                <w:kern w:val="0"/>
                <w:sz w:val="24"/>
              </w:rPr>
              <w:t>与</w:t>
            </w:r>
            <w:r>
              <w:rPr>
                <w:rFonts w:hint="eastAsia"/>
                <w:kern w:val="0"/>
                <w:sz w:val="24"/>
                <w:lang w:val="en-US" w:eastAsia="zh-CN"/>
              </w:rPr>
              <w:t>达州市生态</w:t>
            </w:r>
            <w:r>
              <w:rPr>
                <w:rFonts w:hint="eastAsia"/>
                <w:kern w:val="0"/>
                <w:sz w:val="24"/>
              </w:rPr>
              <w:t>环境分区管控要求的符合性分析如下：</w:t>
            </w:r>
          </w:p>
          <w:p w14:paraId="05FF6E65">
            <w:pPr>
              <w:keepNext w:val="0"/>
              <w:keepLines w:val="0"/>
              <w:pageBreakBefore w:val="0"/>
              <w:widowControl w:val="0"/>
              <w:kinsoku/>
              <w:wordWrap w:val="0"/>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kern w:val="0"/>
                <w:sz w:val="21"/>
                <w:szCs w:val="21"/>
                <w:lang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2038985</wp:posOffset>
                      </wp:positionH>
                      <wp:positionV relativeFrom="paragraph">
                        <wp:posOffset>1419225</wp:posOffset>
                      </wp:positionV>
                      <wp:extent cx="1041400" cy="273050"/>
                      <wp:effectExtent l="28575" t="5080" r="12065" b="255270"/>
                      <wp:wrapNone/>
                      <wp:docPr id="229" name="自选图形 2"/>
                      <wp:cNvGraphicFramePr/>
                      <a:graphic xmlns:a="http://schemas.openxmlformats.org/drawingml/2006/main">
                        <a:graphicData uri="http://schemas.microsoft.com/office/word/2010/wordprocessingShape">
                          <wps:wsp>
                            <wps:cNvSpPr/>
                            <wps:spPr>
                              <a:xfrm>
                                <a:off x="0" y="0"/>
                                <a:ext cx="1041400" cy="273050"/>
                              </a:xfrm>
                              <a:prstGeom prst="wedgeRectCallout">
                                <a:avLst>
                                  <a:gd name="adj1" fmla="val -51032"/>
                                  <a:gd name="adj2" fmla="val 135116"/>
                                </a:avLst>
                              </a:prstGeom>
                              <a:solidFill>
                                <a:srgbClr val="FFFFFF"/>
                              </a:solidFill>
                              <a:ln w="9525" cap="flat" cmpd="sng">
                                <a:solidFill>
                                  <a:srgbClr val="000000"/>
                                </a:solidFill>
                                <a:prstDash val="solid"/>
                                <a:miter/>
                                <a:headEnd type="none" w="med" len="med"/>
                                <a:tailEnd type="none" w="med" len="med"/>
                              </a:ln>
                            </wps:spPr>
                            <wps:txbx>
                              <w:txbxContent>
                                <w:p w14:paraId="2583F385">
                                  <w:pPr>
                                    <w:keepNext w:val="0"/>
                                    <w:keepLines w:val="0"/>
                                    <w:pageBreakBefore w:val="0"/>
                                    <w:widowControl w:val="0"/>
                                    <w:kinsoku/>
                                    <w:wordWrap/>
                                    <w:overflowPunct/>
                                    <w:topLinePunct w:val="0"/>
                                    <w:bidi w:val="0"/>
                                    <w:adjustRightInd/>
                                    <w:snapToGrid/>
                                    <w:spacing w:line="240" w:lineRule="exact"/>
                                    <w:jc w:val="center"/>
                                    <w:textAlignment w:val="auto"/>
                                    <w:rPr>
                                      <w:rFonts w:hint="eastAsia" w:eastAsia="宋体"/>
                                      <w:color w:val="FF0000"/>
                                      <w:lang w:val="en-US" w:eastAsia="zh-CN"/>
                                    </w:rPr>
                                  </w:pPr>
                                  <w:r>
                                    <w:rPr>
                                      <w:rFonts w:hint="eastAsia"/>
                                      <w:color w:val="FF0000"/>
                                      <w:lang w:val="en-US" w:eastAsia="zh-CN"/>
                                    </w:rPr>
                                    <w:t>项目所在地</w:t>
                                  </w:r>
                                </w:p>
                              </w:txbxContent>
                            </wps:txbx>
                            <wps:bodyPr wrap="square" upright="1"/>
                          </wps:wsp>
                        </a:graphicData>
                      </a:graphic>
                    </wp:anchor>
                  </w:drawing>
                </mc:Choice>
                <mc:Fallback>
                  <w:pict>
                    <v:shape id="自选图形 2" o:spid="_x0000_s1026" o:spt="61" type="#_x0000_t61" style="position:absolute;left:0pt;margin-left:160.55pt;margin-top:111.75pt;height:21.5pt;width:82pt;z-index:251662336;mso-width-relative:page;mso-height-relative:page;" fillcolor="#FFFFFF" filled="t" stroked="t" coordsize="21600,21600" o:gfxdata="UEsDBAoAAAAAAIdO4kAAAAAAAAAAAAAAAAAEAAAAZHJzL1BLAwQUAAAACACHTuJAV5uwjNoAAAAL&#10;AQAADwAAAGRycy9kb3ducmV2LnhtbE2PwU7DMAyG70i8Q2QkLoil7WhVdU0ngQQHLojBtB2zxksr&#10;Gqdqsq28PeYER//+9PtzvZ7dIM44hd6TgnSRgEBqvenJKvj8eL4vQYSoyejBEyr4xgDr5vqq1pXx&#10;F3rH8yZawSUUKq2gi3GspAxth06HhR+ReHf0k9ORx8lKM+kLl7tBZklSSKd74gudHvGpw/Zrc3IK&#10;7Py4fzvOOzvttneOttG/vJZeqdubNFmBiDjHPxh+9VkdGnY6+BOZIAYFyyxNGVWQZcscBBMPZc7J&#10;gZOiyEE2tfz/Q/MDUEsDBBQAAAAIAIdO4kABWf2wRwIAAJ4EAAAOAAAAZHJzL2Uyb0RvYy54bWyt&#10;VEtyEzEQ3VPFHVTaJ/NxHMiUx1nEmA0FKQIHkCXNjCj9kGTPeMeO4gzssuQOcJtUwS1oyYPjBBZe&#10;MIvx06j1ut9rtWeXg5Jow50XRte4OM0x4poaJnRb4/fvlifPMfKBaEak0bzGW+7x5fzpk1lvK16a&#10;zkjGHQIS7ave1rgLwVZZ5mnHFfGnxnINm41xigRYujZjjvTArmRW5vl51hvHrDOUew9fF7tNPDK6&#10;YwhN0wjKF4auFddhx+q4JAEk+U5Yj+ep2qbhNLxpGs8DkjUGpSG9IQngVXxn8xmpWkdsJ+hYAjmm&#10;hEeaFBEaku6pFiQQtHbiLyolqDPeNOGUGpXthCRHQEWRP/LmpiOWJy1gtbd70/3/o6WvN9cOCVbj&#10;srzASBMFLf/5+duvT1/uvv64+36LyuhRb30FoTf22o0rDzAKHhqn4i9IQUPydbv3lQ8BUfhY5GfF&#10;WQ6WU9grn03yaTI+uz9tnQ8vuVEoghr3nLX8LTTvikhp1iFZSzavfEges7FOwj4UGDVKQss2RKKT&#10;aZFPUr3QiIOg8jComEyL4jyKgvwjJ6A/FcQE3kjBlkLKtHDt6ko6BAlqvEzPePhBmNSor/HFtJyC&#10;TAJz0cB9BKgseOt1myQ8OOEPifP0/Is4FrYgvtsVkBhiGKmUCNwl1HHCXmiGwtZC9zSMLY7FKM4w&#10;khymPKIUGYiQx0SCIVKDQ7Hvu05HFIbVADQRrgzbwsXpYXJA3sc1cZBzbZ1oO+hfkYTEOLi2yehx&#10;xOJcHK5Tivu/lfl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V5uwjNoAAAALAQAADwAAAAAAAAAB&#10;ACAAAAAiAAAAZHJzL2Rvd25yZXYueG1sUEsBAhQAFAAAAAgAh07iQAFZ/bBHAgAAngQAAA4AAAAA&#10;AAAAAQAgAAAAKQEAAGRycy9lMm9Eb2MueG1sUEsFBgAAAAAGAAYAWQEAAOIFAAAAAA==&#10;" adj="-223,39985">
                      <v:fill on="t" focussize="0,0"/>
                      <v:stroke color="#000000" joinstyle="miter"/>
                      <v:imagedata o:title=""/>
                      <o:lock v:ext="edit" aspectratio="f"/>
                      <v:textbox>
                        <w:txbxContent>
                          <w:p w14:paraId="2583F385">
                            <w:pPr>
                              <w:keepNext w:val="0"/>
                              <w:keepLines w:val="0"/>
                              <w:pageBreakBefore w:val="0"/>
                              <w:widowControl w:val="0"/>
                              <w:kinsoku/>
                              <w:wordWrap/>
                              <w:overflowPunct/>
                              <w:topLinePunct w:val="0"/>
                              <w:bidi w:val="0"/>
                              <w:adjustRightInd/>
                              <w:snapToGrid/>
                              <w:spacing w:line="240" w:lineRule="exact"/>
                              <w:jc w:val="center"/>
                              <w:textAlignment w:val="auto"/>
                              <w:rPr>
                                <w:rFonts w:hint="eastAsia" w:eastAsia="宋体"/>
                                <w:color w:val="FF0000"/>
                                <w:lang w:val="en-US" w:eastAsia="zh-CN"/>
                              </w:rPr>
                            </w:pPr>
                            <w:r>
                              <w:rPr>
                                <w:rFonts w:hint="eastAsia"/>
                                <w:color w:val="FF0000"/>
                                <w:lang w:val="en-US" w:eastAsia="zh-CN"/>
                              </w:rPr>
                              <w:t>项目所在地</w:t>
                            </w:r>
                          </w:p>
                        </w:txbxContent>
                      </v:textbox>
                    </v:shape>
                  </w:pict>
                </mc:Fallback>
              </mc:AlternateContent>
            </w:r>
            <w:r>
              <w:rPr>
                <w:sz w:val="21"/>
              </w:rPr>
              <w:drawing>
                <wp:inline distT="0" distB="0" distL="114300" distR="114300">
                  <wp:extent cx="5083810" cy="3646170"/>
                  <wp:effectExtent l="0" t="0" r="6350" b="11430"/>
                  <wp:docPr id="232" name="图片 232" descr="达州市生态环境分区管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达州市生态环境分区管控图"/>
                          <pic:cNvPicPr>
                            <a:picLocks noChangeAspect="1"/>
                          </pic:cNvPicPr>
                        </pic:nvPicPr>
                        <pic:blipFill>
                          <a:blip r:embed="rId9"/>
                          <a:stretch>
                            <a:fillRect/>
                          </a:stretch>
                        </pic:blipFill>
                        <pic:spPr>
                          <a:xfrm>
                            <a:off x="0" y="0"/>
                            <a:ext cx="5083810" cy="3646170"/>
                          </a:xfrm>
                          <a:prstGeom prst="rect">
                            <a:avLst/>
                          </a:prstGeom>
                        </pic:spPr>
                      </pic:pic>
                    </a:graphicData>
                  </a:graphic>
                </wp:inline>
              </w:drawing>
            </w:r>
          </w:p>
          <w:p w14:paraId="480762CE">
            <w:pPr>
              <w:keepNext w:val="0"/>
              <w:keepLines w:val="0"/>
              <w:pageBreakBefore w:val="0"/>
              <w:widowControl w:val="0"/>
              <w:kinsoku/>
              <w:wordWrap w:val="0"/>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
                <w:bCs/>
                <w:kern w:val="0"/>
                <w:sz w:val="21"/>
                <w:szCs w:val="21"/>
                <w:lang w:val="en-US" w:eastAsia="zh-CN"/>
              </w:rPr>
              <w:t>图1-</w:t>
            </w:r>
            <w:r>
              <w:rPr>
                <w:rFonts w:hint="eastAsia" w:ascii="Times New Roman" w:hAnsi="Times New Roman" w:eastAsia="宋体" w:cs="Times New Roman"/>
                <w:b/>
                <w:bCs/>
                <w:kern w:val="0"/>
                <w:sz w:val="21"/>
                <w:szCs w:val="21"/>
                <w:lang w:val="en-US" w:eastAsia="zh-CN"/>
              </w:rPr>
              <w:t>3</w:t>
            </w:r>
            <w:r>
              <w:rPr>
                <w:rFonts w:hint="default" w:ascii="Times New Roman" w:hAnsi="Times New Roman" w:eastAsia="宋体" w:cs="Times New Roman"/>
                <w:b/>
                <w:bCs/>
                <w:kern w:val="0"/>
                <w:sz w:val="21"/>
                <w:szCs w:val="21"/>
                <w:lang w:val="en-US" w:eastAsia="zh-CN"/>
              </w:rPr>
              <w:t xml:space="preserve">   </w:t>
            </w:r>
            <w:r>
              <w:rPr>
                <w:rFonts w:hint="eastAsia" w:cs="Times New Roman"/>
                <w:b/>
                <w:bCs/>
                <w:kern w:val="0"/>
                <w:sz w:val="21"/>
                <w:szCs w:val="21"/>
                <w:lang w:val="en-US" w:eastAsia="zh-CN"/>
              </w:rPr>
              <w:t>达州市</w:t>
            </w:r>
            <w:r>
              <w:rPr>
                <w:rFonts w:hint="default" w:ascii="Times New Roman" w:hAnsi="Times New Roman" w:eastAsia="宋体" w:cs="Times New Roman"/>
                <w:b/>
                <w:bCs/>
                <w:kern w:val="0"/>
                <w:sz w:val="21"/>
                <w:szCs w:val="21"/>
                <w:lang w:val="en-US" w:eastAsia="zh-CN"/>
              </w:rPr>
              <w:t>生态环境分区管控图</w:t>
            </w:r>
          </w:p>
          <w:p w14:paraId="6BF0392B">
            <w:pPr>
              <w:numPr>
                <w:ilvl w:val="0"/>
                <w:numId w:val="3"/>
              </w:numPr>
              <w:wordWrap w:val="0"/>
              <w:ind w:left="63" w:leftChars="30" w:right="63" w:rightChars="30"/>
              <w:jc w:val="center"/>
              <w:rPr>
                <w:rFonts w:hint="eastAsia" w:ascii="Times New Roman" w:hAnsi="Times New Roman" w:eastAsia="宋体" w:cs="Times New Roman"/>
                <w:b/>
                <w:szCs w:val="21"/>
              </w:rPr>
            </w:pPr>
            <w:r>
              <w:rPr>
                <w:rFonts w:hint="eastAsia" w:ascii="Times New Roman" w:hAnsi="Times New Roman" w:eastAsia="宋体" w:cs="Times New Roman"/>
                <w:b/>
                <w:szCs w:val="21"/>
              </w:rPr>
              <w:t>全市及各县（市、区）总体生态环境管控要求</w:t>
            </w:r>
          </w:p>
          <w:tbl>
            <w:tblPr>
              <w:tblStyle w:val="26"/>
              <w:tblW w:w="8133"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37"/>
              <w:gridCol w:w="4320"/>
              <w:gridCol w:w="2518"/>
              <w:gridCol w:w="658"/>
            </w:tblGrid>
            <w:tr w14:paraId="36CB129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37" w:type="dxa"/>
                  <w:noWrap w:val="0"/>
                  <w:vAlign w:val="center"/>
                </w:tcPr>
                <w:p w14:paraId="3292D52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行政区划</w:t>
                  </w:r>
                </w:p>
              </w:tc>
              <w:tc>
                <w:tcPr>
                  <w:tcW w:w="4320" w:type="dxa"/>
                  <w:noWrap w:val="0"/>
                  <w:vAlign w:val="center"/>
                </w:tcPr>
                <w:p w14:paraId="738A700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全市及各县（市、区）总体生态环境管控要求</w:t>
                  </w:r>
                </w:p>
              </w:tc>
              <w:tc>
                <w:tcPr>
                  <w:tcW w:w="2518" w:type="dxa"/>
                  <w:noWrap w:val="0"/>
                  <w:vAlign w:val="center"/>
                </w:tcPr>
                <w:p w14:paraId="4325E25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w:t>
                  </w:r>
                </w:p>
              </w:tc>
              <w:tc>
                <w:tcPr>
                  <w:tcW w:w="658" w:type="dxa"/>
                  <w:noWrap w:val="0"/>
                  <w:vAlign w:val="center"/>
                </w:tcPr>
                <w:p w14:paraId="4235878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符合性</w:t>
                  </w:r>
                </w:p>
              </w:tc>
            </w:tr>
            <w:tr w14:paraId="663140F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37" w:type="dxa"/>
                  <w:vMerge w:val="restart"/>
                  <w:noWrap w:val="0"/>
                  <w:vAlign w:val="center"/>
                </w:tcPr>
                <w:p w14:paraId="15952C8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val="en-US" w:eastAsia="zh-CN"/>
                    </w:rPr>
                    <w:t>达州市</w:t>
                  </w:r>
                </w:p>
              </w:tc>
              <w:tc>
                <w:tcPr>
                  <w:tcW w:w="4320" w:type="dxa"/>
                  <w:noWrap w:val="0"/>
                  <w:vAlign w:val="center"/>
                </w:tcPr>
                <w:p w14:paraId="6D8F69F9">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长江干支流岸线1千米范围内，不得新建、扩建化工园区和化工项目。</w:t>
                  </w:r>
                </w:p>
              </w:tc>
              <w:tc>
                <w:tcPr>
                  <w:tcW w:w="2518" w:type="dxa"/>
                  <w:noWrap w:val="0"/>
                  <w:vAlign w:val="center"/>
                </w:tcPr>
                <w:p w14:paraId="70A5128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本项目不属于化工园区和化工项目</w:t>
                  </w:r>
                </w:p>
              </w:tc>
              <w:tc>
                <w:tcPr>
                  <w:tcW w:w="658" w:type="dxa"/>
                  <w:noWrap w:val="0"/>
                  <w:vAlign w:val="center"/>
                </w:tcPr>
                <w:p w14:paraId="5D42FB6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14:paraId="192ABA6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1" w:hRule="atLeast"/>
                <w:jc w:val="center"/>
              </w:trPr>
              <w:tc>
                <w:tcPr>
                  <w:tcW w:w="637" w:type="dxa"/>
                  <w:vMerge w:val="continue"/>
                  <w:noWrap w:val="0"/>
                  <w:vAlign w:val="center"/>
                </w:tcPr>
                <w:p w14:paraId="66BD7F0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sz w:val="21"/>
                      <w:szCs w:val="21"/>
                    </w:rPr>
                  </w:pPr>
                </w:p>
              </w:tc>
              <w:tc>
                <w:tcPr>
                  <w:tcW w:w="4320" w:type="dxa"/>
                  <w:noWrap w:val="0"/>
                  <w:vAlign w:val="center"/>
                </w:tcPr>
                <w:p w14:paraId="7FBC2A30">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严控产业转移环境准入</w:t>
                  </w:r>
                </w:p>
              </w:tc>
              <w:tc>
                <w:tcPr>
                  <w:tcW w:w="2518" w:type="dxa"/>
                  <w:noWrap w:val="0"/>
                  <w:vAlign w:val="center"/>
                </w:tcPr>
                <w:p w14:paraId="4CCA589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本项目符合国家现行产业政策，属于允许类</w:t>
                  </w:r>
                </w:p>
              </w:tc>
              <w:tc>
                <w:tcPr>
                  <w:tcW w:w="658" w:type="dxa"/>
                  <w:noWrap w:val="0"/>
                  <w:vAlign w:val="center"/>
                </w:tcPr>
                <w:p w14:paraId="32723CC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14:paraId="366EE59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1" w:hRule="atLeast"/>
                <w:jc w:val="center"/>
              </w:trPr>
              <w:tc>
                <w:tcPr>
                  <w:tcW w:w="637" w:type="dxa"/>
                  <w:vMerge w:val="continue"/>
                  <w:noWrap w:val="0"/>
                  <w:vAlign w:val="center"/>
                </w:tcPr>
                <w:p w14:paraId="65CEDEE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320" w:type="dxa"/>
                  <w:noWrap w:val="0"/>
                  <w:vAlign w:val="center"/>
                </w:tcPr>
                <w:p w14:paraId="0795EC7F">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引进项目应符合园区规划环评和区域产业准入清单要求</w:t>
                  </w:r>
                </w:p>
              </w:tc>
              <w:tc>
                <w:tcPr>
                  <w:tcW w:w="2518" w:type="dxa"/>
                  <w:noWrap w:val="0"/>
                  <w:vAlign w:val="center"/>
                </w:tcPr>
                <w:p w14:paraId="59D96D7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本项目位于达州市通川区东岳新型工业聚集区，属于园区允许类项目</w:t>
                  </w:r>
                </w:p>
              </w:tc>
              <w:tc>
                <w:tcPr>
                  <w:tcW w:w="658" w:type="dxa"/>
                  <w:noWrap w:val="0"/>
                  <w:vAlign w:val="center"/>
                </w:tcPr>
                <w:p w14:paraId="20D997E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14:paraId="3C27056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37" w:type="dxa"/>
                  <w:vMerge w:val="continue"/>
                  <w:noWrap w:val="0"/>
                  <w:vAlign w:val="center"/>
                </w:tcPr>
                <w:p w14:paraId="7A11A4C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320" w:type="dxa"/>
                  <w:noWrap w:val="0"/>
                  <w:vAlign w:val="center"/>
                </w:tcPr>
                <w:p w14:paraId="24924706">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造纸等产业污染治理和环境管理应达到国内先进水平。优化制浆造纸产业布局，提升行业清洁生产水平，推动制浆造纸工业向节能、环保、绿色方向发展。</w:t>
                  </w:r>
                </w:p>
              </w:tc>
              <w:tc>
                <w:tcPr>
                  <w:tcW w:w="2518" w:type="dxa"/>
                  <w:noWrap w:val="0"/>
                  <w:vAlign w:val="center"/>
                </w:tcPr>
                <w:p w14:paraId="67A4075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本项目不属于造纸业</w:t>
                  </w:r>
                </w:p>
              </w:tc>
              <w:tc>
                <w:tcPr>
                  <w:tcW w:w="658" w:type="dxa"/>
                  <w:noWrap w:val="0"/>
                  <w:vAlign w:val="center"/>
                </w:tcPr>
                <w:p w14:paraId="79CE5BF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符合</w:t>
                  </w:r>
                </w:p>
              </w:tc>
            </w:tr>
            <w:tr w14:paraId="30C4300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36" w:hRule="atLeast"/>
                <w:jc w:val="center"/>
              </w:trPr>
              <w:tc>
                <w:tcPr>
                  <w:tcW w:w="637" w:type="dxa"/>
                  <w:vMerge w:val="continue"/>
                  <w:noWrap w:val="0"/>
                  <w:vAlign w:val="center"/>
                </w:tcPr>
                <w:p w14:paraId="383A60E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320" w:type="dxa"/>
                  <w:noWrap w:val="0"/>
                  <w:vAlign w:val="center"/>
                </w:tcPr>
                <w:p w14:paraId="1AE0365B">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深化成都平原、川南、川东北地区大气污染联防联控工作机制，加强川渝地区联防联控。强化重污染天气区域应急联动机制，深化区域重污染天气联合应对。</w:t>
                  </w:r>
                </w:p>
              </w:tc>
              <w:tc>
                <w:tcPr>
                  <w:tcW w:w="2518" w:type="dxa"/>
                  <w:noWrap w:val="0"/>
                  <w:vAlign w:val="center"/>
                </w:tcPr>
                <w:p w14:paraId="66012B2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本项目运营过程严格按照相关规定强化重污染天气区域应急联动机制，深化区域重污染天气联合应对。</w:t>
                  </w:r>
                </w:p>
              </w:tc>
              <w:tc>
                <w:tcPr>
                  <w:tcW w:w="658" w:type="dxa"/>
                  <w:noWrap w:val="0"/>
                  <w:vAlign w:val="center"/>
                </w:tcPr>
                <w:p w14:paraId="5BD6D7F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符合</w:t>
                  </w:r>
                </w:p>
              </w:tc>
            </w:tr>
            <w:tr w14:paraId="35E18A4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5" w:hRule="atLeast"/>
                <w:jc w:val="center"/>
              </w:trPr>
              <w:tc>
                <w:tcPr>
                  <w:tcW w:w="637" w:type="dxa"/>
                  <w:vMerge w:val="continue"/>
                  <w:noWrap w:val="0"/>
                  <w:vAlign w:val="center"/>
                </w:tcPr>
                <w:p w14:paraId="1E23A01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320" w:type="dxa"/>
                  <w:noWrap w:val="0"/>
                  <w:vAlign w:val="center"/>
                </w:tcPr>
                <w:p w14:paraId="35114AAD">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钢铁行业项目新建应参考达州市“三线一单”生态环境分区管控中钢铁行业资源环境绩效准入门槛；达钢等高污染企业限期退城入园；普光气田开发污染防治和环境管理等方面要达国内先进水平。</w:t>
                  </w:r>
                </w:p>
              </w:tc>
              <w:tc>
                <w:tcPr>
                  <w:tcW w:w="2518" w:type="dxa"/>
                  <w:noWrap w:val="0"/>
                  <w:vAlign w:val="center"/>
                </w:tcPr>
                <w:p w14:paraId="265C8B7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本项目不涉及</w:t>
                  </w:r>
                </w:p>
              </w:tc>
              <w:tc>
                <w:tcPr>
                  <w:tcW w:w="658" w:type="dxa"/>
                  <w:noWrap w:val="0"/>
                  <w:vAlign w:val="center"/>
                </w:tcPr>
                <w:p w14:paraId="71A44C6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符合</w:t>
                  </w:r>
                </w:p>
              </w:tc>
            </w:tr>
            <w:tr w14:paraId="7E7DD21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5" w:hRule="atLeast"/>
                <w:jc w:val="center"/>
              </w:trPr>
              <w:tc>
                <w:tcPr>
                  <w:tcW w:w="637" w:type="dxa"/>
                  <w:vMerge w:val="restart"/>
                  <w:noWrap w:val="0"/>
                  <w:vAlign w:val="center"/>
                </w:tcPr>
                <w:p w14:paraId="3C5D192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通川区</w:t>
                  </w:r>
                </w:p>
              </w:tc>
              <w:tc>
                <w:tcPr>
                  <w:tcW w:w="4320" w:type="dxa"/>
                  <w:noWrap w:val="0"/>
                  <w:vAlign w:val="center"/>
                </w:tcPr>
                <w:p w14:paraId="7CD61E39">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优化调整产业布局，以细颗粒物（PM</w:t>
                  </w:r>
                  <w:r>
                    <w:rPr>
                      <w:rFonts w:hint="default" w:ascii="Times New Roman" w:hAnsi="Times New Roman" w:eastAsia="宋体" w:cs="Times New Roman"/>
                      <w:color w:val="auto"/>
                      <w:kern w:val="0"/>
                      <w:sz w:val="21"/>
                      <w:szCs w:val="21"/>
                      <w:highlight w:val="none"/>
                      <w:vertAlign w:val="subscript"/>
                    </w:rPr>
                    <w:t>2.5</w:t>
                  </w:r>
                  <w:r>
                    <w:rPr>
                      <w:rFonts w:hint="default" w:ascii="Times New Roman" w:hAnsi="Times New Roman" w:eastAsia="宋体" w:cs="Times New Roman"/>
                      <w:color w:val="auto"/>
                      <w:kern w:val="0"/>
                      <w:sz w:val="21"/>
                      <w:szCs w:val="21"/>
                      <w:highlight w:val="none"/>
                    </w:rPr>
                    <w:t>）和臭氧（O</w:t>
                  </w:r>
                  <w:r>
                    <w:rPr>
                      <w:rFonts w:hint="default" w:ascii="Times New Roman" w:hAnsi="Times New Roman" w:eastAsia="宋体" w:cs="Times New Roman"/>
                      <w:color w:val="auto"/>
                      <w:kern w:val="0"/>
                      <w:sz w:val="21"/>
                      <w:szCs w:val="21"/>
                      <w:highlight w:val="none"/>
                      <w:vertAlign w:val="subscript"/>
                    </w:rPr>
                    <w:t>3</w:t>
                  </w:r>
                  <w:r>
                    <w:rPr>
                      <w:rFonts w:hint="default" w:ascii="Times New Roman" w:hAnsi="Times New Roman" w:eastAsia="宋体" w:cs="Times New Roman"/>
                      <w:color w:val="auto"/>
                      <w:kern w:val="0"/>
                      <w:sz w:val="21"/>
                      <w:szCs w:val="21"/>
                      <w:highlight w:val="none"/>
                    </w:rPr>
                    <w:t>）污染协同控制为重点，全面开展挥发性有机物（VOCs）治理，实施移动源整治，持续推进空气质量精细化管理。</w:t>
                  </w:r>
                </w:p>
              </w:tc>
              <w:tc>
                <w:tcPr>
                  <w:tcW w:w="2518" w:type="dxa"/>
                  <w:noWrap w:val="0"/>
                  <w:vAlign w:val="center"/>
                </w:tcPr>
                <w:p w14:paraId="6B78967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项目运营过程产生的颗粒物、沥青烟、VOCs（以NMHC计）、苯并[a]芘、NO</w:t>
                  </w:r>
                  <w:r>
                    <w:rPr>
                      <w:rFonts w:hint="eastAsia" w:cs="Times New Roman"/>
                      <w:color w:val="auto"/>
                      <w:kern w:val="0"/>
                      <w:sz w:val="21"/>
                      <w:szCs w:val="21"/>
                      <w:highlight w:val="none"/>
                      <w:vertAlign w:val="subscript"/>
                      <w:lang w:val="en-US" w:eastAsia="zh-CN"/>
                    </w:rPr>
                    <w:t>x</w:t>
                  </w:r>
                  <w:r>
                    <w:rPr>
                      <w:rFonts w:hint="eastAsia" w:cs="Times New Roman"/>
                      <w:color w:val="auto"/>
                      <w:kern w:val="0"/>
                      <w:sz w:val="21"/>
                      <w:szCs w:val="21"/>
                      <w:highlight w:val="none"/>
                      <w:lang w:val="en-US" w:eastAsia="zh-CN"/>
                    </w:rPr>
                    <w:t>、SO</w:t>
                  </w:r>
                  <w:r>
                    <w:rPr>
                      <w:rFonts w:hint="eastAsia" w:cs="Times New Roman"/>
                      <w:color w:val="auto"/>
                      <w:kern w:val="0"/>
                      <w:sz w:val="21"/>
                      <w:szCs w:val="21"/>
                      <w:highlight w:val="none"/>
                      <w:vertAlign w:val="subscript"/>
                      <w:lang w:val="en-US" w:eastAsia="zh-CN"/>
                    </w:rPr>
                    <w:t>2</w:t>
                  </w:r>
                  <w:r>
                    <w:rPr>
                      <w:rFonts w:hint="eastAsia" w:cs="Times New Roman"/>
                      <w:color w:val="auto"/>
                      <w:kern w:val="0"/>
                      <w:sz w:val="21"/>
                      <w:szCs w:val="21"/>
                      <w:highlight w:val="none"/>
                      <w:lang w:val="en-US" w:eastAsia="zh-CN"/>
                    </w:rPr>
                    <w:t>经采取有效治理措施后均能实现达标排放，不会改变项目所在区域环境空气质量现状。</w:t>
                  </w:r>
                </w:p>
              </w:tc>
              <w:tc>
                <w:tcPr>
                  <w:tcW w:w="658" w:type="dxa"/>
                  <w:noWrap w:val="0"/>
                  <w:vAlign w:val="center"/>
                </w:tcPr>
                <w:p w14:paraId="4F03876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790B452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37" w:type="dxa"/>
                  <w:vMerge w:val="continue"/>
                  <w:noWrap w:val="0"/>
                  <w:vAlign w:val="center"/>
                </w:tcPr>
                <w:p w14:paraId="0D39DE4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sz w:val="21"/>
                      <w:szCs w:val="21"/>
                    </w:rPr>
                  </w:pPr>
                </w:p>
              </w:tc>
              <w:tc>
                <w:tcPr>
                  <w:tcW w:w="4320" w:type="dxa"/>
                  <w:noWrap w:val="0"/>
                  <w:vAlign w:val="center"/>
                </w:tcPr>
                <w:p w14:paraId="2F471366">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调整农作物种植结构，加强农业氨污染控制，大力发展节水农业。</w:t>
                  </w:r>
                </w:p>
              </w:tc>
              <w:tc>
                <w:tcPr>
                  <w:tcW w:w="2518" w:type="dxa"/>
                  <w:noWrap w:val="0"/>
                  <w:vAlign w:val="center"/>
                </w:tcPr>
                <w:p w14:paraId="20CA8E4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本项目不涉及</w:t>
                  </w:r>
                </w:p>
              </w:tc>
              <w:tc>
                <w:tcPr>
                  <w:tcW w:w="658" w:type="dxa"/>
                  <w:noWrap w:val="0"/>
                  <w:vAlign w:val="center"/>
                </w:tcPr>
                <w:p w14:paraId="5291399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符合</w:t>
                  </w:r>
                </w:p>
              </w:tc>
            </w:tr>
            <w:tr w14:paraId="2FC59F3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5" w:hRule="atLeast"/>
                <w:jc w:val="center"/>
              </w:trPr>
              <w:tc>
                <w:tcPr>
                  <w:tcW w:w="637" w:type="dxa"/>
                  <w:vMerge w:val="continue"/>
                  <w:noWrap w:val="0"/>
                  <w:vAlign w:val="center"/>
                </w:tcPr>
                <w:p w14:paraId="6B8045C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320" w:type="dxa"/>
                  <w:noWrap w:val="0"/>
                  <w:vAlign w:val="center"/>
                </w:tcPr>
                <w:p w14:paraId="6D73C810">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加强建筑工程日常监管，对重点环节采取遮盖、洒水、封闭等措施控制扬尘排放。提高道路硬化率，减少道路起尘源。推动非道路移动机械达标排放示范企业建设。</w:t>
                  </w:r>
                </w:p>
              </w:tc>
              <w:tc>
                <w:tcPr>
                  <w:tcW w:w="2518" w:type="dxa"/>
                  <w:noWrap w:val="0"/>
                  <w:vAlign w:val="center"/>
                </w:tcPr>
                <w:p w14:paraId="6F04C0B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本项目建成运营后加强建筑工程日常监管，设置封闭式原料堆场，厂区路面硬化，及时清扫，厂区内定期洒水降尘。</w:t>
                  </w:r>
                </w:p>
              </w:tc>
              <w:tc>
                <w:tcPr>
                  <w:tcW w:w="658" w:type="dxa"/>
                  <w:noWrap w:val="0"/>
                  <w:vAlign w:val="center"/>
                </w:tcPr>
                <w:p w14:paraId="267793B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符合</w:t>
                  </w:r>
                </w:p>
              </w:tc>
            </w:tr>
            <w:tr w14:paraId="2FE996E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37" w:type="dxa"/>
                  <w:vMerge w:val="continue"/>
                  <w:noWrap w:val="0"/>
                  <w:vAlign w:val="center"/>
                </w:tcPr>
                <w:p w14:paraId="51374CB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320" w:type="dxa"/>
                  <w:noWrap w:val="0"/>
                  <w:vAlign w:val="center"/>
                </w:tcPr>
                <w:p w14:paraId="33DF851B">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建立健全农业节水体系，推广使用节水灌溉技术，探索乡镇、农村生活污水资源化还田利用。大力开展沿河畜禽养殖污染整治，实现畜禽粪污减量化排放、无害化处理和资源化利用。</w:t>
                  </w:r>
                </w:p>
              </w:tc>
              <w:tc>
                <w:tcPr>
                  <w:tcW w:w="2518" w:type="dxa"/>
                  <w:noWrap w:val="0"/>
                  <w:vAlign w:val="center"/>
                </w:tcPr>
                <w:p w14:paraId="6EE8A2F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本项目不涉及</w:t>
                  </w:r>
                </w:p>
              </w:tc>
              <w:tc>
                <w:tcPr>
                  <w:tcW w:w="658" w:type="dxa"/>
                  <w:noWrap w:val="0"/>
                  <w:vAlign w:val="center"/>
                </w:tcPr>
                <w:p w14:paraId="24210FE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符合</w:t>
                  </w:r>
                </w:p>
              </w:tc>
            </w:tr>
          </w:tbl>
          <w:p w14:paraId="1EEECDAA">
            <w:pPr>
              <w:autoSpaceDE w:val="0"/>
              <w:autoSpaceDN w:val="0"/>
              <w:spacing w:line="240" w:lineRule="auto"/>
              <w:ind w:firstLine="420" w:firstLineChars="200"/>
              <w:jc w:val="center"/>
              <w:rPr>
                <w:rFonts w:hint="eastAsia"/>
                <w:b w:val="0"/>
                <w:bCs/>
                <w:color w:val="auto"/>
                <w:kern w:val="0"/>
                <w:sz w:val="21"/>
                <w:szCs w:val="21"/>
                <w:highlight w:val="none"/>
                <w:lang w:val="en-US" w:eastAsia="zh-CN"/>
              </w:rPr>
            </w:pPr>
          </w:p>
          <w:p w14:paraId="7B0F5A10">
            <w:pPr>
              <w:autoSpaceDE w:val="0"/>
              <w:autoSpaceDN w:val="0"/>
              <w:spacing w:line="360" w:lineRule="auto"/>
              <w:ind w:firstLine="480" w:firstLineChars="200"/>
              <w:rPr>
                <w:rFonts w:hint="eastAsia"/>
                <w:b/>
                <w:color w:val="auto"/>
                <w:kern w:val="0"/>
                <w:sz w:val="24"/>
                <w:highlight w:val="none"/>
                <w:lang w:val="en-US" w:eastAsia="zh-CN"/>
              </w:rPr>
            </w:pPr>
            <w:r>
              <w:rPr>
                <w:rFonts w:hint="eastAsia"/>
                <w:b w:val="0"/>
                <w:bCs/>
                <w:color w:val="auto"/>
                <w:kern w:val="0"/>
                <w:sz w:val="24"/>
                <w:highlight w:val="none"/>
                <w:lang w:val="en-US" w:eastAsia="zh-CN"/>
              </w:rPr>
              <w:t>综上所述，本项目的建设符合《达州市人民政府办公室关于加强生态环境分区管控的通知》（达市府办函【2024】31号）相关要求。</w:t>
            </w:r>
          </w:p>
          <w:p w14:paraId="070C1833">
            <w:pPr>
              <w:autoSpaceDE w:val="0"/>
              <w:autoSpaceDN w:val="0"/>
              <w:spacing w:line="360" w:lineRule="auto"/>
              <w:ind w:firstLine="482" w:firstLineChars="200"/>
              <w:rPr>
                <w:b/>
                <w:color w:val="auto"/>
                <w:kern w:val="0"/>
                <w:sz w:val="24"/>
                <w:highlight w:val="none"/>
              </w:rPr>
            </w:pPr>
            <w:r>
              <w:rPr>
                <w:rFonts w:hint="eastAsia"/>
                <w:b/>
                <w:color w:val="auto"/>
                <w:kern w:val="0"/>
                <w:sz w:val="24"/>
                <w:highlight w:val="none"/>
                <w:lang w:val="en-US" w:eastAsia="zh-CN"/>
              </w:rPr>
              <w:t>5</w:t>
            </w:r>
            <w:r>
              <w:rPr>
                <w:rFonts w:hint="eastAsia"/>
                <w:b/>
                <w:color w:val="auto"/>
                <w:kern w:val="0"/>
                <w:sz w:val="24"/>
                <w:highlight w:val="none"/>
              </w:rPr>
              <w:t>、与《长江经济带发展负面清单指南（试行，2022年版）》符合性分析</w:t>
            </w:r>
          </w:p>
          <w:p w14:paraId="64A812B0">
            <w:pPr>
              <w:autoSpaceDE w:val="0"/>
              <w:autoSpaceDN w:val="0"/>
              <w:spacing w:line="360" w:lineRule="auto"/>
              <w:ind w:firstLine="480" w:firstLineChars="200"/>
              <w:rPr>
                <w:b/>
                <w:color w:val="auto"/>
                <w:kern w:val="0"/>
                <w:sz w:val="24"/>
                <w:highlight w:val="none"/>
              </w:rPr>
            </w:pPr>
            <w:r>
              <w:rPr>
                <w:rFonts w:hint="eastAsia"/>
                <w:bCs/>
                <w:color w:val="auto"/>
                <w:kern w:val="0"/>
                <w:sz w:val="24"/>
                <w:highlight w:val="none"/>
              </w:rPr>
              <w:t>推动长江经济带发展领导小组办公室于2022年1月19日印发《长江经济带发展负面清单指南（试行，2022年版）</w:t>
            </w:r>
            <w:r>
              <w:rPr>
                <w:rFonts w:hint="eastAsia"/>
                <w:bCs/>
                <w:color w:val="auto"/>
                <w:kern w:val="0"/>
                <w:sz w:val="24"/>
                <w:highlight w:val="none"/>
                <w:lang w:eastAsia="zh-CN"/>
              </w:rPr>
              <w:t>》《</w:t>
            </w:r>
            <w:r>
              <w:rPr>
                <w:rFonts w:hint="eastAsia"/>
                <w:bCs/>
                <w:color w:val="auto"/>
                <w:kern w:val="0"/>
                <w:sz w:val="24"/>
                <w:highlight w:val="none"/>
              </w:rPr>
              <w:t>指南》要求“要坚持生态优先、绿色发展的战略定位和共抓大环保</w:t>
            </w:r>
            <w:r>
              <w:rPr>
                <w:rFonts w:hint="eastAsia"/>
                <w:bCs/>
                <w:color w:val="auto"/>
                <w:kern w:val="0"/>
                <w:sz w:val="24"/>
                <w:highlight w:val="none"/>
                <w:lang w:eastAsia="zh-CN"/>
              </w:rPr>
              <w:t>，</w:t>
            </w:r>
            <w:r>
              <w:rPr>
                <w:rFonts w:hint="eastAsia"/>
                <w:bCs/>
                <w:color w:val="auto"/>
                <w:kern w:val="0"/>
                <w:sz w:val="24"/>
                <w:highlight w:val="none"/>
              </w:rPr>
              <w:t>不搞大开发的战略导向，把修复长江生态环境摆在压倒性位置，严格执行负面清单管理制度体系，层层压实责任，严格落实管控措施，确保涉及长江的一切投资建设活动都以不破坏生态环境为前提。本项目与其主要内容符合性分析见下表：</w:t>
            </w:r>
          </w:p>
          <w:p w14:paraId="654767C0">
            <w:pPr>
              <w:numPr>
                <w:ilvl w:val="0"/>
                <w:numId w:val="3"/>
              </w:numPr>
              <w:wordWrap w:val="0"/>
              <w:ind w:left="63" w:leftChars="30" w:right="63" w:rightChars="30"/>
              <w:jc w:val="center"/>
              <w:rPr>
                <w:rFonts w:hint="eastAsia" w:ascii="Times New Roman" w:hAnsi="Times New Roman" w:eastAsia="宋体" w:cs="Times New Roman"/>
                <w:b/>
                <w:szCs w:val="21"/>
              </w:rPr>
            </w:pPr>
            <w:r>
              <w:rPr>
                <w:rFonts w:hint="eastAsia" w:ascii="Times New Roman" w:hAnsi="Times New Roman" w:eastAsia="宋体" w:cs="Times New Roman"/>
                <w:b/>
                <w:szCs w:val="21"/>
              </w:rPr>
              <w:t>项目与《长江经济带发展负面清单指南（试行，2022年版）》符合性分析表</w:t>
            </w:r>
          </w:p>
          <w:tbl>
            <w:tblPr>
              <w:tblStyle w:val="26"/>
              <w:tblW w:w="806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493"/>
              <w:gridCol w:w="2337"/>
              <w:gridCol w:w="1237"/>
            </w:tblGrid>
            <w:tr w14:paraId="2E4473F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493" w:type="dxa"/>
                  <w:noWrap w:val="0"/>
                  <w:vAlign w:val="center"/>
                </w:tcPr>
                <w:p w14:paraId="68CE8676">
                  <w:pPr>
                    <w:pStyle w:val="2"/>
                    <w:snapToGrid/>
                    <w:spacing w:before="0" w:after="0" w:line="240" w:lineRule="exact"/>
                    <w:ind w:right="0"/>
                    <w:jc w:val="center"/>
                    <w:rPr>
                      <w:color w:val="auto"/>
                      <w:sz w:val="21"/>
                      <w:szCs w:val="21"/>
                      <w:highlight w:val="none"/>
                    </w:rPr>
                  </w:pPr>
                  <w:r>
                    <w:rPr>
                      <w:color w:val="auto"/>
                      <w:sz w:val="21"/>
                      <w:szCs w:val="21"/>
                      <w:highlight w:val="none"/>
                    </w:rPr>
                    <w:t>文件要求</w:t>
                  </w:r>
                </w:p>
              </w:tc>
              <w:tc>
                <w:tcPr>
                  <w:tcW w:w="2337" w:type="dxa"/>
                  <w:noWrap w:val="0"/>
                  <w:vAlign w:val="center"/>
                </w:tcPr>
                <w:p w14:paraId="4EC2E7D5">
                  <w:pPr>
                    <w:pStyle w:val="2"/>
                    <w:snapToGrid/>
                    <w:spacing w:before="0" w:after="0" w:line="240" w:lineRule="exact"/>
                    <w:ind w:right="0"/>
                    <w:jc w:val="center"/>
                    <w:rPr>
                      <w:color w:val="auto"/>
                      <w:sz w:val="21"/>
                      <w:szCs w:val="21"/>
                      <w:highlight w:val="none"/>
                    </w:rPr>
                  </w:pPr>
                  <w:r>
                    <w:rPr>
                      <w:color w:val="auto"/>
                      <w:sz w:val="21"/>
                      <w:szCs w:val="21"/>
                      <w:highlight w:val="none"/>
                    </w:rPr>
                    <w:t>本项目情况</w:t>
                  </w:r>
                </w:p>
              </w:tc>
              <w:tc>
                <w:tcPr>
                  <w:tcW w:w="1237" w:type="dxa"/>
                  <w:noWrap w:val="0"/>
                  <w:vAlign w:val="center"/>
                </w:tcPr>
                <w:p w14:paraId="640557D6">
                  <w:pPr>
                    <w:pStyle w:val="2"/>
                    <w:snapToGrid/>
                    <w:spacing w:before="0" w:after="0" w:line="240" w:lineRule="exact"/>
                    <w:ind w:right="0"/>
                    <w:jc w:val="center"/>
                    <w:rPr>
                      <w:color w:val="auto"/>
                      <w:sz w:val="21"/>
                      <w:szCs w:val="21"/>
                      <w:highlight w:val="none"/>
                    </w:rPr>
                  </w:pPr>
                  <w:r>
                    <w:rPr>
                      <w:color w:val="auto"/>
                      <w:sz w:val="21"/>
                      <w:szCs w:val="21"/>
                      <w:highlight w:val="none"/>
                    </w:rPr>
                    <w:t>符合情况</w:t>
                  </w:r>
                </w:p>
              </w:tc>
            </w:tr>
            <w:tr w14:paraId="28E1025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5" w:hRule="atLeast"/>
                <w:jc w:val="center"/>
              </w:trPr>
              <w:tc>
                <w:tcPr>
                  <w:tcW w:w="4493" w:type="dxa"/>
                  <w:noWrap w:val="0"/>
                  <w:vAlign w:val="center"/>
                </w:tcPr>
                <w:p w14:paraId="66799C88">
                  <w:pPr>
                    <w:pStyle w:val="2"/>
                    <w:snapToGrid/>
                    <w:spacing w:before="0" w:after="0" w:line="240" w:lineRule="exact"/>
                    <w:ind w:right="0"/>
                    <w:jc w:val="center"/>
                    <w:rPr>
                      <w:color w:val="auto"/>
                      <w:sz w:val="21"/>
                      <w:szCs w:val="21"/>
                      <w:highlight w:val="none"/>
                    </w:rPr>
                  </w:pPr>
                  <w:r>
                    <w:rPr>
                      <w:color w:val="auto"/>
                      <w:sz w:val="21"/>
                      <w:szCs w:val="21"/>
                      <w:highlight w:val="none"/>
                    </w:rPr>
                    <w:t>禁止在自然保护区核心区、缓冲区的岸线和河段范围内投资建设旅游和生产经营项目</w:t>
                  </w:r>
                  <w:r>
                    <w:rPr>
                      <w:rFonts w:hint="eastAsia"/>
                      <w:color w:val="auto"/>
                      <w:sz w:val="21"/>
                      <w:szCs w:val="21"/>
                      <w:highlight w:val="none"/>
                    </w:rPr>
                    <w:t>。</w:t>
                  </w:r>
                  <w:r>
                    <w:rPr>
                      <w:color w:val="auto"/>
                      <w:sz w:val="21"/>
                      <w:szCs w:val="21"/>
                      <w:highlight w:val="none"/>
                    </w:rPr>
                    <w:t>禁止在</w:t>
                  </w:r>
                  <w:r>
                    <w:rPr>
                      <w:rFonts w:hint="eastAsia"/>
                      <w:color w:val="auto"/>
                      <w:sz w:val="21"/>
                      <w:szCs w:val="21"/>
                      <w:highlight w:val="none"/>
                    </w:rPr>
                    <w:t>风景名胜区核心景区的岸线和河段范围内投资建设</w:t>
                  </w:r>
                  <w:r>
                    <w:rPr>
                      <w:color w:val="auto"/>
                      <w:sz w:val="21"/>
                      <w:szCs w:val="21"/>
                      <w:highlight w:val="none"/>
                    </w:rPr>
                    <w:t>与风景名胜资源保护无关的</w:t>
                  </w:r>
                  <w:r>
                    <w:rPr>
                      <w:rFonts w:hint="eastAsia"/>
                      <w:color w:val="auto"/>
                      <w:sz w:val="21"/>
                      <w:szCs w:val="21"/>
                      <w:highlight w:val="none"/>
                    </w:rPr>
                    <w:t>项目。</w:t>
                  </w:r>
                </w:p>
              </w:tc>
              <w:tc>
                <w:tcPr>
                  <w:tcW w:w="2337" w:type="dxa"/>
                  <w:noWrap w:val="0"/>
                  <w:vAlign w:val="center"/>
                </w:tcPr>
                <w:p w14:paraId="0A5F8C52">
                  <w:pPr>
                    <w:pStyle w:val="2"/>
                    <w:snapToGrid/>
                    <w:spacing w:before="0" w:after="0" w:line="240" w:lineRule="exact"/>
                    <w:ind w:right="0"/>
                    <w:jc w:val="center"/>
                    <w:rPr>
                      <w:color w:val="auto"/>
                      <w:sz w:val="21"/>
                      <w:szCs w:val="21"/>
                      <w:highlight w:val="none"/>
                    </w:rPr>
                  </w:pPr>
                  <w:r>
                    <w:rPr>
                      <w:color w:val="auto"/>
                      <w:sz w:val="21"/>
                      <w:szCs w:val="21"/>
                      <w:highlight w:val="none"/>
                    </w:rPr>
                    <w:t>本项目不涉及</w:t>
                  </w:r>
                  <w:r>
                    <w:rPr>
                      <w:rFonts w:hint="eastAsia"/>
                      <w:color w:val="auto"/>
                      <w:sz w:val="21"/>
                      <w:szCs w:val="21"/>
                      <w:highlight w:val="none"/>
                    </w:rPr>
                    <w:t>风景名胜区、</w:t>
                  </w:r>
                  <w:r>
                    <w:rPr>
                      <w:color w:val="auto"/>
                      <w:sz w:val="21"/>
                      <w:szCs w:val="21"/>
                      <w:highlight w:val="none"/>
                    </w:rPr>
                    <w:t>自然保护区核心区、缓冲区的岸线和河段</w:t>
                  </w:r>
                  <w:r>
                    <w:rPr>
                      <w:rFonts w:hint="eastAsia"/>
                      <w:color w:val="auto"/>
                      <w:sz w:val="21"/>
                      <w:szCs w:val="21"/>
                      <w:highlight w:val="none"/>
                      <w:lang w:val="en-US" w:eastAsia="zh-CN"/>
                    </w:rPr>
                    <w:t>范围</w:t>
                  </w:r>
                  <w:r>
                    <w:rPr>
                      <w:color w:val="auto"/>
                      <w:sz w:val="21"/>
                      <w:szCs w:val="21"/>
                      <w:highlight w:val="none"/>
                    </w:rPr>
                    <w:t>内。</w:t>
                  </w:r>
                </w:p>
              </w:tc>
              <w:tc>
                <w:tcPr>
                  <w:tcW w:w="1237" w:type="dxa"/>
                  <w:noWrap w:val="0"/>
                  <w:vAlign w:val="center"/>
                </w:tcPr>
                <w:p w14:paraId="2C214694">
                  <w:pPr>
                    <w:widowControl/>
                    <w:spacing w:line="240" w:lineRule="exact"/>
                    <w:jc w:val="center"/>
                    <w:rPr>
                      <w:color w:val="auto"/>
                      <w:szCs w:val="21"/>
                      <w:highlight w:val="none"/>
                    </w:rPr>
                  </w:pPr>
                  <w:r>
                    <w:rPr>
                      <w:color w:val="auto"/>
                      <w:szCs w:val="21"/>
                      <w:highlight w:val="none"/>
                    </w:rPr>
                    <w:t>符合</w:t>
                  </w:r>
                </w:p>
              </w:tc>
            </w:tr>
            <w:tr w14:paraId="64186CF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493" w:type="dxa"/>
                  <w:noWrap w:val="0"/>
                  <w:vAlign w:val="center"/>
                </w:tcPr>
                <w:p w14:paraId="76A2B8ED">
                  <w:pPr>
                    <w:pStyle w:val="2"/>
                    <w:snapToGrid/>
                    <w:spacing w:before="0" w:after="0" w:line="240" w:lineRule="exact"/>
                    <w:ind w:right="0"/>
                    <w:jc w:val="center"/>
                    <w:rPr>
                      <w:color w:val="auto"/>
                      <w:sz w:val="21"/>
                      <w:szCs w:val="21"/>
                      <w:highlight w:val="none"/>
                    </w:rPr>
                  </w:pPr>
                  <w:r>
                    <w:rPr>
                      <w:color w:val="auto"/>
                      <w:sz w:val="21"/>
                      <w:szCs w:val="21"/>
                      <w:highlight w:val="none"/>
                    </w:rPr>
                    <w:t>禁止在饮用水水源一级保护区的岸线和河段范围内新建、改建、扩建与供水设施和保护水源无关的项目，以及网箱养殖、</w:t>
                  </w:r>
                  <w:r>
                    <w:rPr>
                      <w:rFonts w:hint="eastAsia"/>
                      <w:color w:val="auto"/>
                      <w:sz w:val="21"/>
                      <w:szCs w:val="21"/>
                      <w:highlight w:val="none"/>
                    </w:rPr>
                    <w:t>畜禽养殖、</w:t>
                  </w:r>
                  <w:r>
                    <w:rPr>
                      <w:color w:val="auto"/>
                      <w:sz w:val="21"/>
                      <w:szCs w:val="21"/>
                      <w:highlight w:val="none"/>
                    </w:rPr>
                    <w:t>旅游等可能污染饮用水水体的投资建设项目。禁用水水源二级保护区的岸线和河段</w:t>
                  </w:r>
                  <w:r>
                    <w:rPr>
                      <w:rFonts w:hint="eastAsia"/>
                      <w:color w:val="auto"/>
                      <w:sz w:val="21"/>
                      <w:szCs w:val="21"/>
                      <w:highlight w:val="none"/>
                      <w:lang w:val="en-US" w:eastAsia="zh-CN"/>
                    </w:rPr>
                    <w:t>范围</w:t>
                  </w:r>
                  <w:r>
                    <w:rPr>
                      <w:color w:val="auto"/>
                      <w:sz w:val="21"/>
                      <w:szCs w:val="21"/>
                      <w:highlight w:val="none"/>
                    </w:rPr>
                    <w:t>内新建、改建扩建排放污染物的投资建设项目。</w:t>
                  </w:r>
                </w:p>
              </w:tc>
              <w:tc>
                <w:tcPr>
                  <w:tcW w:w="2337" w:type="dxa"/>
                  <w:noWrap w:val="0"/>
                  <w:vAlign w:val="center"/>
                </w:tcPr>
                <w:p w14:paraId="424E00E4">
                  <w:pPr>
                    <w:pStyle w:val="2"/>
                    <w:snapToGrid/>
                    <w:spacing w:before="0" w:after="0" w:line="240" w:lineRule="exact"/>
                    <w:ind w:right="0"/>
                    <w:jc w:val="center"/>
                    <w:rPr>
                      <w:color w:val="auto"/>
                      <w:sz w:val="21"/>
                      <w:szCs w:val="21"/>
                      <w:highlight w:val="none"/>
                    </w:rPr>
                  </w:pPr>
                  <w:r>
                    <w:rPr>
                      <w:color w:val="auto"/>
                      <w:sz w:val="21"/>
                      <w:szCs w:val="21"/>
                      <w:highlight w:val="none"/>
                    </w:rPr>
                    <w:t>本项目不在饮用水水源一级保护区、二级保护区的岸线和河段范围内。</w:t>
                  </w:r>
                </w:p>
              </w:tc>
              <w:tc>
                <w:tcPr>
                  <w:tcW w:w="1237" w:type="dxa"/>
                  <w:noWrap w:val="0"/>
                  <w:vAlign w:val="center"/>
                </w:tcPr>
                <w:p w14:paraId="1A94D696">
                  <w:pPr>
                    <w:widowControl/>
                    <w:spacing w:line="240" w:lineRule="exact"/>
                    <w:jc w:val="center"/>
                    <w:rPr>
                      <w:color w:val="auto"/>
                      <w:kern w:val="0"/>
                      <w:szCs w:val="21"/>
                      <w:highlight w:val="none"/>
                    </w:rPr>
                  </w:pPr>
                  <w:r>
                    <w:rPr>
                      <w:color w:val="auto"/>
                      <w:szCs w:val="21"/>
                      <w:highlight w:val="none"/>
                    </w:rPr>
                    <w:t>符合</w:t>
                  </w:r>
                </w:p>
              </w:tc>
            </w:tr>
            <w:tr w14:paraId="3529774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493" w:type="dxa"/>
                  <w:noWrap w:val="0"/>
                  <w:vAlign w:val="center"/>
                </w:tcPr>
                <w:p w14:paraId="02C22AC6">
                  <w:pPr>
                    <w:pStyle w:val="2"/>
                    <w:snapToGrid/>
                    <w:spacing w:before="0" w:after="0" w:line="240" w:lineRule="exact"/>
                    <w:ind w:right="0"/>
                    <w:jc w:val="center"/>
                    <w:rPr>
                      <w:color w:val="auto"/>
                      <w:sz w:val="21"/>
                      <w:szCs w:val="21"/>
                      <w:highlight w:val="none"/>
                    </w:rPr>
                  </w:pPr>
                  <w:r>
                    <w:rPr>
                      <w:color w:val="auto"/>
                      <w:sz w:val="21"/>
                      <w:szCs w:val="21"/>
                      <w:highlight w:val="none"/>
                    </w:rPr>
                    <w:t>禁止在水产种质资源保护区的岸线和河段范围内新建围湖造田、围海造地或围填海等投资建设项目。禁止在国家湿地</w:t>
                  </w:r>
                  <w:r>
                    <w:rPr>
                      <w:rFonts w:hint="eastAsia"/>
                      <w:color w:val="auto"/>
                      <w:sz w:val="21"/>
                      <w:szCs w:val="21"/>
                      <w:highlight w:val="none"/>
                      <w:lang w:eastAsia="zh-CN"/>
                    </w:rPr>
                    <w:t>公园</w:t>
                  </w:r>
                  <w:r>
                    <w:rPr>
                      <w:color w:val="auto"/>
                      <w:sz w:val="21"/>
                      <w:szCs w:val="21"/>
                      <w:highlight w:val="none"/>
                    </w:rPr>
                    <w:t>的岸线和河段</w:t>
                  </w:r>
                  <w:r>
                    <w:rPr>
                      <w:rFonts w:hint="eastAsia"/>
                      <w:color w:val="auto"/>
                      <w:sz w:val="21"/>
                      <w:szCs w:val="21"/>
                      <w:highlight w:val="none"/>
                      <w:lang w:val="en-US" w:eastAsia="zh-CN"/>
                    </w:rPr>
                    <w:t>范围</w:t>
                  </w:r>
                  <w:r>
                    <w:rPr>
                      <w:color w:val="auto"/>
                      <w:sz w:val="21"/>
                      <w:szCs w:val="21"/>
                      <w:highlight w:val="none"/>
                    </w:rPr>
                    <w:t>内挖沙、采矿以及任何不符合主体功能定位的投资建设项目。</w:t>
                  </w:r>
                </w:p>
              </w:tc>
              <w:tc>
                <w:tcPr>
                  <w:tcW w:w="2337" w:type="dxa"/>
                  <w:noWrap w:val="0"/>
                  <w:vAlign w:val="center"/>
                </w:tcPr>
                <w:p w14:paraId="11005307">
                  <w:pPr>
                    <w:pStyle w:val="2"/>
                    <w:snapToGrid/>
                    <w:spacing w:before="0" w:after="0" w:line="240" w:lineRule="exact"/>
                    <w:ind w:right="0"/>
                    <w:jc w:val="center"/>
                    <w:rPr>
                      <w:color w:val="auto"/>
                      <w:sz w:val="21"/>
                      <w:szCs w:val="21"/>
                      <w:highlight w:val="none"/>
                    </w:rPr>
                  </w:pPr>
                  <w:r>
                    <w:rPr>
                      <w:rFonts w:hint="eastAsia"/>
                      <w:color w:val="auto"/>
                      <w:sz w:val="21"/>
                      <w:szCs w:val="21"/>
                      <w:highlight w:val="none"/>
                    </w:rPr>
                    <w:t>本项目不属于</w:t>
                  </w:r>
                  <w:r>
                    <w:rPr>
                      <w:color w:val="auto"/>
                      <w:sz w:val="21"/>
                      <w:szCs w:val="21"/>
                      <w:highlight w:val="none"/>
                    </w:rPr>
                    <w:t>围湖造田、围海造地或围填海等投资建设项目。</w:t>
                  </w:r>
                </w:p>
              </w:tc>
              <w:tc>
                <w:tcPr>
                  <w:tcW w:w="1237" w:type="dxa"/>
                  <w:noWrap w:val="0"/>
                  <w:vAlign w:val="center"/>
                </w:tcPr>
                <w:p w14:paraId="0474CD06">
                  <w:pPr>
                    <w:widowControl/>
                    <w:spacing w:line="240" w:lineRule="exact"/>
                    <w:jc w:val="center"/>
                    <w:rPr>
                      <w:color w:val="auto"/>
                      <w:kern w:val="0"/>
                      <w:szCs w:val="21"/>
                      <w:highlight w:val="none"/>
                    </w:rPr>
                  </w:pPr>
                  <w:r>
                    <w:rPr>
                      <w:color w:val="auto"/>
                      <w:szCs w:val="21"/>
                      <w:highlight w:val="none"/>
                    </w:rPr>
                    <w:t>符合</w:t>
                  </w:r>
                </w:p>
              </w:tc>
            </w:tr>
            <w:tr w14:paraId="024B24C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493" w:type="dxa"/>
                  <w:noWrap w:val="0"/>
                  <w:vAlign w:val="center"/>
                </w:tcPr>
                <w:p w14:paraId="508E8150">
                  <w:pPr>
                    <w:pStyle w:val="2"/>
                    <w:snapToGrid/>
                    <w:spacing w:before="0" w:after="0" w:line="240" w:lineRule="exact"/>
                    <w:ind w:right="0"/>
                    <w:jc w:val="center"/>
                    <w:rPr>
                      <w:color w:val="auto"/>
                      <w:sz w:val="21"/>
                      <w:szCs w:val="21"/>
                      <w:highlight w:val="none"/>
                    </w:rPr>
                  </w:pPr>
                  <w:r>
                    <w:rPr>
                      <w:rFonts w:hint="eastAsia"/>
                      <w:color w:val="auto"/>
                      <w:sz w:val="21"/>
                      <w:szCs w:val="21"/>
                      <w:highlight w:val="none"/>
                    </w:rPr>
                    <w:t>禁止未经许可在长江干支流及湖泊新设、改设或扩大排污口。</w:t>
                  </w:r>
                </w:p>
              </w:tc>
              <w:tc>
                <w:tcPr>
                  <w:tcW w:w="2337" w:type="dxa"/>
                  <w:noWrap w:val="0"/>
                  <w:vAlign w:val="center"/>
                </w:tcPr>
                <w:p w14:paraId="2CFCA84F">
                  <w:pPr>
                    <w:pStyle w:val="2"/>
                    <w:snapToGrid/>
                    <w:spacing w:before="0" w:after="0" w:line="240" w:lineRule="exact"/>
                    <w:ind w:right="0"/>
                    <w:jc w:val="center"/>
                    <w:rPr>
                      <w:color w:val="auto"/>
                      <w:sz w:val="21"/>
                      <w:szCs w:val="21"/>
                      <w:highlight w:val="none"/>
                    </w:rPr>
                  </w:pPr>
                  <w:r>
                    <w:rPr>
                      <w:rFonts w:hint="eastAsia"/>
                      <w:color w:val="auto"/>
                      <w:sz w:val="21"/>
                      <w:szCs w:val="21"/>
                      <w:highlight w:val="none"/>
                    </w:rPr>
                    <w:t>本项目不设排污口</w:t>
                  </w:r>
                </w:p>
              </w:tc>
              <w:tc>
                <w:tcPr>
                  <w:tcW w:w="1237" w:type="dxa"/>
                  <w:noWrap w:val="0"/>
                  <w:vAlign w:val="center"/>
                </w:tcPr>
                <w:p w14:paraId="5B09990A">
                  <w:pPr>
                    <w:widowControl/>
                    <w:spacing w:line="240" w:lineRule="exact"/>
                    <w:jc w:val="center"/>
                    <w:rPr>
                      <w:color w:val="auto"/>
                      <w:kern w:val="0"/>
                      <w:szCs w:val="21"/>
                      <w:highlight w:val="none"/>
                    </w:rPr>
                  </w:pPr>
                  <w:r>
                    <w:rPr>
                      <w:color w:val="auto"/>
                      <w:szCs w:val="21"/>
                      <w:highlight w:val="none"/>
                    </w:rPr>
                    <w:t>符合</w:t>
                  </w:r>
                </w:p>
              </w:tc>
            </w:tr>
            <w:tr w14:paraId="64D5718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493" w:type="dxa"/>
                  <w:noWrap w:val="0"/>
                  <w:vAlign w:val="center"/>
                </w:tcPr>
                <w:p w14:paraId="2C9B6BD5">
                  <w:pPr>
                    <w:pStyle w:val="2"/>
                    <w:snapToGrid/>
                    <w:spacing w:before="0" w:after="0" w:line="240" w:lineRule="exact"/>
                    <w:ind w:right="0"/>
                    <w:jc w:val="center"/>
                    <w:rPr>
                      <w:color w:val="auto"/>
                      <w:sz w:val="21"/>
                      <w:szCs w:val="21"/>
                      <w:highlight w:val="none"/>
                    </w:rPr>
                  </w:pPr>
                  <w:r>
                    <w:rPr>
                      <w:rFonts w:hint="eastAsia"/>
                      <w:color w:val="auto"/>
                      <w:sz w:val="21"/>
                      <w:szCs w:val="21"/>
                      <w:highlight w:val="none"/>
                    </w:rPr>
                    <w:t>禁止在长江支干流、重要湖泊岸线一公里范围内新建、扩建化工园区和化工项目。禁止在长江支干流岸线三公里范围内和重要支流岸线一公里范围内新建、改建、扩建尾矿库、冶炼渣库和磷石膏库，以</w:t>
                  </w:r>
                  <w:r>
                    <w:rPr>
                      <w:rFonts w:hint="eastAsia"/>
                      <w:color w:val="auto"/>
                      <w:sz w:val="21"/>
                      <w:szCs w:val="21"/>
                      <w:highlight w:val="none"/>
                      <w:lang w:val="en-US" w:eastAsia="zh-CN"/>
                    </w:rPr>
                    <w:t>提</w:t>
                  </w:r>
                  <w:r>
                    <w:rPr>
                      <w:rFonts w:hint="eastAsia"/>
                      <w:color w:val="auto"/>
                      <w:sz w:val="21"/>
                      <w:szCs w:val="21"/>
                      <w:highlight w:val="none"/>
                    </w:rPr>
                    <w:t>升安全、生态环境保护水平为目的的改建除外。</w:t>
                  </w:r>
                </w:p>
              </w:tc>
              <w:tc>
                <w:tcPr>
                  <w:tcW w:w="2337" w:type="dxa"/>
                  <w:noWrap w:val="0"/>
                  <w:vAlign w:val="center"/>
                </w:tcPr>
                <w:p w14:paraId="55CCB7B8">
                  <w:pPr>
                    <w:pStyle w:val="2"/>
                    <w:snapToGrid/>
                    <w:spacing w:before="0" w:after="0" w:line="240" w:lineRule="exact"/>
                    <w:ind w:right="0"/>
                    <w:jc w:val="center"/>
                    <w:rPr>
                      <w:color w:val="auto"/>
                      <w:sz w:val="21"/>
                      <w:szCs w:val="21"/>
                      <w:highlight w:val="none"/>
                    </w:rPr>
                  </w:pPr>
                  <w:r>
                    <w:rPr>
                      <w:rFonts w:hint="eastAsia"/>
                      <w:color w:val="auto"/>
                      <w:sz w:val="21"/>
                      <w:szCs w:val="21"/>
                      <w:highlight w:val="none"/>
                    </w:rPr>
                    <w:t>本项目不属于化工项目，不属于尾矿库、冶炼渣库和磷石膏库项目</w:t>
                  </w:r>
                </w:p>
              </w:tc>
              <w:tc>
                <w:tcPr>
                  <w:tcW w:w="1237" w:type="dxa"/>
                  <w:noWrap w:val="0"/>
                  <w:vAlign w:val="center"/>
                </w:tcPr>
                <w:p w14:paraId="6C651769">
                  <w:pPr>
                    <w:widowControl/>
                    <w:spacing w:line="240" w:lineRule="exact"/>
                    <w:jc w:val="center"/>
                    <w:rPr>
                      <w:color w:val="auto"/>
                      <w:kern w:val="0"/>
                      <w:szCs w:val="21"/>
                      <w:highlight w:val="none"/>
                    </w:rPr>
                  </w:pPr>
                  <w:r>
                    <w:rPr>
                      <w:color w:val="auto"/>
                      <w:szCs w:val="21"/>
                      <w:highlight w:val="none"/>
                    </w:rPr>
                    <w:t>符合</w:t>
                  </w:r>
                </w:p>
              </w:tc>
            </w:tr>
            <w:tr w14:paraId="746F587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493" w:type="dxa"/>
                  <w:noWrap w:val="0"/>
                  <w:vAlign w:val="center"/>
                </w:tcPr>
                <w:p w14:paraId="433D6A98">
                  <w:pPr>
                    <w:pStyle w:val="2"/>
                    <w:snapToGrid/>
                    <w:spacing w:before="0" w:after="0" w:line="240" w:lineRule="exact"/>
                    <w:ind w:right="0"/>
                    <w:jc w:val="center"/>
                    <w:rPr>
                      <w:color w:val="auto"/>
                      <w:sz w:val="21"/>
                      <w:szCs w:val="21"/>
                      <w:highlight w:val="none"/>
                    </w:rPr>
                  </w:pPr>
                  <w:r>
                    <w:rPr>
                      <w:rFonts w:hint="eastAsia"/>
                      <w:color w:val="auto"/>
                      <w:sz w:val="21"/>
                      <w:szCs w:val="21"/>
                      <w:highlight w:val="none"/>
                    </w:rPr>
                    <w:t>禁止在合规</w:t>
                  </w:r>
                  <w:r>
                    <w:rPr>
                      <w:rFonts w:hint="eastAsia"/>
                      <w:color w:val="auto"/>
                      <w:sz w:val="21"/>
                      <w:szCs w:val="21"/>
                      <w:highlight w:val="none"/>
                      <w:lang w:val="en-US" w:eastAsia="zh-CN"/>
                    </w:rPr>
                    <w:t>园区</w:t>
                  </w:r>
                  <w:r>
                    <w:rPr>
                      <w:rFonts w:hint="eastAsia"/>
                      <w:color w:val="auto"/>
                      <w:sz w:val="21"/>
                      <w:szCs w:val="21"/>
                      <w:highlight w:val="none"/>
                    </w:rPr>
                    <w:t>外新建、扩建钢铁、石化、化工、焦化、建材、有色、制浆造纸等高污染项目。</w:t>
                  </w:r>
                </w:p>
              </w:tc>
              <w:tc>
                <w:tcPr>
                  <w:tcW w:w="2337" w:type="dxa"/>
                  <w:noWrap w:val="0"/>
                  <w:vAlign w:val="center"/>
                </w:tcPr>
                <w:p w14:paraId="7625180A">
                  <w:pPr>
                    <w:pStyle w:val="2"/>
                    <w:snapToGrid/>
                    <w:spacing w:before="0" w:after="0" w:line="240" w:lineRule="exact"/>
                    <w:ind w:right="0"/>
                    <w:jc w:val="center"/>
                    <w:rPr>
                      <w:rFonts w:hint="default" w:eastAsia="宋体"/>
                      <w:color w:val="auto"/>
                      <w:sz w:val="21"/>
                      <w:szCs w:val="21"/>
                      <w:highlight w:val="none"/>
                      <w:lang w:val="en-US" w:eastAsia="zh-CN"/>
                    </w:rPr>
                  </w:pPr>
                  <w:r>
                    <w:rPr>
                      <w:rFonts w:hint="eastAsia"/>
                      <w:color w:val="auto"/>
                      <w:sz w:val="21"/>
                      <w:szCs w:val="21"/>
                      <w:highlight w:val="none"/>
                    </w:rPr>
                    <w:t>本项目</w:t>
                  </w:r>
                  <w:r>
                    <w:rPr>
                      <w:rFonts w:hint="eastAsia"/>
                      <w:color w:val="auto"/>
                      <w:sz w:val="21"/>
                      <w:szCs w:val="21"/>
                      <w:highlight w:val="none"/>
                      <w:lang w:val="en-US" w:eastAsia="zh-CN"/>
                    </w:rPr>
                    <w:t>属于建材行业，项目选址位于达州市通川区东岳新型工业聚集区内。</w:t>
                  </w:r>
                </w:p>
              </w:tc>
              <w:tc>
                <w:tcPr>
                  <w:tcW w:w="1237" w:type="dxa"/>
                  <w:noWrap w:val="0"/>
                  <w:vAlign w:val="center"/>
                </w:tcPr>
                <w:p w14:paraId="204AF651">
                  <w:pPr>
                    <w:widowControl/>
                    <w:spacing w:line="240" w:lineRule="exact"/>
                    <w:jc w:val="center"/>
                    <w:rPr>
                      <w:color w:val="auto"/>
                      <w:kern w:val="0"/>
                      <w:szCs w:val="21"/>
                      <w:highlight w:val="none"/>
                    </w:rPr>
                  </w:pPr>
                  <w:r>
                    <w:rPr>
                      <w:color w:val="auto"/>
                      <w:szCs w:val="21"/>
                      <w:highlight w:val="none"/>
                    </w:rPr>
                    <w:t>符合</w:t>
                  </w:r>
                </w:p>
              </w:tc>
            </w:tr>
            <w:tr w14:paraId="717FE70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493" w:type="dxa"/>
                  <w:noWrap w:val="0"/>
                  <w:vAlign w:val="center"/>
                </w:tcPr>
                <w:p w14:paraId="6DE7CCC7">
                  <w:pPr>
                    <w:pStyle w:val="2"/>
                    <w:snapToGrid/>
                    <w:spacing w:before="0" w:after="0" w:line="240" w:lineRule="exact"/>
                    <w:ind w:right="0"/>
                    <w:jc w:val="center"/>
                    <w:rPr>
                      <w:color w:val="auto"/>
                      <w:sz w:val="21"/>
                      <w:szCs w:val="21"/>
                      <w:highlight w:val="none"/>
                    </w:rPr>
                  </w:pPr>
                  <w:r>
                    <w:rPr>
                      <w:rFonts w:hint="eastAsia"/>
                      <w:color w:val="auto"/>
                      <w:sz w:val="21"/>
                      <w:szCs w:val="21"/>
                      <w:highlight w:val="none"/>
                    </w:rPr>
                    <w:t>禁止新建、扩建不符合国家石化、现代煤化工等产业布局规划的项目。</w:t>
                  </w:r>
                </w:p>
              </w:tc>
              <w:tc>
                <w:tcPr>
                  <w:tcW w:w="2337" w:type="dxa"/>
                  <w:noWrap w:val="0"/>
                  <w:vAlign w:val="center"/>
                </w:tcPr>
                <w:p w14:paraId="47D67B14">
                  <w:pPr>
                    <w:pStyle w:val="2"/>
                    <w:snapToGrid/>
                    <w:spacing w:before="0" w:after="0" w:line="240" w:lineRule="exact"/>
                    <w:ind w:right="0"/>
                    <w:jc w:val="center"/>
                    <w:rPr>
                      <w:color w:val="auto"/>
                      <w:sz w:val="21"/>
                      <w:szCs w:val="21"/>
                      <w:highlight w:val="none"/>
                    </w:rPr>
                  </w:pPr>
                  <w:r>
                    <w:rPr>
                      <w:rFonts w:hint="eastAsia"/>
                      <w:color w:val="auto"/>
                      <w:sz w:val="21"/>
                      <w:szCs w:val="21"/>
                      <w:highlight w:val="none"/>
                    </w:rPr>
                    <w:t>本项目不涉及</w:t>
                  </w:r>
                </w:p>
              </w:tc>
              <w:tc>
                <w:tcPr>
                  <w:tcW w:w="1237" w:type="dxa"/>
                  <w:noWrap w:val="0"/>
                  <w:vAlign w:val="center"/>
                </w:tcPr>
                <w:p w14:paraId="66B00905">
                  <w:pPr>
                    <w:widowControl/>
                    <w:spacing w:line="240" w:lineRule="exact"/>
                    <w:jc w:val="center"/>
                    <w:rPr>
                      <w:color w:val="auto"/>
                      <w:kern w:val="0"/>
                      <w:szCs w:val="21"/>
                      <w:highlight w:val="none"/>
                    </w:rPr>
                  </w:pPr>
                  <w:r>
                    <w:rPr>
                      <w:color w:val="auto"/>
                      <w:szCs w:val="21"/>
                      <w:highlight w:val="none"/>
                    </w:rPr>
                    <w:t>符合</w:t>
                  </w:r>
                </w:p>
              </w:tc>
            </w:tr>
            <w:tr w14:paraId="75AFA1E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493" w:type="dxa"/>
                  <w:noWrap w:val="0"/>
                  <w:vAlign w:val="center"/>
                </w:tcPr>
                <w:p w14:paraId="28BAD4FF">
                  <w:pPr>
                    <w:pStyle w:val="2"/>
                    <w:snapToGrid/>
                    <w:spacing w:before="0" w:after="0" w:line="240" w:lineRule="exact"/>
                    <w:ind w:right="0"/>
                    <w:jc w:val="center"/>
                    <w:rPr>
                      <w:color w:val="auto"/>
                      <w:sz w:val="21"/>
                      <w:szCs w:val="21"/>
                      <w:highlight w:val="none"/>
                    </w:rPr>
                  </w:pPr>
                  <w:r>
                    <w:rPr>
                      <w:color w:val="auto"/>
                      <w:sz w:val="21"/>
                      <w:szCs w:val="21"/>
                      <w:highlight w:val="none"/>
                    </w:rPr>
                    <w:t>禁止新建</w:t>
                  </w:r>
                  <w:r>
                    <w:rPr>
                      <w:rFonts w:hint="eastAsia"/>
                      <w:color w:val="auto"/>
                      <w:sz w:val="21"/>
                      <w:szCs w:val="21"/>
                      <w:highlight w:val="none"/>
                    </w:rPr>
                    <w:t>、</w:t>
                  </w:r>
                  <w:r>
                    <w:rPr>
                      <w:color w:val="auto"/>
                      <w:sz w:val="21"/>
                      <w:szCs w:val="21"/>
                      <w:highlight w:val="none"/>
                    </w:rPr>
                    <w:t>扩建法律法规和相关政策明令禁止的落后产能项目。</w:t>
                  </w:r>
                </w:p>
              </w:tc>
              <w:tc>
                <w:tcPr>
                  <w:tcW w:w="2337" w:type="dxa"/>
                  <w:noWrap w:val="0"/>
                  <w:vAlign w:val="center"/>
                </w:tcPr>
                <w:p w14:paraId="32E8141B">
                  <w:pPr>
                    <w:pStyle w:val="2"/>
                    <w:snapToGrid/>
                    <w:spacing w:before="0" w:after="0" w:line="240" w:lineRule="exact"/>
                    <w:ind w:right="0"/>
                    <w:jc w:val="center"/>
                    <w:rPr>
                      <w:color w:val="auto"/>
                      <w:sz w:val="21"/>
                      <w:szCs w:val="21"/>
                      <w:highlight w:val="none"/>
                    </w:rPr>
                  </w:pPr>
                  <w:r>
                    <w:rPr>
                      <w:color w:val="auto"/>
                      <w:sz w:val="21"/>
                      <w:szCs w:val="21"/>
                      <w:highlight w:val="none"/>
                    </w:rPr>
                    <w:t>本项目不属于法律法规和相关政策明令禁止的落后产能项目。</w:t>
                  </w:r>
                </w:p>
              </w:tc>
              <w:tc>
                <w:tcPr>
                  <w:tcW w:w="1237" w:type="dxa"/>
                  <w:noWrap w:val="0"/>
                  <w:vAlign w:val="center"/>
                </w:tcPr>
                <w:p w14:paraId="05AC4023">
                  <w:pPr>
                    <w:widowControl/>
                    <w:spacing w:line="240" w:lineRule="exact"/>
                    <w:jc w:val="center"/>
                    <w:rPr>
                      <w:color w:val="auto"/>
                      <w:kern w:val="0"/>
                      <w:szCs w:val="21"/>
                      <w:highlight w:val="none"/>
                    </w:rPr>
                  </w:pPr>
                  <w:r>
                    <w:rPr>
                      <w:color w:val="auto"/>
                      <w:szCs w:val="21"/>
                      <w:highlight w:val="none"/>
                    </w:rPr>
                    <w:t>符合</w:t>
                  </w:r>
                </w:p>
              </w:tc>
            </w:tr>
            <w:tr w14:paraId="13FBA0E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493" w:type="dxa"/>
                  <w:noWrap w:val="0"/>
                  <w:vAlign w:val="center"/>
                </w:tcPr>
                <w:p w14:paraId="622993C7">
                  <w:pPr>
                    <w:pStyle w:val="2"/>
                    <w:snapToGrid/>
                    <w:spacing w:before="0" w:after="0" w:line="240" w:lineRule="exact"/>
                    <w:ind w:right="0"/>
                    <w:jc w:val="center"/>
                    <w:rPr>
                      <w:color w:val="auto"/>
                      <w:sz w:val="21"/>
                      <w:szCs w:val="21"/>
                      <w:highlight w:val="none"/>
                    </w:rPr>
                  </w:pPr>
                  <w:r>
                    <w:rPr>
                      <w:color w:val="auto"/>
                      <w:sz w:val="21"/>
                      <w:szCs w:val="21"/>
                      <w:highlight w:val="none"/>
                    </w:rPr>
                    <w:t>禁止新建、扩建不符合国家产能置换要求的严重过剩产能行业的项目。</w:t>
                  </w:r>
                </w:p>
              </w:tc>
              <w:tc>
                <w:tcPr>
                  <w:tcW w:w="2337" w:type="dxa"/>
                  <w:noWrap w:val="0"/>
                  <w:vAlign w:val="center"/>
                </w:tcPr>
                <w:p w14:paraId="2EC42D86">
                  <w:pPr>
                    <w:pStyle w:val="2"/>
                    <w:snapToGrid/>
                    <w:spacing w:before="0" w:after="0" w:line="240" w:lineRule="exact"/>
                    <w:ind w:right="0"/>
                    <w:jc w:val="center"/>
                    <w:rPr>
                      <w:color w:val="auto"/>
                      <w:sz w:val="21"/>
                      <w:szCs w:val="21"/>
                      <w:highlight w:val="none"/>
                    </w:rPr>
                  </w:pPr>
                  <w:r>
                    <w:rPr>
                      <w:color w:val="auto"/>
                      <w:sz w:val="21"/>
                      <w:szCs w:val="21"/>
                      <w:highlight w:val="none"/>
                    </w:rPr>
                    <w:t>本项目不属于国家产能置换要求的严重过剩产能行业的项目。</w:t>
                  </w:r>
                </w:p>
              </w:tc>
              <w:tc>
                <w:tcPr>
                  <w:tcW w:w="1237" w:type="dxa"/>
                  <w:noWrap w:val="0"/>
                  <w:vAlign w:val="center"/>
                </w:tcPr>
                <w:p w14:paraId="0FB7253A">
                  <w:pPr>
                    <w:widowControl/>
                    <w:spacing w:line="240" w:lineRule="exact"/>
                    <w:jc w:val="center"/>
                    <w:rPr>
                      <w:color w:val="auto"/>
                      <w:szCs w:val="21"/>
                      <w:highlight w:val="none"/>
                    </w:rPr>
                  </w:pPr>
                  <w:r>
                    <w:rPr>
                      <w:color w:val="auto"/>
                      <w:szCs w:val="21"/>
                      <w:highlight w:val="none"/>
                    </w:rPr>
                    <w:t>符合</w:t>
                  </w:r>
                </w:p>
              </w:tc>
            </w:tr>
            <w:tr w14:paraId="021EB14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493" w:type="dxa"/>
                  <w:noWrap w:val="0"/>
                  <w:vAlign w:val="center"/>
                </w:tcPr>
                <w:p w14:paraId="32F244D5">
                  <w:pPr>
                    <w:pStyle w:val="2"/>
                    <w:snapToGrid/>
                    <w:spacing w:before="0" w:after="0" w:line="240" w:lineRule="exact"/>
                    <w:ind w:right="0"/>
                    <w:jc w:val="center"/>
                    <w:rPr>
                      <w:color w:val="auto"/>
                      <w:sz w:val="21"/>
                      <w:szCs w:val="21"/>
                      <w:highlight w:val="none"/>
                    </w:rPr>
                  </w:pPr>
                  <w:r>
                    <w:rPr>
                      <w:rFonts w:hint="eastAsia"/>
                      <w:color w:val="auto"/>
                      <w:sz w:val="21"/>
                      <w:szCs w:val="21"/>
                      <w:highlight w:val="none"/>
                    </w:rPr>
                    <w:t>禁止新建、扩建不符合要求的高耗能高排放项目。</w:t>
                  </w:r>
                </w:p>
              </w:tc>
              <w:tc>
                <w:tcPr>
                  <w:tcW w:w="2337" w:type="dxa"/>
                  <w:noWrap w:val="0"/>
                  <w:vAlign w:val="center"/>
                </w:tcPr>
                <w:p w14:paraId="701B14F1">
                  <w:pPr>
                    <w:pStyle w:val="2"/>
                    <w:snapToGrid/>
                    <w:spacing w:before="0" w:after="0" w:line="240" w:lineRule="exact"/>
                    <w:ind w:right="0"/>
                    <w:jc w:val="center"/>
                    <w:rPr>
                      <w:color w:val="auto"/>
                      <w:sz w:val="21"/>
                      <w:szCs w:val="21"/>
                      <w:highlight w:val="none"/>
                    </w:rPr>
                  </w:pPr>
                  <w:r>
                    <w:rPr>
                      <w:rFonts w:hint="eastAsia"/>
                      <w:color w:val="auto"/>
                      <w:sz w:val="21"/>
                      <w:szCs w:val="21"/>
                      <w:highlight w:val="none"/>
                    </w:rPr>
                    <w:t>本项目不属于高耗能高排放项目</w:t>
                  </w:r>
                </w:p>
              </w:tc>
              <w:tc>
                <w:tcPr>
                  <w:tcW w:w="1237" w:type="dxa"/>
                  <w:noWrap w:val="0"/>
                  <w:vAlign w:val="center"/>
                </w:tcPr>
                <w:p w14:paraId="2B5A983A">
                  <w:pPr>
                    <w:widowControl/>
                    <w:spacing w:line="240" w:lineRule="exact"/>
                    <w:jc w:val="center"/>
                    <w:rPr>
                      <w:color w:val="auto"/>
                      <w:szCs w:val="21"/>
                      <w:highlight w:val="none"/>
                    </w:rPr>
                  </w:pPr>
                  <w:r>
                    <w:rPr>
                      <w:color w:val="auto"/>
                      <w:szCs w:val="21"/>
                      <w:highlight w:val="none"/>
                    </w:rPr>
                    <w:t>符合</w:t>
                  </w:r>
                </w:p>
              </w:tc>
            </w:tr>
          </w:tbl>
          <w:p w14:paraId="501FAED5">
            <w:pPr>
              <w:pStyle w:val="2"/>
              <w:snapToGrid/>
              <w:spacing w:before="0" w:after="0" w:line="240" w:lineRule="auto"/>
              <w:ind w:right="0" w:firstLine="420" w:firstLineChars="200"/>
              <w:jc w:val="center"/>
              <w:rPr>
                <w:color w:val="auto"/>
                <w:sz w:val="21"/>
                <w:szCs w:val="21"/>
                <w:highlight w:val="none"/>
              </w:rPr>
            </w:pPr>
          </w:p>
          <w:p w14:paraId="74477CF7">
            <w:pPr>
              <w:spacing w:line="360" w:lineRule="auto"/>
              <w:ind w:firstLine="482" w:firstLineChars="200"/>
              <w:rPr>
                <w:b/>
                <w:color w:val="auto"/>
                <w:kern w:val="0"/>
                <w:sz w:val="24"/>
                <w:highlight w:val="none"/>
              </w:rPr>
            </w:pPr>
            <w:r>
              <w:rPr>
                <w:b/>
                <w:color w:val="auto"/>
                <w:kern w:val="0"/>
                <w:sz w:val="24"/>
                <w:highlight w:val="none"/>
              </w:rPr>
              <w:t>综上，本项目的建设符合《长江经济带发展负面清单指南（试行，2022年版）》的要求。</w:t>
            </w:r>
          </w:p>
          <w:p w14:paraId="6957BF73">
            <w:pPr>
              <w:spacing w:line="360" w:lineRule="auto"/>
              <w:ind w:firstLine="482" w:firstLineChars="200"/>
              <w:rPr>
                <w:b/>
                <w:color w:val="auto"/>
                <w:kern w:val="0"/>
                <w:sz w:val="24"/>
                <w:highlight w:val="none"/>
              </w:rPr>
            </w:pPr>
            <w:r>
              <w:rPr>
                <w:rFonts w:hint="eastAsia"/>
                <w:b/>
                <w:color w:val="auto"/>
                <w:kern w:val="0"/>
                <w:sz w:val="24"/>
                <w:highlight w:val="none"/>
                <w:lang w:val="en-US" w:eastAsia="zh-CN"/>
              </w:rPr>
              <w:t>6</w:t>
            </w:r>
            <w:r>
              <w:rPr>
                <w:rFonts w:hint="eastAsia"/>
                <w:b/>
                <w:color w:val="auto"/>
                <w:kern w:val="0"/>
                <w:sz w:val="24"/>
                <w:highlight w:val="none"/>
              </w:rPr>
              <w:t>、与《四川省、重庆市长江经济带发展负面清单实施细则（试行，2022年版）》符合性分析</w:t>
            </w:r>
          </w:p>
          <w:p w14:paraId="771180AD">
            <w:pPr>
              <w:spacing w:line="360" w:lineRule="auto"/>
              <w:ind w:firstLine="480" w:firstLineChars="200"/>
              <w:rPr>
                <w:b/>
                <w:color w:val="auto"/>
                <w:kern w:val="0"/>
                <w:sz w:val="24"/>
                <w:highlight w:val="none"/>
              </w:rPr>
            </w:pPr>
            <w:r>
              <w:rPr>
                <w:rFonts w:hint="eastAsia"/>
                <w:b w:val="0"/>
                <w:bCs/>
                <w:color w:val="auto"/>
                <w:kern w:val="0"/>
                <w:sz w:val="24"/>
                <w:highlight w:val="none"/>
              </w:rPr>
              <w:t>重庆市发展和改革委员会联合四川省发展改革委</w:t>
            </w:r>
            <w:r>
              <w:rPr>
                <w:rFonts w:hint="eastAsia"/>
                <w:b w:val="0"/>
                <w:bCs/>
                <w:color w:val="auto"/>
                <w:kern w:val="0"/>
                <w:sz w:val="24"/>
                <w:highlight w:val="none"/>
                <w:lang w:val="en-US" w:eastAsia="zh-CN"/>
              </w:rPr>
              <w:t>于2022年8月25日公告了</w:t>
            </w:r>
            <w:r>
              <w:rPr>
                <w:rFonts w:hint="eastAsia"/>
                <w:b w:val="0"/>
                <w:bCs/>
                <w:color w:val="auto"/>
                <w:kern w:val="0"/>
                <w:sz w:val="24"/>
                <w:highlight w:val="none"/>
              </w:rPr>
              <w:t>《四川省、重庆市长江经济带发展负面清单实施细则</w:t>
            </w:r>
            <w:r>
              <w:rPr>
                <w:rFonts w:hint="eastAsia"/>
                <w:b w:val="0"/>
                <w:bCs/>
                <w:color w:val="auto"/>
                <w:kern w:val="0"/>
                <w:sz w:val="24"/>
                <w:highlight w:val="none"/>
                <w:lang w:eastAsia="zh-CN"/>
              </w:rPr>
              <w:t>（</w:t>
            </w:r>
            <w:r>
              <w:rPr>
                <w:rFonts w:hint="eastAsia"/>
                <w:b w:val="0"/>
                <w:bCs/>
                <w:color w:val="auto"/>
                <w:kern w:val="0"/>
                <w:sz w:val="24"/>
                <w:highlight w:val="none"/>
              </w:rPr>
              <w:t>试行，2022年版</w:t>
            </w:r>
            <w:r>
              <w:rPr>
                <w:rFonts w:hint="eastAsia"/>
                <w:b w:val="0"/>
                <w:bCs/>
                <w:color w:val="auto"/>
                <w:kern w:val="0"/>
                <w:sz w:val="24"/>
                <w:highlight w:val="none"/>
                <w:lang w:eastAsia="zh-CN"/>
              </w:rPr>
              <w:t>）</w:t>
            </w:r>
            <w:r>
              <w:rPr>
                <w:rFonts w:hint="eastAsia"/>
                <w:b w:val="0"/>
                <w:bCs/>
                <w:color w:val="auto"/>
                <w:kern w:val="0"/>
                <w:sz w:val="24"/>
                <w:highlight w:val="none"/>
              </w:rPr>
              <w:t>》</w:t>
            </w:r>
            <w:r>
              <w:rPr>
                <w:rFonts w:hint="eastAsia"/>
                <w:b w:val="0"/>
                <w:bCs/>
                <w:color w:val="auto"/>
                <w:kern w:val="0"/>
                <w:sz w:val="24"/>
                <w:highlight w:val="none"/>
                <w:lang w:eastAsia="zh-CN"/>
              </w:rPr>
              <w:t>。《</w:t>
            </w:r>
            <w:r>
              <w:rPr>
                <w:rFonts w:hint="eastAsia"/>
                <w:b w:val="0"/>
                <w:bCs/>
                <w:color w:val="auto"/>
                <w:kern w:val="0"/>
                <w:sz w:val="24"/>
                <w:highlight w:val="none"/>
                <w:lang w:val="en-US" w:eastAsia="zh-CN"/>
              </w:rPr>
              <w:t>实施细则</w:t>
            </w:r>
            <w:r>
              <w:rPr>
                <w:rFonts w:hint="eastAsia"/>
                <w:b w:val="0"/>
                <w:bCs/>
                <w:color w:val="auto"/>
                <w:kern w:val="0"/>
                <w:sz w:val="24"/>
                <w:highlight w:val="none"/>
                <w:lang w:eastAsia="zh-CN"/>
              </w:rPr>
              <w:t>》</w:t>
            </w:r>
            <w:r>
              <w:rPr>
                <w:rFonts w:hint="eastAsia"/>
                <w:b w:val="0"/>
                <w:bCs/>
                <w:color w:val="auto"/>
                <w:kern w:val="0"/>
                <w:sz w:val="24"/>
                <w:highlight w:val="none"/>
                <w:lang w:val="en-US" w:eastAsia="zh-CN"/>
              </w:rPr>
              <w:t>要求：坚持“生态优先、绿色发展”的战略定位和“共抓大保护、不搞大开发”的战略导向，完善生态环境硬约束机制，坚决把最需要管住的岸线、河段等区域管住，坚决把产能严重过剩、高能耗高排放低水平、环境风险突出的产业项目管住</w:t>
            </w:r>
            <w:r>
              <w:rPr>
                <w:rFonts w:hint="eastAsia"/>
                <w:b w:val="0"/>
                <w:bCs/>
                <w:color w:val="auto"/>
                <w:kern w:val="0"/>
                <w:sz w:val="24"/>
                <w:highlight w:val="none"/>
              </w:rPr>
              <w:t>。</w:t>
            </w:r>
            <w:r>
              <w:rPr>
                <w:rFonts w:hint="eastAsia"/>
                <w:bCs/>
                <w:color w:val="auto"/>
                <w:kern w:val="0"/>
                <w:sz w:val="24"/>
                <w:highlight w:val="none"/>
              </w:rPr>
              <w:t>本项目与其主要内容符合性分析见下表：</w:t>
            </w:r>
          </w:p>
          <w:p w14:paraId="138C6A72">
            <w:pPr>
              <w:numPr>
                <w:ilvl w:val="0"/>
                <w:numId w:val="3"/>
              </w:numPr>
              <w:wordWrap w:val="0"/>
              <w:ind w:left="63" w:leftChars="30" w:right="63" w:rightChars="30"/>
              <w:jc w:val="center"/>
              <w:rPr>
                <w:rFonts w:hint="eastAsia" w:ascii="Times New Roman" w:hAnsi="Times New Roman" w:eastAsia="宋体" w:cs="Times New Roman"/>
                <w:b/>
                <w:szCs w:val="21"/>
              </w:rPr>
            </w:pPr>
            <w:r>
              <w:rPr>
                <w:rFonts w:hint="eastAsia" w:ascii="Times New Roman" w:hAnsi="Times New Roman" w:eastAsia="宋体" w:cs="Times New Roman"/>
                <w:b/>
                <w:szCs w:val="21"/>
              </w:rPr>
              <w:t>项目与《四川省、重庆市长江经济带发展负面清单实施细则（试行，2022年版）》符合性分析表</w:t>
            </w:r>
          </w:p>
          <w:tbl>
            <w:tblPr>
              <w:tblStyle w:val="26"/>
              <w:tblW w:w="8125"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5112"/>
              <w:gridCol w:w="1946"/>
              <w:gridCol w:w="1067"/>
            </w:tblGrid>
            <w:tr w14:paraId="15241A6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112" w:type="dxa"/>
                  <w:tcBorders>
                    <w:tl2br w:val="nil"/>
                    <w:tr2bl w:val="nil"/>
                  </w:tcBorders>
                  <w:noWrap w:val="0"/>
                  <w:vAlign w:val="center"/>
                </w:tcPr>
                <w:p w14:paraId="297E07CA">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文件要求</w:t>
                  </w:r>
                </w:p>
              </w:tc>
              <w:tc>
                <w:tcPr>
                  <w:tcW w:w="1946" w:type="dxa"/>
                  <w:tcBorders>
                    <w:tl2br w:val="nil"/>
                    <w:tr2bl w:val="nil"/>
                  </w:tcBorders>
                  <w:noWrap w:val="0"/>
                  <w:vAlign w:val="center"/>
                </w:tcPr>
                <w:p w14:paraId="753F707E">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本项目情况</w:t>
                  </w:r>
                </w:p>
              </w:tc>
              <w:tc>
                <w:tcPr>
                  <w:tcW w:w="1067" w:type="dxa"/>
                  <w:tcBorders>
                    <w:tl2br w:val="nil"/>
                    <w:tr2bl w:val="nil"/>
                  </w:tcBorders>
                  <w:noWrap w:val="0"/>
                  <w:vAlign w:val="center"/>
                </w:tcPr>
                <w:p w14:paraId="255AF177">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符合情况</w:t>
                  </w:r>
                </w:p>
              </w:tc>
            </w:tr>
            <w:tr w14:paraId="3E89BBB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23" w:hRule="atLeast"/>
                <w:jc w:val="center"/>
              </w:trPr>
              <w:tc>
                <w:tcPr>
                  <w:tcW w:w="5112" w:type="dxa"/>
                  <w:tcBorders>
                    <w:tl2br w:val="nil"/>
                    <w:tr2bl w:val="nil"/>
                  </w:tcBorders>
                  <w:noWrap w:val="0"/>
                  <w:vAlign w:val="center"/>
                </w:tcPr>
                <w:p w14:paraId="301D0551">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禁止新建、改建和扩建不符合全国港口布局规划，以及《四川省内河水运发展规划》《泸州—宜宾—乐山港口群布局规划》《重庆港总体规划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2035年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》等省级港口布局规划及市级港口总体规划的码头项目</w:t>
                  </w:r>
                  <w:r>
                    <w:rPr>
                      <w:rFonts w:hint="default" w:ascii="Times New Roman" w:hAnsi="Times New Roman" w:eastAsia="宋体" w:cs="Times New Roman"/>
                      <w:color w:val="auto"/>
                      <w:sz w:val="21"/>
                      <w:szCs w:val="21"/>
                      <w:highlight w:val="none"/>
                      <w:lang w:eastAsia="zh-CN"/>
                    </w:rPr>
                    <w:t>。</w:t>
                  </w:r>
                </w:p>
              </w:tc>
              <w:tc>
                <w:tcPr>
                  <w:tcW w:w="1946" w:type="dxa"/>
                  <w:tcBorders>
                    <w:tl2br w:val="nil"/>
                    <w:tr2bl w:val="nil"/>
                  </w:tcBorders>
                  <w:noWrap w:val="0"/>
                  <w:vAlign w:val="center"/>
                </w:tcPr>
                <w:p w14:paraId="53E0382D">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val="en-US" w:eastAsia="zh-CN"/>
                    </w:rPr>
                    <w:t>不属于</w:t>
                  </w:r>
                  <w:r>
                    <w:rPr>
                      <w:rFonts w:hint="default" w:ascii="Times New Roman" w:hAnsi="Times New Roman" w:eastAsia="宋体" w:cs="Times New Roman"/>
                      <w:color w:val="auto"/>
                      <w:sz w:val="21"/>
                      <w:szCs w:val="21"/>
                      <w:highlight w:val="none"/>
                    </w:rPr>
                    <w:t>港口</w:t>
                  </w:r>
                  <w:r>
                    <w:rPr>
                      <w:rFonts w:hint="default" w:ascii="Times New Roman" w:hAnsi="Times New Roman" w:eastAsia="宋体" w:cs="Times New Roman"/>
                      <w:color w:val="auto"/>
                      <w:sz w:val="21"/>
                      <w:szCs w:val="21"/>
                      <w:highlight w:val="none"/>
                      <w:lang w:val="en-US" w:eastAsia="zh-CN"/>
                    </w:rPr>
                    <w:t>项目</w:t>
                  </w:r>
                </w:p>
              </w:tc>
              <w:tc>
                <w:tcPr>
                  <w:tcW w:w="1067" w:type="dxa"/>
                  <w:tcBorders>
                    <w:tl2br w:val="nil"/>
                    <w:tr2bl w:val="nil"/>
                  </w:tcBorders>
                  <w:noWrap w:val="0"/>
                  <w:vAlign w:val="center"/>
                </w:tcPr>
                <w:p w14:paraId="0D760893">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8D1D9A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07" w:hRule="atLeast"/>
                <w:jc w:val="center"/>
              </w:trPr>
              <w:tc>
                <w:tcPr>
                  <w:tcW w:w="5112" w:type="dxa"/>
                  <w:tcBorders>
                    <w:tl2br w:val="nil"/>
                    <w:tr2bl w:val="nil"/>
                  </w:tcBorders>
                  <w:noWrap w:val="0"/>
                  <w:vAlign w:val="center"/>
                </w:tcPr>
                <w:p w14:paraId="205E48AB">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2.禁止新建、改建和扩建不符合《长江干线过江通道布局规划（2020—2035年）》的过长江通道项目（含桥梁、隧道），国家发展改革委同意过长江通道线位调整的除外。</w:t>
                  </w:r>
                </w:p>
              </w:tc>
              <w:tc>
                <w:tcPr>
                  <w:tcW w:w="1946" w:type="dxa"/>
                  <w:tcBorders>
                    <w:tl2br w:val="nil"/>
                    <w:tr2bl w:val="nil"/>
                  </w:tcBorders>
                  <w:noWrap w:val="0"/>
                  <w:vAlign w:val="center"/>
                </w:tcPr>
                <w:p w14:paraId="2A69ED5C">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本项目不属于过长江通道项目（含桥梁、隧道）</w:t>
                  </w:r>
                </w:p>
              </w:tc>
              <w:tc>
                <w:tcPr>
                  <w:tcW w:w="1067" w:type="dxa"/>
                  <w:tcBorders>
                    <w:tl2br w:val="nil"/>
                    <w:tr2bl w:val="nil"/>
                  </w:tcBorders>
                  <w:noWrap w:val="0"/>
                  <w:vAlign w:val="center"/>
                </w:tcPr>
                <w:p w14:paraId="7C0391B2">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符合</w:t>
                  </w:r>
                </w:p>
              </w:tc>
            </w:tr>
            <w:tr w14:paraId="3F00154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112" w:type="dxa"/>
                  <w:tcBorders>
                    <w:tl2br w:val="nil"/>
                    <w:tr2bl w:val="nil"/>
                  </w:tcBorders>
                  <w:noWrap w:val="0"/>
                  <w:vAlign w:val="center"/>
                </w:tcPr>
                <w:p w14:paraId="5ABB3B51">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禁止在自然保护区核心区、缓冲区的岸线和河段范围内投资建设旅游和生产经营项目。自然保护区的内部未分</w:t>
                  </w:r>
                  <w:r>
                    <w:rPr>
                      <w:rFonts w:hint="default" w:ascii="Times New Roman" w:hAnsi="Times New Roman" w:eastAsia="宋体" w:cs="Times New Roman"/>
                      <w:color w:val="auto"/>
                      <w:sz w:val="21"/>
                      <w:szCs w:val="21"/>
                      <w:highlight w:val="none"/>
                      <w:lang w:val="en-US" w:eastAsia="zh-CN"/>
                    </w:rPr>
                    <w:t>区的，依照核心区和缓冲区的规定管控。</w:t>
                  </w:r>
                </w:p>
              </w:tc>
              <w:tc>
                <w:tcPr>
                  <w:tcW w:w="1946" w:type="dxa"/>
                  <w:tcBorders>
                    <w:tl2br w:val="nil"/>
                    <w:tr2bl w:val="nil"/>
                  </w:tcBorders>
                  <w:noWrap w:val="0"/>
                  <w:vAlign w:val="center"/>
                </w:tcPr>
                <w:p w14:paraId="43C193DA">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本项目不涉及</w:t>
                  </w:r>
                  <w:r>
                    <w:rPr>
                      <w:rFonts w:hint="default" w:ascii="Times New Roman" w:hAnsi="Times New Roman" w:eastAsia="宋体" w:cs="Times New Roman"/>
                      <w:color w:val="auto"/>
                      <w:sz w:val="21"/>
                      <w:szCs w:val="21"/>
                      <w:highlight w:val="none"/>
                    </w:rPr>
                    <w:t>自然保护区核心区、缓冲区</w:t>
                  </w:r>
                </w:p>
              </w:tc>
              <w:tc>
                <w:tcPr>
                  <w:tcW w:w="1067" w:type="dxa"/>
                  <w:tcBorders>
                    <w:tl2br w:val="nil"/>
                    <w:tr2bl w:val="nil"/>
                  </w:tcBorders>
                  <w:noWrap w:val="0"/>
                  <w:vAlign w:val="center"/>
                </w:tcPr>
                <w:p w14:paraId="18362AFD">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符合</w:t>
                  </w:r>
                </w:p>
              </w:tc>
            </w:tr>
            <w:tr w14:paraId="52D7EF6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11" w:hRule="atLeast"/>
                <w:jc w:val="center"/>
              </w:trPr>
              <w:tc>
                <w:tcPr>
                  <w:tcW w:w="5112" w:type="dxa"/>
                  <w:tcBorders>
                    <w:tl2br w:val="nil"/>
                    <w:tr2bl w:val="nil"/>
                  </w:tcBorders>
                  <w:noWrap w:val="0"/>
                  <w:vAlign w:val="center"/>
                </w:tcPr>
                <w:p w14:paraId="48C54DF7">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4.禁止违反风景名胜区规划，在风景名胜区内设立各类开发区。禁止在风景名胜区核心景区的岸线和河段范围内建设宾馆、招待所、培训中心、疗养院以及与风景名胜资源保护无关的项目。</w:t>
                  </w:r>
                </w:p>
              </w:tc>
              <w:tc>
                <w:tcPr>
                  <w:tcW w:w="1946" w:type="dxa"/>
                  <w:tcBorders>
                    <w:tl2br w:val="nil"/>
                    <w:tr2bl w:val="nil"/>
                  </w:tcBorders>
                  <w:noWrap w:val="0"/>
                  <w:vAlign w:val="center"/>
                </w:tcPr>
                <w:p w14:paraId="591003A6">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本项目不涉及风景名胜区</w:t>
                  </w:r>
                </w:p>
              </w:tc>
              <w:tc>
                <w:tcPr>
                  <w:tcW w:w="1067" w:type="dxa"/>
                  <w:tcBorders>
                    <w:tl2br w:val="nil"/>
                    <w:tr2bl w:val="nil"/>
                  </w:tcBorders>
                  <w:noWrap w:val="0"/>
                  <w:vAlign w:val="center"/>
                </w:tcPr>
                <w:p w14:paraId="07FD33CD">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符合</w:t>
                  </w:r>
                </w:p>
              </w:tc>
            </w:tr>
            <w:tr w14:paraId="37DA57F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112" w:type="dxa"/>
                  <w:tcBorders>
                    <w:tl2br w:val="nil"/>
                    <w:tr2bl w:val="nil"/>
                  </w:tcBorders>
                  <w:noWrap w:val="0"/>
                  <w:vAlign w:val="center"/>
                </w:tcPr>
                <w:p w14:paraId="486E3051">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5.禁止在饮用水水源准保护区的岸线和河段范围内新建、扩建对水体污染严重的建设项目，禁止改建增加排污量的建设项目。</w:t>
                  </w:r>
                </w:p>
              </w:tc>
              <w:tc>
                <w:tcPr>
                  <w:tcW w:w="1946" w:type="dxa"/>
                  <w:tcBorders>
                    <w:tl2br w:val="nil"/>
                    <w:tr2bl w:val="nil"/>
                  </w:tcBorders>
                  <w:noWrap w:val="0"/>
                  <w:vAlign w:val="center"/>
                </w:tcPr>
                <w:p w14:paraId="1EBB7C80">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本项目不涉及饮用水水源准保护区</w:t>
                  </w:r>
                </w:p>
              </w:tc>
              <w:tc>
                <w:tcPr>
                  <w:tcW w:w="1067" w:type="dxa"/>
                  <w:tcBorders>
                    <w:tl2br w:val="nil"/>
                    <w:tr2bl w:val="nil"/>
                  </w:tcBorders>
                  <w:noWrap w:val="0"/>
                  <w:vAlign w:val="center"/>
                </w:tcPr>
                <w:p w14:paraId="018B2614">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符合</w:t>
                  </w:r>
                </w:p>
              </w:tc>
            </w:tr>
            <w:tr w14:paraId="3BD785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112" w:type="dxa"/>
                  <w:tcBorders>
                    <w:tl2br w:val="nil"/>
                    <w:tr2bl w:val="nil"/>
                  </w:tcBorders>
                  <w:noWrap w:val="0"/>
                  <w:vAlign w:val="center"/>
                </w:tcPr>
                <w:p w14:paraId="0F5E0CEB">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饮用水水源二级保护区的岸线和河段范围内，除遵守准保护区规定外，禁止新建、改建、扩建排放污染物的投资建设项目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禁止从事对水体有污染的水产养殖等活动。</w:t>
                  </w:r>
                </w:p>
              </w:tc>
              <w:tc>
                <w:tcPr>
                  <w:tcW w:w="1946" w:type="dxa"/>
                  <w:tcBorders>
                    <w:tl2br w:val="nil"/>
                    <w:tr2bl w:val="nil"/>
                  </w:tcBorders>
                  <w:noWrap w:val="0"/>
                  <w:vAlign w:val="center"/>
                </w:tcPr>
                <w:p w14:paraId="5A24CDCC">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本项目不涉及</w:t>
                  </w:r>
                  <w:r>
                    <w:rPr>
                      <w:rFonts w:hint="default" w:ascii="Times New Roman" w:hAnsi="Times New Roman" w:eastAsia="宋体" w:cs="Times New Roman"/>
                      <w:color w:val="auto"/>
                      <w:sz w:val="21"/>
                      <w:szCs w:val="21"/>
                      <w:highlight w:val="none"/>
                    </w:rPr>
                    <w:t>饮用水水源二级保护区</w:t>
                  </w:r>
                </w:p>
              </w:tc>
              <w:tc>
                <w:tcPr>
                  <w:tcW w:w="1067" w:type="dxa"/>
                  <w:tcBorders>
                    <w:tl2br w:val="nil"/>
                    <w:tr2bl w:val="nil"/>
                  </w:tcBorders>
                  <w:noWrap w:val="0"/>
                  <w:vAlign w:val="center"/>
                </w:tcPr>
                <w:p w14:paraId="5FC51840">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符合</w:t>
                  </w:r>
                </w:p>
              </w:tc>
            </w:tr>
            <w:tr w14:paraId="516943B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112" w:type="dxa"/>
                  <w:tcBorders>
                    <w:tl2br w:val="nil"/>
                    <w:tr2bl w:val="nil"/>
                  </w:tcBorders>
                  <w:noWrap w:val="0"/>
                  <w:vAlign w:val="center"/>
                </w:tcPr>
                <w:p w14:paraId="7210D383">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7.饮用水水源一级保护区的岸线和河段范围内，除遵守二级保护区规定外，禁止新建、改建、扩建与供水设施和保护水源无关的项目，以及网箱养殖、畜禽养殖、旅游等可能污染饮用水水体的投资建设项目。</w:t>
                  </w:r>
                </w:p>
              </w:tc>
              <w:tc>
                <w:tcPr>
                  <w:tcW w:w="1946" w:type="dxa"/>
                  <w:tcBorders>
                    <w:tl2br w:val="nil"/>
                    <w:tr2bl w:val="nil"/>
                  </w:tcBorders>
                  <w:noWrap w:val="0"/>
                  <w:vAlign w:val="center"/>
                </w:tcPr>
                <w:p w14:paraId="0BC909C6">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本项目不涉及饮用水水源一级保护区</w:t>
                  </w:r>
                </w:p>
              </w:tc>
              <w:tc>
                <w:tcPr>
                  <w:tcW w:w="1067" w:type="dxa"/>
                  <w:tcBorders>
                    <w:tl2br w:val="nil"/>
                    <w:tr2bl w:val="nil"/>
                  </w:tcBorders>
                  <w:noWrap w:val="0"/>
                  <w:vAlign w:val="center"/>
                </w:tcPr>
                <w:p w14:paraId="0D48C235">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符合</w:t>
                  </w:r>
                </w:p>
              </w:tc>
            </w:tr>
            <w:tr w14:paraId="3F884F9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112" w:type="dxa"/>
                  <w:tcBorders>
                    <w:tl2br w:val="nil"/>
                    <w:tr2bl w:val="nil"/>
                  </w:tcBorders>
                  <w:noWrap w:val="0"/>
                  <w:vAlign w:val="center"/>
                </w:tcPr>
                <w:p w14:paraId="48B5B622">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8.禁止在水产种质资源保护区岸线和河段范围内新建围湖造田、围湖造地或挖沙采石等投资建设项目。</w:t>
                  </w:r>
                </w:p>
              </w:tc>
              <w:tc>
                <w:tcPr>
                  <w:tcW w:w="1946" w:type="dxa"/>
                  <w:tcBorders>
                    <w:tl2br w:val="nil"/>
                    <w:tr2bl w:val="nil"/>
                  </w:tcBorders>
                  <w:noWrap w:val="0"/>
                  <w:vAlign w:val="center"/>
                </w:tcPr>
                <w:p w14:paraId="0659A90F">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本项目不涉及</w:t>
                  </w:r>
                  <w:r>
                    <w:rPr>
                      <w:rFonts w:hint="default" w:ascii="Times New Roman" w:hAnsi="Times New Roman" w:eastAsia="宋体" w:cs="Times New Roman"/>
                      <w:color w:val="auto"/>
                      <w:sz w:val="21"/>
                      <w:szCs w:val="21"/>
                      <w:highlight w:val="none"/>
                      <w:lang w:val="en-US" w:eastAsia="zh-CN"/>
                    </w:rPr>
                    <w:t>水产种质资源保护区</w:t>
                  </w:r>
                </w:p>
              </w:tc>
              <w:tc>
                <w:tcPr>
                  <w:tcW w:w="1067" w:type="dxa"/>
                  <w:tcBorders>
                    <w:tl2br w:val="nil"/>
                    <w:tr2bl w:val="nil"/>
                  </w:tcBorders>
                  <w:noWrap w:val="0"/>
                  <w:vAlign w:val="center"/>
                </w:tcPr>
                <w:p w14:paraId="2382A255">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符合</w:t>
                  </w:r>
                </w:p>
              </w:tc>
            </w:tr>
            <w:tr w14:paraId="2DA5ADB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112" w:type="dxa"/>
                  <w:tcBorders>
                    <w:tl2br w:val="nil"/>
                    <w:tr2bl w:val="nil"/>
                  </w:tcBorders>
                  <w:noWrap w:val="0"/>
                  <w:vAlign w:val="center"/>
                </w:tcPr>
                <w:p w14:paraId="2B9EBA8F">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禁止在国家湿地公园的岸线和河段范围内开</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围）垦、填埋或者排干湿地，截断湿地水源，挖沙、采矿，倾倒有毒有害物质、废弃物、垃圾，从事房地产、度假村、高尔夫球场、风力发电、光伏发电等任何不符合主体功能定位的建设项目和开发活动，破坏野生动物栖息地和迁徙通道、鱼类</w:t>
                  </w:r>
                  <w:r>
                    <w:rPr>
                      <w:rFonts w:hint="eastAsia" w:ascii="Times New Roman" w:hAnsi="Times New Roman" w:eastAsia="宋体" w:cs="Times New Roman"/>
                      <w:color w:val="auto"/>
                      <w:sz w:val="21"/>
                      <w:szCs w:val="21"/>
                      <w:highlight w:val="none"/>
                      <w:lang w:val="en-US" w:eastAsia="zh-CN"/>
                    </w:rPr>
                    <w:t>洄游</w:t>
                  </w:r>
                  <w:r>
                    <w:rPr>
                      <w:rFonts w:hint="default" w:ascii="Times New Roman" w:hAnsi="Times New Roman" w:eastAsia="宋体" w:cs="Times New Roman"/>
                      <w:color w:val="auto"/>
                      <w:sz w:val="21"/>
                      <w:szCs w:val="21"/>
                      <w:highlight w:val="none"/>
                    </w:rPr>
                    <w:t>通道。</w:t>
                  </w:r>
                </w:p>
              </w:tc>
              <w:tc>
                <w:tcPr>
                  <w:tcW w:w="1946" w:type="dxa"/>
                  <w:tcBorders>
                    <w:tl2br w:val="nil"/>
                    <w:tr2bl w:val="nil"/>
                  </w:tcBorders>
                  <w:noWrap w:val="0"/>
                  <w:vAlign w:val="center"/>
                </w:tcPr>
                <w:p w14:paraId="564C0EB4">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本项目不涉及</w:t>
                  </w:r>
                  <w:r>
                    <w:rPr>
                      <w:rFonts w:hint="default" w:ascii="Times New Roman" w:hAnsi="Times New Roman" w:eastAsia="宋体" w:cs="Times New Roman"/>
                      <w:color w:val="auto"/>
                      <w:sz w:val="21"/>
                      <w:szCs w:val="21"/>
                      <w:highlight w:val="none"/>
                    </w:rPr>
                    <w:t>国家湿地公园</w:t>
                  </w:r>
                </w:p>
              </w:tc>
              <w:tc>
                <w:tcPr>
                  <w:tcW w:w="1067" w:type="dxa"/>
                  <w:tcBorders>
                    <w:tl2br w:val="nil"/>
                    <w:tr2bl w:val="nil"/>
                  </w:tcBorders>
                  <w:noWrap w:val="0"/>
                  <w:vAlign w:val="center"/>
                </w:tcPr>
                <w:p w14:paraId="40C2F1EB">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B5D376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5" w:hRule="atLeast"/>
                <w:jc w:val="center"/>
              </w:trPr>
              <w:tc>
                <w:tcPr>
                  <w:tcW w:w="5112" w:type="dxa"/>
                  <w:tcBorders>
                    <w:tl2br w:val="nil"/>
                    <w:tr2bl w:val="nil"/>
                  </w:tcBorders>
                  <w:noWrap w:val="0"/>
                  <w:vAlign w:val="center"/>
                </w:tcPr>
                <w:p w14:paraId="4C2D4263">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946" w:type="dxa"/>
                  <w:tcBorders>
                    <w:tl2br w:val="nil"/>
                    <w:tr2bl w:val="nil"/>
                  </w:tcBorders>
                  <w:noWrap w:val="0"/>
                  <w:vAlign w:val="center"/>
                </w:tcPr>
                <w:p w14:paraId="54513F81">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本项目不涉及长江流域河</w:t>
                  </w:r>
                  <w:r>
                    <w:rPr>
                      <w:rFonts w:hint="eastAsia" w:cs="Times New Roman"/>
                      <w:color w:val="auto"/>
                      <w:sz w:val="21"/>
                      <w:szCs w:val="21"/>
                      <w:highlight w:val="none"/>
                      <w:lang w:val="en-US" w:eastAsia="zh-CN"/>
                    </w:rPr>
                    <w:t>湖</w:t>
                  </w:r>
                  <w:r>
                    <w:rPr>
                      <w:rFonts w:hint="default" w:ascii="Times New Roman" w:hAnsi="Times New Roman" w:eastAsia="宋体" w:cs="Times New Roman"/>
                      <w:color w:val="auto"/>
                      <w:sz w:val="21"/>
                      <w:szCs w:val="21"/>
                      <w:highlight w:val="none"/>
                      <w:lang w:eastAsia="zh-CN"/>
                    </w:rPr>
                    <w:t>岸线</w:t>
                  </w:r>
                </w:p>
              </w:tc>
              <w:tc>
                <w:tcPr>
                  <w:tcW w:w="1067" w:type="dxa"/>
                  <w:tcBorders>
                    <w:tl2br w:val="nil"/>
                    <w:tr2bl w:val="nil"/>
                  </w:tcBorders>
                  <w:noWrap w:val="0"/>
                  <w:vAlign w:val="center"/>
                </w:tcPr>
                <w:p w14:paraId="62E0FF4E">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F95184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112" w:type="dxa"/>
                  <w:tcBorders>
                    <w:tl2br w:val="nil"/>
                    <w:tr2bl w:val="nil"/>
                  </w:tcBorders>
                  <w:noWrap w:val="0"/>
                  <w:vAlign w:val="center"/>
                </w:tcPr>
                <w:p w14:paraId="51468E7D">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11.禁止在《全国重要江河湖泊水功能区划》划定的河段及湖泊保护区、保留区内投资建设不利于水资源及自然生态保护的项目。</w:t>
                  </w:r>
                </w:p>
              </w:tc>
              <w:tc>
                <w:tcPr>
                  <w:tcW w:w="1946" w:type="dxa"/>
                  <w:tcBorders>
                    <w:tl2br w:val="nil"/>
                    <w:tr2bl w:val="nil"/>
                  </w:tcBorders>
                  <w:noWrap w:val="0"/>
                  <w:vAlign w:val="center"/>
                </w:tcPr>
                <w:p w14:paraId="08B8000E">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本项目不涉及河段及湖泊保护区、保留区</w:t>
                  </w:r>
                </w:p>
              </w:tc>
              <w:tc>
                <w:tcPr>
                  <w:tcW w:w="1067" w:type="dxa"/>
                  <w:tcBorders>
                    <w:tl2br w:val="nil"/>
                    <w:tr2bl w:val="nil"/>
                  </w:tcBorders>
                  <w:noWrap w:val="0"/>
                  <w:vAlign w:val="center"/>
                </w:tcPr>
                <w:p w14:paraId="1BECA065">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43164AB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3" w:hRule="atLeast"/>
                <w:jc w:val="center"/>
              </w:trPr>
              <w:tc>
                <w:tcPr>
                  <w:tcW w:w="5112" w:type="dxa"/>
                  <w:tcBorders>
                    <w:tl2br w:val="nil"/>
                    <w:tr2bl w:val="nil"/>
                  </w:tcBorders>
                  <w:noWrap w:val="0"/>
                  <w:vAlign w:val="center"/>
                </w:tcPr>
                <w:p w14:paraId="377B4D89">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12.禁止在长江流域江河、湖泊新设、改设或者扩大排污口，经有管辖权的生态环境主管部门或者长江流域生态环境监督管理机构同意的除外。</w:t>
                  </w:r>
                </w:p>
              </w:tc>
              <w:tc>
                <w:tcPr>
                  <w:tcW w:w="1946" w:type="dxa"/>
                  <w:tcBorders>
                    <w:tl2br w:val="nil"/>
                    <w:tr2bl w:val="nil"/>
                  </w:tcBorders>
                  <w:noWrap w:val="0"/>
                  <w:vAlign w:val="center"/>
                </w:tcPr>
                <w:p w14:paraId="4D34B69C">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本项目不涉及</w:t>
                  </w:r>
                </w:p>
              </w:tc>
              <w:tc>
                <w:tcPr>
                  <w:tcW w:w="1067" w:type="dxa"/>
                  <w:tcBorders>
                    <w:tl2br w:val="nil"/>
                    <w:tr2bl w:val="nil"/>
                  </w:tcBorders>
                  <w:noWrap w:val="0"/>
                  <w:vAlign w:val="center"/>
                </w:tcPr>
                <w:p w14:paraId="3B5E1B99">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4BEFC8F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3" w:hRule="atLeast"/>
                <w:jc w:val="center"/>
              </w:trPr>
              <w:tc>
                <w:tcPr>
                  <w:tcW w:w="5112" w:type="dxa"/>
                  <w:tcBorders>
                    <w:tl2br w:val="nil"/>
                    <w:tr2bl w:val="nil"/>
                  </w:tcBorders>
                  <w:noWrap w:val="0"/>
                  <w:vAlign w:val="center"/>
                </w:tcPr>
                <w:p w14:paraId="61C89BE5">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13.禁止在长江干流、大渡河、岷江、赤水河、沱江、嘉陵江、乌江、汉江和51个（四川省45个、重庆市6个）水生生物保护区开展生产性捕捞。</w:t>
                  </w:r>
                </w:p>
              </w:tc>
              <w:tc>
                <w:tcPr>
                  <w:tcW w:w="1946" w:type="dxa"/>
                  <w:tcBorders>
                    <w:tl2br w:val="nil"/>
                    <w:tr2bl w:val="nil"/>
                  </w:tcBorders>
                  <w:noWrap w:val="0"/>
                  <w:vAlign w:val="center"/>
                </w:tcPr>
                <w:p w14:paraId="4D06C652">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本项目不涉及</w:t>
                  </w:r>
                </w:p>
              </w:tc>
              <w:tc>
                <w:tcPr>
                  <w:tcW w:w="1067" w:type="dxa"/>
                  <w:tcBorders>
                    <w:tl2br w:val="nil"/>
                    <w:tr2bl w:val="nil"/>
                  </w:tcBorders>
                  <w:noWrap w:val="0"/>
                  <w:vAlign w:val="center"/>
                </w:tcPr>
                <w:p w14:paraId="16A781CF">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187E1FC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3" w:hRule="atLeast"/>
                <w:jc w:val="center"/>
              </w:trPr>
              <w:tc>
                <w:tcPr>
                  <w:tcW w:w="5112" w:type="dxa"/>
                  <w:tcBorders>
                    <w:tl2br w:val="nil"/>
                    <w:tr2bl w:val="nil"/>
                  </w:tcBorders>
                  <w:noWrap w:val="0"/>
                  <w:vAlign w:val="center"/>
                </w:tcPr>
                <w:p w14:paraId="3855DA73">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14.禁止在长江干支流、重要湖泊岸线一公里范围内新建、扩建化工园区和化工项目。</w:t>
                  </w:r>
                </w:p>
              </w:tc>
              <w:tc>
                <w:tcPr>
                  <w:tcW w:w="1946" w:type="dxa"/>
                  <w:tcBorders>
                    <w:tl2br w:val="nil"/>
                    <w:tr2bl w:val="nil"/>
                  </w:tcBorders>
                  <w:noWrap w:val="0"/>
                  <w:vAlign w:val="center"/>
                </w:tcPr>
                <w:p w14:paraId="58F2CC65">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本项目不属于化工项目</w:t>
                  </w:r>
                </w:p>
              </w:tc>
              <w:tc>
                <w:tcPr>
                  <w:tcW w:w="1067" w:type="dxa"/>
                  <w:tcBorders>
                    <w:tl2br w:val="nil"/>
                    <w:tr2bl w:val="nil"/>
                  </w:tcBorders>
                  <w:noWrap w:val="0"/>
                  <w:vAlign w:val="center"/>
                </w:tcPr>
                <w:p w14:paraId="68136666">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4516B05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3" w:hRule="atLeast"/>
                <w:jc w:val="center"/>
              </w:trPr>
              <w:tc>
                <w:tcPr>
                  <w:tcW w:w="5112" w:type="dxa"/>
                  <w:tcBorders>
                    <w:tl2br w:val="nil"/>
                    <w:tr2bl w:val="nil"/>
                  </w:tcBorders>
                  <w:noWrap w:val="0"/>
                  <w:vAlign w:val="center"/>
                </w:tcPr>
                <w:p w14:paraId="2ACD968F">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15.禁止在长江干流岸线三公里范围内和重要支流岸线一公里范围内新建、改建、扩建尾矿库、冶炼渣库、磷石膏库，以提升安全、生态环境保护水平为目的的改建除外。</w:t>
                  </w:r>
                </w:p>
              </w:tc>
              <w:tc>
                <w:tcPr>
                  <w:tcW w:w="1946" w:type="dxa"/>
                  <w:tcBorders>
                    <w:tl2br w:val="nil"/>
                    <w:tr2bl w:val="nil"/>
                  </w:tcBorders>
                  <w:noWrap w:val="0"/>
                  <w:vAlign w:val="center"/>
                </w:tcPr>
                <w:p w14:paraId="41BEBA5C">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本项目不属于尾矿库、冶炼渣库、磷石膏库类项目</w:t>
                  </w:r>
                </w:p>
              </w:tc>
              <w:tc>
                <w:tcPr>
                  <w:tcW w:w="1067" w:type="dxa"/>
                  <w:tcBorders>
                    <w:tl2br w:val="nil"/>
                    <w:tr2bl w:val="nil"/>
                  </w:tcBorders>
                  <w:noWrap w:val="0"/>
                  <w:vAlign w:val="center"/>
                </w:tcPr>
                <w:p w14:paraId="13D322A5">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3BED56D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112" w:type="dxa"/>
                  <w:tcBorders>
                    <w:tl2br w:val="nil"/>
                    <w:tr2bl w:val="nil"/>
                  </w:tcBorders>
                  <w:noWrap w:val="0"/>
                  <w:vAlign w:val="center"/>
                </w:tcPr>
                <w:p w14:paraId="57DC385F">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16.禁止在生态保护红线区域、永久基本农田集中区域和其他需要特别保护的区域内选址建设尾矿库、冶炼渣库、磷石膏库。</w:t>
                  </w:r>
                </w:p>
              </w:tc>
              <w:tc>
                <w:tcPr>
                  <w:tcW w:w="1946" w:type="dxa"/>
                  <w:tcBorders>
                    <w:tl2br w:val="nil"/>
                    <w:tr2bl w:val="nil"/>
                  </w:tcBorders>
                  <w:noWrap w:val="0"/>
                  <w:vAlign w:val="center"/>
                </w:tcPr>
                <w:p w14:paraId="227A9530">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本项目不在生态保护红线区域、永久基本农田集中区域和其他需要特别保护的区域内</w:t>
                  </w:r>
                </w:p>
              </w:tc>
              <w:tc>
                <w:tcPr>
                  <w:tcW w:w="1067" w:type="dxa"/>
                  <w:tcBorders>
                    <w:tl2br w:val="nil"/>
                    <w:tr2bl w:val="nil"/>
                  </w:tcBorders>
                  <w:noWrap w:val="0"/>
                  <w:vAlign w:val="center"/>
                </w:tcPr>
                <w:p w14:paraId="13263FA2">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38F1EEA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3" w:hRule="atLeast"/>
                <w:jc w:val="center"/>
              </w:trPr>
              <w:tc>
                <w:tcPr>
                  <w:tcW w:w="5112" w:type="dxa"/>
                  <w:tcBorders>
                    <w:tl2br w:val="nil"/>
                    <w:tr2bl w:val="nil"/>
                  </w:tcBorders>
                  <w:noWrap w:val="0"/>
                  <w:vAlign w:val="center"/>
                </w:tcPr>
                <w:p w14:paraId="4131CFE3">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17.禁止在合规园区外新建、扩建钢铁、石化、化工、焦化、建材、有色、制浆造纸等高污染项目。</w:t>
                  </w:r>
                </w:p>
              </w:tc>
              <w:tc>
                <w:tcPr>
                  <w:tcW w:w="1946" w:type="dxa"/>
                  <w:tcBorders>
                    <w:tl2br w:val="nil"/>
                    <w:tr2bl w:val="nil"/>
                  </w:tcBorders>
                  <w:noWrap w:val="0"/>
                  <w:vAlign w:val="center"/>
                </w:tcPr>
                <w:p w14:paraId="2862CD27">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w:t>
                  </w:r>
                  <w:r>
                    <w:rPr>
                      <w:rFonts w:hint="eastAsia" w:cs="Times New Roman"/>
                      <w:color w:val="auto"/>
                      <w:sz w:val="21"/>
                      <w:szCs w:val="21"/>
                      <w:highlight w:val="none"/>
                      <w:lang w:val="en-US" w:eastAsia="zh-CN"/>
                    </w:rPr>
                    <w:t>选址位于达州市通川区东岳新型工业集聚区内</w:t>
                  </w:r>
                </w:p>
              </w:tc>
              <w:tc>
                <w:tcPr>
                  <w:tcW w:w="1067" w:type="dxa"/>
                  <w:tcBorders>
                    <w:tl2br w:val="nil"/>
                    <w:tr2bl w:val="nil"/>
                  </w:tcBorders>
                  <w:noWrap w:val="0"/>
                  <w:vAlign w:val="center"/>
                </w:tcPr>
                <w:p w14:paraId="23BB6A2A">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35E9A5A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3" w:hRule="atLeast"/>
                <w:jc w:val="center"/>
              </w:trPr>
              <w:tc>
                <w:tcPr>
                  <w:tcW w:w="5112" w:type="dxa"/>
                  <w:tcBorders>
                    <w:tl2br w:val="nil"/>
                    <w:tr2bl w:val="nil"/>
                  </w:tcBorders>
                  <w:noWrap w:val="0"/>
                  <w:vAlign w:val="center"/>
                </w:tcPr>
                <w:p w14:paraId="14589A05">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18.禁止新建、扩建不符合国家石化、现代煤化工等产业布局规划的项目。</w:t>
                  </w:r>
                </w:p>
                <w:p w14:paraId="2611F111">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一）严格控制新增炼油产能，未列入《石化产业规划布局方案（修订版</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》的新增炼油产能一律不得建设。</w:t>
                  </w:r>
                </w:p>
                <w:p w14:paraId="2C7B0CCB">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二）新建煤制烯烃、煤制芳烃项目必须列入《现代煤化工产业创新发展布局方案》，必须符合《现代煤化工建设项目环境准入条件（试行</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》要求。</w:t>
                  </w:r>
                </w:p>
              </w:tc>
              <w:tc>
                <w:tcPr>
                  <w:tcW w:w="1946" w:type="dxa"/>
                  <w:tcBorders>
                    <w:tl2br w:val="nil"/>
                    <w:tr2bl w:val="nil"/>
                  </w:tcBorders>
                  <w:noWrap w:val="0"/>
                  <w:vAlign w:val="center"/>
                </w:tcPr>
                <w:p w14:paraId="6082D08C">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本项目不属于国家石化、现代煤化工等产业布局规划的项目</w:t>
                  </w:r>
                </w:p>
              </w:tc>
              <w:tc>
                <w:tcPr>
                  <w:tcW w:w="1067" w:type="dxa"/>
                  <w:tcBorders>
                    <w:tl2br w:val="nil"/>
                    <w:tr2bl w:val="nil"/>
                  </w:tcBorders>
                  <w:noWrap w:val="0"/>
                  <w:vAlign w:val="center"/>
                </w:tcPr>
                <w:p w14:paraId="4E1ACFDC">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FFECE4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3" w:hRule="atLeast"/>
                <w:jc w:val="center"/>
              </w:trPr>
              <w:tc>
                <w:tcPr>
                  <w:tcW w:w="5112" w:type="dxa"/>
                  <w:tcBorders>
                    <w:tl2br w:val="nil"/>
                    <w:tr2bl w:val="nil"/>
                  </w:tcBorders>
                  <w:noWrap w:val="0"/>
                  <w:vAlign w:val="center"/>
                </w:tcPr>
                <w:p w14:paraId="7ADCCEF0">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946" w:type="dxa"/>
                  <w:tcBorders>
                    <w:tl2br w:val="nil"/>
                    <w:tr2bl w:val="nil"/>
                  </w:tcBorders>
                  <w:noWrap w:val="0"/>
                  <w:vAlign w:val="center"/>
                </w:tcPr>
                <w:p w14:paraId="5BA62EAE">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本项目不属于法律法规和相关政策明令禁止的落后产能项目</w:t>
                  </w:r>
                </w:p>
              </w:tc>
              <w:tc>
                <w:tcPr>
                  <w:tcW w:w="1067" w:type="dxa"/>
                  <w:tcBorders>
                    <w:tl2br w:val="nil"/>
                    <w:tr2bl w:val="nil"/>
                  </w:tcBorders>
                  <w:noWrap w:val="0"/>
                  <w:vAlign w:val="center"/>
                </w:tcPr>
                <w:p w14:paraId="2E66972F">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31AA33E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3" w:hRule="atLeast"/>
                <w:jc w:val="center"/>
              </w:trPr>
              <w:tc>
                <w:tcPr>
                  <w:tcW w:w="5112" w:type="dxa"/>
                  <w:tcBorders>
                    <w:tl2br w:val="nil"/>
                    <w:tr2bl w:val="nil"/>
                  </w:tcBorders>
                  <w:noWrap w:val="0"/>
                  <w:vAlign w:val="center"/>
                </w:tcPr>
                <w:p w14:paraId="3BFB8173">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20.禁止新建、扩建不符合国家产能置换要求的严重过剩产能行业的项目。对于不符合国家产能置换要求的严重过剩产能行业，不得以其他任何名义、任何方式备案新增产能项目。</w:t>
                  </w:r>
                </w:p>
              </w:tc>
              <w:tc>
                <w:tcPr>
                  <w:tcW w:w="1946" w:type="dxa"/>
                  <w:tcBorders>
                    <w:tl2br w:val="nil"/>
                    <w:tr2bl w:val="nil"/>
                  </w:tcBorders>
                  <w:noWrap w:val="0"/>
                  <w:vAlign w:val="center"/>
                </w:tcPr>
                <w:p w14:paraId="057E6B04">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本项目不属于国家产能置换要求的严重过剩产能行业的项目</w:t>
                  </w:r>
                </w:p>
              </w:tc>
              <w:tc>
                <w:tcPr>
                  <w:tcW w:w="1067" w:type="dxa"/>
                  <w:tcBorders>
                    <w:tl2br w:val="nil"/>
                    <w:tr2bl w:val="nil"/>
                  </w:tcBorders>
                  <w:noWrap w:val="0"/>
                  <w:vAlign w:val="center"/>
                </w:tcPr>
                <w:p w14:paraId="0BC86F74">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CFC9CA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3" w:hRule="atLeast"/>
                <w:jc w:val="center"/>
              </w:trPr>
              <w:tc>
                <w:tcPr>
                  <w:tcW w:w="5112" w:type="dxa"/>
                  <w:tcBorders>
                    <w:tl2br w:val="nil"/>
                    <w:tr2bl w:val="nil"/>
                  </w:tcBorders>
                  <w:noWrap w:val="0"/>
                  <w:vAlign w:val="center"/>
                </w:tcPr>
                <w:p w14:paraId="37CA1132">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21.禁止建设以下燃油汽车投资项目（不在中国境内销售产品的投资项目除外</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p>
                <w:p w14:paraId="3190C8EA">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一）新建独立燃油汽车企业；</w:t>
                  </w:r>
                </w:p>
                <w:p w14:paraId="2090D0C4">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二）现有汽车企业跨乘用车、商用车类别建设燃油汽车生产能力；</w:t>
                  </w:r>
                </w:p>
                <w:p w14:paraId="643FD56C">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三）外省现有燃油汽车企业整体搬迁至本省（列入国家级区域发展规划或不改变企业股权结构的项目除外</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p>
                <w:p w14:paraId="64FC8DCB">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四）对行业管理部门特别公示的燃油汽车企业进行投资</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企业原有股东投资或将该企业转为非独立法人的投资项目除外</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p>
              </w:tc>
              <w:tc>
                <w:tcPr>
                  <w:tcW w:w="1946" w:type="dxa"/>
                  <w:tcBorders>
                    <w:tl2br w:val="nil"/>
                    <w:tr2bl w:val="nil"/>
                  </w:tcBorders>
                  <w:noWrap w:val="0"/>
                  <w:vAlign w:val="center"/>
                </w:tcPr>
                <w:p w14:paraId="029C4F2F">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本项目不属于燃油汽车投资项目</w:t>
                  </w:r>
                </w:p>
              </w:tc>
              <w:tc>
                <w:tcPr>
                  <w:tcW w:w="1067" w:type="dxa"/>
                  <w:tcBorders>
                    <w:tl2br w:val="nil"/>
                    <w:tr2bl w:val="nil"/>
                  </w:tcBorders>
                  <w:noWrap w:val="0"/>
                  <w:vAlign w:val="center"/>
                </w:tcPr>
                <w:p w14:paraId="11946837">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7F82FDE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3" w:hRule="atLeast"/>
                <w:jc w:val="center"/>
              </w:trPr>
              <w:tc>
                <w:tcPr>
                  <w:tcW w:w="5112" w:type="dxa"/>
                  <w:tcBorders>
                    <w:tl2br w:val="nil"/>
                    <w:tr2bl w:val="nil"/>
                  </w:tcBorders>
                  <w:noWrap w:val="0"/>
                  <w:vAlign w:val="center"/>
                </w:tcPr>
                <w:p w14:paraId="53890242">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22.禁止新建、扩建不符合要求的高耗能、高排放、低水平项目。</w:t>
                  </w:r>
                </w:p>
              </w:tc>
              <w:tc>
                <w:tcPr>
                  <w:tcW w:w="1946" w:type="dxa"/>
                  <w:tcBorders>
                    <w:tl2br w:val="nil"/>
                    <w:tr2bl w:val="nil"/>
                  </w:tcBorders>
                  <w:noWrap w:val="0"/>
                  <w:vAlign w:val="center"/>
                </w:tcPr>
                <w:p w14:paraId="09575411">
                  <w:pPr>
                    <w:pStyle w:val="2"/>
                    <w:keepNext w:val="0"/>
                    <w:keepLines w:val="0"/>
                    <w:pageBreakBefore w:val="0"/>
                    <w:widowControl/>
                    <w:kinsoku/>
                    <w:wordWrap/>
                    <w:overflowPunct/>
                    <w:topLinePunct w:val="0"/>
                    <w:autoSpaceDE/>
                    <w:autoSpaceDN/>
                    <w:bidi w:val="0"/>
                    <w:adjustRightInd/>
                    <w:snapToGrid/>
                    <w:spacing w:before="0" w:after="0" w:line="24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本项目不属于</w:t>
                  </w:r>
                  <w:r>
                    <w:rPr>
                      <w:rFonts w:hint="default" w:ascii="Times New Roman" w:hAnsi="Times New Roman" w:eastAsia="宋体" w:cs="Times New Roman"/>
                      <w:color w:val="auto"/>
                      <w:sz w:val="21"/>
                      <w:szCs w:val="21"/>
                      <w:highlight w:val="none"/>
                      <w:lang w:val="en-US" w:eastAsia="zh-CN"/>
                    </w:rPr>
                    <w:t>高耗能、高排放、低水平项目</w:t>
                  </w:r>
                </w:p>
              </w:tc>
              <w:tc>
                <w:tcPr>
                  <w:tcW w:w="1067" w:type="dxa"/>
                  <w:tcBorders>
                    <w:tl2br w:val="nil"/>
                    <w:tr2bl w:val="nil"/>
                  </w:tcBorders>
                  <w:noWrap w:val="0"/>
                  <w:vAlign w:val="center"/>
                </w:tcPr>
                <w:p w14:paraId="4DC5D772">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14:paraId="5EE7ED99">
            <w:pPr>
              <w:pStyle w:val="2"/>
              <w:snapToGrid/>
              <w:spacing w:before="0" w:after="0" w:line="240" w:lineRule="auto"/>
              <w:ind w:right="0" w:firstLine="420" w:firstLineChars="200"/>
              <w:jc w:val="center"/>
              <w:rPr>
                <w:color w:val="auto"/>
                <w:sz w:val="21"/>
                <w:szCs w:val="21"/>
                <w:highlight w:val="none"/>
              </w:rPr>
            </w:pPr>
          </w:p>
          <w:p w14:paraId="641DD6E0">
            <w:pPr>
              <w:autoSpaceDE w:val="0"/>
              <w:autoSpaceDN w:val="0"/>
              <w:spacing w:line="360" w:lineRule="auto"/>
              <w:ind w:firstLine="482" w:firstLineChars="200"/>
              <w:rPr>
                <w:bCs/>
                <w:color w:val="auto"/>
                <w:kern w:val="0"/>
                <w:sz w:val="24"/>
                <w:highlight w:val="none"/>
              </w:rPr>
            </w:pPr>
            <w:r>
              <w:rPr>
                <w:b/>
                <w:color w:val="auto"/>
                <w:kern w:val="0"/>
                <w:sz w:val="24"/>
                <w:highlight w:val="none"/>
              </w:rPr>
              <w:t>综上，本项目的建设符合</w:t>
            </w:r>
            <w:r>
              <w:rPr>
                <w:rFonts w:hint="eastAsia"/>
                <w:b/>
                <w:color w:val="auto"/>
                <w:kern w:val="0"/>
                <w:sz w:val="24"/>
                <w:highlight w:val="none"/>
              </w:rPr>
              <w:t>《四川省、重庆市长江经济带发展负面清单实施细则（试行，2022年版）》</w:t>
            </w:r>
            <w:r>
              <w:rPr>
                <w:b/>
                <w:color w:val="auto"/>
                <w:kern w:val="0"/>
                <w:sz w:val="24"/>
                <w:highlight w:val="none"/>
              </w:rPr>
              <w:t>的要求。</w:t>
            </w:r>
          </w:p>
          <w:p w14:paraId="3401E79D">
            <w:pPr>
              <w:keepNext w:val="0"/>
              <w:keepLines w:val="0"/>
              <w:pageBreakBefore w:val="0"/>
              <w:kinsoku/>
              <w:wordWrap w:val="0"/>
              <w:overflowPunct/>
              <w:topLinePunct w:val="0"/>
              <w:autoSpaceDE w:val="0"/>
              <w:autoSpaceDN w:val="0"/>
              <w:bidi w:val="0"/>
              <w:adjustRightInd/>
              <w:snapToGrid/>
              <w:spacing w:line="360" w:lineRule="auto"/>
              <w:ind w:left="0" w:leftChars="0" w:right="0" w:rightChars="0" w:firstLine="482" w:firstLineChars="200"/>
              <w:textAlignment w:val="auto"/>
              <w:rPr>
                <w:rFonts w:hint="default" w:ascii="Times New Roman" w:hAnsi="Times New Roman" w:eastAsia="宋体" w:cs="Times New Roman"/>
                <w:b/>
                <w:sz w:val="24"/>
                <w:szCs w:val="28"/>
              </w:rPr>
            </w:pPr>
            <w:r>
              <w:rPr>
                <w:rFonts w:hint="eastAsia" w:ascii="Times New Roman" w:hAnsi="Times New Roman" w:cs="Times New Roman"/>
                <w:b/>
                <w:sz w:val="24"/>
                <w:szCs w:val="28"/>
                <w:lang w:val="en-US" w:eastAsia="zh-CN"/>
              </w:rPr>
              <w:t>7</w:t>
            </w:r>
            <w:r>
              <w:rPr>
                <w:rFonts w:hint="default" w:ascii="Times New Roman" w:hAnsi="Times New Roman" w:eastAsia="宋体" w:cs="Times New Roman"/>
                <w:b/>
                <w:sz w:val="24"/>
                <w:szCs w:val="28"/>
              </w:rPr>
              <w:t>、本项目与“三区三线”等国土空间规划管控要求的符合性分析</w:t>
            </w:r>
          </w:p>
          <w:p w14:paraId="4A488A6D">
            <w:pPr>
              <w:keepNext w:val="0"/>
              <w:keepLines w:val="0"/>
              <w:pageBreakBefore w:val="0"/>
              <w:kinsoku/>
              <w:wordWrap w:val="0"/>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 w:val="0"/>
                <w:bCs/>
                <w:sz w:val="24"/>
                <w:szCs w:val="28"/>
              </w:rPr>
            </w:pPr>
            <w:r>
              <w:rPr>
                <w:rFonts w:hint="default" w:ascii="Times New Roman" w:hAnsi="Times New Roman" w:eastAsia="宋体" w:cs="Times New Roman"/>
                <w:b w:val="0"/>
                <w:bCs/>
                <w:sz w:val="24"/>
                <w:szCs w:val="28"/>
              </w:rPr>
              <w:t>根据《自然资源部办公厅关于辽宁等省（市）启用“三区三线”划定成果作为报批建设项目用地用海依据的函》（自然资办函</w:t>
            </w:r>
            <w:r>
              <w:rPr>
                <w:rFonts w:hint="eastAsia" w:cs="Times New Roman"/>
                <w:b w:val="0"/>
                <w:bCs/>
                <w:sz w:val="24"/>
                <w:szCs w:val="28"/>
                <w:lang w:eastAsia="zh-CN"/>
              </w:rPr>
              <w:t>【2022】2341号</w:t>
            </w:r>
            <w:r>
              <w:rPr>
                <w:rFonts w:hint="default" w:ascii="Times New Roman" w:hAnsi="Times New Roman" w:eastAsia="宋体" w:cs="Times New Roman"/>
                <w:b w:val="0"/>
                <w:bCs/>
                <w:sz w:val="24"/>
                <w:szCs w:val="28"/>
              </w:rPr>
              <w:t>）及《自然资源部办公厅关于依据“三区三线”划定成果报批建设项目用地用海有关事宜的函》</w:t>
            </w:r>
            <w:r>
              <w:rPr>
                <w:rFonts w:hint="eastAsia" w:cs="Times New Roman"/>
                <w:b w:val="0"/>
                <w:bCs/>
                <w:sz w:val="24"/>
                <w:szCs w:val="28"/>
                <w:lang w:eastAsia="zh-CN"/>
              </w:rPr>
              <w:t>（</w:t>
            </w:r>
            <w:r>
              <w:rPr>
                <w:rFonts w:hint="default" w:ascii="Times New Roman" w:hAnsi="Times New Roman" w:eastAsia="宋体" w:cs="Times New Roman"/>
                <w:b w:val="0"/>
                <w:bCs/>
                <w:sz w:val="24"/>
                <w:szCs w:val="28"/>
              </w:rPr>
              <w:t>自然资办函</w:t>
            </w:r>
            <w:r>
              <w:rPr>
                <w:rFonts w:hint="eastAsia" w:cs="Times New Roman"/>
                <w:b w:val="0"/>
                <w:bCs/>
                <w:sz w:val="24"/>
                <w:szCs w:val="28"/>
                <w:lang w:eastAsia="zh-CN"/>
              </w:rPr>
              <w:t>【2022】2072号）</w:t>
            </w:r>
            <w:r>
              <w:rPr>
                <w:rFonts w:hint="default" w:ascii="Times New Roman" w:hAnsi="Times New Roman" w:eastAsia="宋体" w:cs="Times New Roman"/>
                <w:b w:val="0"/>
                <w:bCs/>
                <w:sz w:val="24"/>
                <w:szCs w:val="28"/>
              </w:rPr>
              <w:t>，三区三线中“三区”是指城镇空间、农业空间、生态空间三种类型的国土空间。“三线”分别对应在城镇空间、农业空间、生态空间划定的城镇开发边界、永久基本农田、生态保护红线三条控制线。</w:t>
            </w:r>
          </w:p>
          <w:p w14:paraId="1E2DB67A">
            <w:pPr>
              <w:keepNext w:val="0"/>
              <w:keepLines w:val="0"/>
              <w:pageBreakBefore w:val="0"/>
              <w:kinsoku/>
              <w:wordWrap w:val="0"/>
              <w:overflowPunct/>
              <w:topLinePunct w:val="0"/>
              <w:autoSpaceDE w:val="0"/>
              <w:autoSpaceDN w:val="0"/>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 w:val="0"/>
                <w:bCs/>
                <w:sz w:val="24"/>
                <w:szCs w:val="28"/>
              </w:rPr>
            </w:pPr>
            <w:r>
              <w:rPr>
                <w:rFonts w:hint="default" w:ascii="Times New Roman" w:hAnsi="Times New Roman" w:eastAsia="宋体" w:cs="Times New Roman"/>
                <w:b w:val="0"/>
                <w:bCs/>
                <w:sz w:val="24"/>
                <w:szCs w:val="28"/>
              </w:rPr>
              <w:t>本项目</w:t>
            </w:r>
            <w:r>
              <w:rPr>
                <w:rFonts w:hint="eastAsia" w:ascii="Times New Roman" w:hAnsi="Times New Roman" w:eastAsia="宋体" w:cs="Times New Roman"/>
                <w:b w:val="0"/>
                <w:bCs/>
                <w:sz w:val="24"/>
                <w:szCs w:val="28"/>
                <w:lang w:val="en-US" w:eastAsia="zh-CN"/>
              </w:rPr>
              <w:t>选址</w:t>
            </w:r>
            <w:r>
              <w:rPr>
                <w:rFonts w:hint="default" w:ascii="Times New Roman" w:hAnsi="Times New Roman" w:eastAsia="宋体" w:cs="Times New Roman"/>
                <w:b w:val="0"/>
                <w:bCs/>
                <w:sz w:val="24"/>
                <w:szCs w:val="28"/>
              </w:rPr>
              <w:t>位于</w:t>
            </w:r>
            <w:r>
              <w:rPr>
                <w:rFonts w:hint="eastAsia" w:ascii="Times New Roman" w:hAnsi="Times New Roman" w:cs="Times New Roman"/>
                <w:b w:val="0"/>
                <w:bCs/>
                <w:sz w:val="24"/>
                <w:szCs w:val="28"/>
                <w:lang w:val="en-US" w:eastAsia="zh-CN"/>
              </w:rPr>
              <w:t>达州市通川区东岳镇有力村九组</w:t>
            </w:r>
            <w:r>
              <w:rPr>
                <w:rFonts w:hint="default" w:ascii="Times New Roman" w:hAnsi="Times New Roman" w:eastAsia="宋体" w:cs="Times New Roman"/>
                <w:b w:val="0"/>
                <w:bCs/>
                <w:sz w:val="24"/>
                <w:szCs w:val="28"/>
              </w:rPr>
              <w:t>，</w:t>
            </w:r>
            <w:r>
              <w:rPr>
                <w:rFonts w:hint="eastAsia" w:ascii="Times New Roman" w:hAnsi="Times New Roman" w:eastAsia="宋体" w:cs="Times New Roman"/>
                <w:b w:val="0"/>
                <w:bCs/>
                <w:sz w:val="24"/>
                <w:szCs w:val="28"/>
                <w:lang w:val="en-US" w:eastAsia="zh-CN"/>
              </w:rPr>
              <w:t>所在位置属于达州市通川区东岳新型工业聚集区，用地属于已规划的工业用地，</w:t>
            </w:r>
            <w:r>
              <w:rPr>
                <w:rFonts w:hint="default" w:ascii="Times New Roman" w:hAnsi="Times New Roman" w:eastAsia="宋体" w:cs="Times New Roman"/>
                <w:b w:val="0"/>
                <w:bCs/>
                <w:sz w:val="24"/>
                <w:szCs w:val="28"/>
              </w:rPr>
              <w:t>本项目符合用地规划，不涉及风景名胜、自然保护区和基本农田的占用，符合永久基本农田的保护和监管的相关要求。不涉及四川省生态保护红线、</w:t>
            </w:r>
            <w:r>
              <w:rPr>
                <w:rFonts w:hint="eastAsia" w:ascii="Times New Roman" w:hAnsi="Times New Roman" w:cs="Times New Roman"/>
                <w:b w:val="0"/>
                <w:bCs/>
                <w:sz w:val="24"/>
                <w:szCs w:val="28"/>
                <w:lang w:val="en-US" w:eastAsia="zh-CN"/>
              </w:rPr>
              <w:t>达州市</w:t>
            </w:r>
            <w:r>
              <w:rPr>
                <w:rFonts w:hint="default" w:ascii="Times New Roman" w:hAnsi="Times New Roman" w:eastAsia="宋体" w:cs="Times New Roman"/>
                <w:b w:val="0"/>
                <w:bCs/>
                <w:sz w:val="24"/>
                <w:szCs w:val="28"/>
              </w:rPr>
              <w:t>生态保护红线的划定范围，符合生态保护红线监管的相关要求，项目不涉及城市发展边界以外的土地开发利用，符合城镇开发边界管控的相关要求。</w:t>
            </w:r>
          </w:p>
          <w:p w14:paraId="49FEC9EC">
            <w:pPr>
              <w:autoSpaceDE w:val="0"/>
              <w:autoSpaceDN w:val="0"/>
              <w:spacing w:line="360" w:lineRule="auto"/>
              <w:ind w:firstLine="482" w:firstLineChars="200"/>
              <w:rPr>
                <w:bCs/>
                <w:color w:val="auto"/>
                <w:kern w:val="0"/>
                <w:sz w:val="24"/>
                <w:highlight w:val="none"/>
              </w:rPr>
            </w:pPr>
            <w:r>
              <w:rPr>
                <w:rFonts w:hint="default" w:ascii="Times New Roman" w:hAnsi="Times New Roman" w:eastAsia="宋体" w:cs="Times New Roman"/>
                <w:b/>
                <w:bCs w:val="0"/>
                <w:sz w:val="24"/>
                <w:szCs w:val="28"/>
              </w:rPr>
              <w:t>综上所述，本项目符合“三区三线”等国土空间规划管控的相关要求。</w:t>
            </w:r>
          </w:p>
          <w:p w14:paraId="5978BD62">
            <w:pPr>
              <w:keepNext w:val="0"/>
              <w:keepLines w:val="0"/>
              <w:pageBreakBefore w:val="0"/>
              <w:kinsoku/>
              <w:wordWrap w:val="0"/>
              <w:overflowPunct/>
              <w:topLinePunct w:val="0"/>
              <w:autoSpaceDE w:val="0"/>
              <w:autoSpaceDN w:val="0"/>
              <w:bidi w:val="0"/>
              <w:adjustRightInd/>
              <w:snapToGrid/>
              <w:spacing w:line="360" w:lineRule="auto"/>
              <w:ind w:left="0" w:leftChars="0" w:right="0" w:rightChars="0" w:firstLine="482" w:firstLineChars="200"/>
              <w:textAlignment w:val="auto"/>
              <w:rPr>
                <w:rFonts w:hint="eastAsia" w:ascii="Times New Roman" w:hAnsi="Times New Roman" w:eastAsia="宋体" w:cs="Times New Roman"/>
                <w:b/>
                <w:sz w:val="24"/>
                <w:szCs w:val="28"/>
                <w:highlight w:val="none"/>
                <w:lang w:val="en-US" w:eastAsia="zh-CN"/>
              </w:rPr>
            </w:pPr>
            <w:r>
              <w:rPr>
                <w:rFonts w:hint="eastAsia" w:ascii="Times New Roman" w:hAnsi="Times New Roman" w:cs="Times New Roman"/>
                <w:b/>
                <w:sz w:val="24"/>
                <w:szCs w:val="28"/>
                <w:highlight w:val="none"/>
                <w:lang w:val="en-US" w:eastAsia="zh-CN"/>
              </w:rPr>
              <w:t>8、</w:t>
            </w:r>
            <w:r>
              <w:rPr>
                <w:rFonts w:hint="eastAsia" w:ascii="Times New Roman" w:hAnsi="Times New Roman" w:eastAsia="宋体" w:cs="Times New Roman"/>
                <w:b/>
                <w:sz w:val="24"/>
                <w:szCs w:val="28"/>
                <w:highlight w:val="none"/>
                <w:lang w:val="en-US" w:eastAsia="zh-CN"/>
              </w:rPr>
              <w:t>与相关污染防治规划、工作方案、技术规范符合性分析</w:t>
            </w:r>
          </w:p>
          <w:p w14:paraId="7915542D">
            <w:pPr>
              <w:autoSpaceDE w:val="0"/>
              <w:autoSpaceDN w:val="0"/>
              <w:spacing w:line="360" w:lineRule="auto"/>
              <w:ind w:firstLine="480" w:firstLineChars="200"/>
              <w:rPr>
                <w:rFonts w:hint="eastAsia" w:eastAsia="宋体"/>
                <w:bCs/>
                <w:color w:val="auto"/>
                <w:kern w:val="0"/>
                <w:sz w:val="24"/>
                <w:highlight w:val="none"/>
                <w:lang w:eastAsia="zh-CN"/>
              </w:rPr>
            </w:pPr>
            <w:r>
              <w:rPr>
                <w:rFonts w:hint="eastAsia"/>
                <w:bCs/>
                <w:color w:val="auto"/>
                <w:kern w:val="0"/>
                <w:sz w:val="24"/>
                <w:highlight w:val="none"/>
              </w:rPr>
              <w:t>本项目与相关污染防治规划、工作方案、技术规范的符合性分析见下表</w:t>
            </w:r>
            <w:r>
              <w:rPr>
                <w:rFonts w:hint="eastAsia"/>
                <w:bCs/>
                <w:color w:val="auto"/>
                <w:kern w:val="0"/>
                <w:sz w:val="24"/>
                <w:highlight w:val="none"/>
                <w:lang w:eastAsia="zh-CN"/>
              </w:rPr>
              <w:t>：</w:t>
            </w:r>
          </w:p>
          <w:p w14:paraId="249CCB11">
            <w:pPr>
              <w:numPr>
                <w:ilvl w:val="0"/>
                <w:numId w:val="3"/>
              </w:numPr>
              <w:wordWrap w:val="0"/>
              <w:ind w:left="63" w:leftChars="30" w:right="63" w:rightChars="30"/>
              <w:jc w:val="center"/>
              <w:rPr>
                <w:rFonts w:hint="eastAsia" w:ascii="Times New Roman" w:hAnsi="Times New Roman" w:eastAsia="宋体" w:cs="Times New Roman"/>
                <w:b/>
                <w:szCs w:val="21"/>
                <w:lang w:val="en-US" w:eastAsia="zh-CN"/>
              </w:rPr>
            </w:pPr>
            <w:r>
              <w:rPr>
                <w:rFonts w:hint="eastAsia" w:ascii="Times New Roman" w:hAnsi="Times New Roman" w:eastAsia="宋体" w:cs="Times New Roman"/>
                <w:b/>
                <w:szCs w:val="21"/>
                <w:lang w:val="en-US" w:eastAsia="zh-CN"/>
              </w:rPr>
              <w:t>与相关污染防治规划、工作方案、技术规范符合性分析一览表</w:t>
            </w:r>
          </w:p>
          <w:tbl>
            <w:tblPr>
              <w:tblStyle w:val="27"/>
              <w:tblW w:w="8134"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526"/>
              <w:gridCol w:w="1099"/>
              <w:gridCol w:w="3591"/>
              <w:gridCol w:w="2141"/>
              <w:gridCol w:w="777"/>
            </w:tblGrid>
            <w:tr w14:paraId="09697D1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26" w:type="dxa"/>
                  <w:tcBorders>
                    <w:tl2br w:val="nil"/>
                    <w:tr2bl w:val="nil"/>
                  </w:tcBorders>
                  <w:vAlign w:val="center"/>
                </w:tcPr>
                <w:p w14:paraId="4D8D09D9">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序号</w:t>
                  </w:r>
                </w:p>
              </w:tc>
              <w:tc>
                <w:tcPr>
                  <w:tcW w:w="1099" w:type="dxa"/>
                  <w:tcBorders>
                    <w:tl2br w:val="nil"/>
                    <w:tr2bl w:val="nil"/>
                  </w:tcBorders>
                  <w:vAlign w:val="center"/>
                </w:tcPr>
                <w:p w14:paraId="152995BE">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规划名称</w:t>
                  </w:r>
                </w:p>
              </w:tc>
              <w:tc>
                <w:tcPr>
                  <w:tcW w:w="3591" w:type="dxa"/>
                  <w:tcBorders>
                    <w:tl2br w:val="nil"/>
                    <w:tr2bl w:val="nil"/>
                  </w:tcBorders>
                  <w:vAlign w:val="center"/>
                </w:tcPr>
                <w:p w14:paraId="511C9579">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内容</w:t>
                  </w:r>
                </w:p>
              </w:tc>
              <w:tc>
                <w:tcPr>
                  <w:tcW w:w="2141" w:type="dxa"/>
                  <w:tcBorders>
                    <w:tl2br w:val="nil"/>
                    <w:tr2bl w:val="nil"/>
                  </w:tcBorders>
                  <w:vAlign w:val="center"/>
                </w:tcPr>
                <w:p w14:paraId="4AE8DEE0">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本项目情况</w:t>
                  </w:r>
                </w:p>
              </w:tc>
              <w:tc>
                <w:tcPr>
                  <w:tcW w:w="777" w:type="dxa"/>
                  <w:tcBorders>
                    <w:tl2br w:val="nil"/>
                    <w:tr2bl w:val="nil"/>
                  </w:tcBorders>
                  <w:vAlign w:val="center"/>
                </w:tcPr>
                <w:p w14:paraId="4AE50F32">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符合性</w:t>
                  </w:r>
                </w:p>
              </w:tc>
            </w:tr>
            <w:tr w14:paraId="162CFEE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26" w:type="dxa"/>
                  <w:tcBorders>
                    <w:tl2br w:val="nil"/>
                    <w:tr2bl w:val="nil"/>
                  </w:tcBorders>
                  <w:vAlign w:val="center"/>
                </w:tcPr>
                <w:p w14:paraId="01EE375A">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1</w:t>
                  </w:r>
                </w:p>
              </w:tc>
              <w:tc>
                <w:tcPr>
                  <w:tcW w:w="1099" w:type="dxa"/>
                  <w:tcBorders>
                    <w:tl2br w:val="nil"/>
                    <w:tr2bl w:val="nil"/>
                  </w:tcBorders>
                  <w:vAlign w:val="center"/>
                </w:tcPr>
                <w:p w14:paraId="23D969E3">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《中华人民共和国大气污染防治法》</w:t>
                  </w:r>
                </w:p>
              </w:tc>
              <w:tc>
                <w:tcPr>
                  <w:tcW w:w="3591" w:type="dxa"/>
                  <w:tcBorders>
                    <w:tl2br w:val="nil"/>
                    <w:tr2bl w:val="nil"/>
                  </w:tcBorders>
                  <w:vAlign w:val="center"/>
                </w:tcPr>
                <w:p w14:paraId="28FA04F0">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第四十四条 生产、进口、销售和使用含挥发性有机物的原材料和产品的，其挥发有机物含量应当符合质量标准或要求。国家鼓励生产、进口、销售和使用低毒、低挥发性有机溶剂。</w:t>
                  </w:r>
                </w:p>
                <w:p w14:paraId="6A894399">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第四十五条 产生含挥发性有机物废气的生产和服务活动，应当在密闭空间或者设备中进行，并按照规定安装、使用污染防治设施；无法密闭的，应当采取措施减少废气排放。</w:t>
                  </w:r>
                </w:p>
              </w:tc>
              <w:tc>
                <w:tcPr>
                  <w:tcW w:w="2141" w:type="dxa"/>
                  <w:tcBorders>
                    <w:tl2br w:val="nil"/>
                    <w:tr2bl w:val="nil"/>
                  </w:tcBorders>
                  <w:vAlign w:val="center"/>
                </w:tcPr>
                <w:p w14:paraId="27628845">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项目生产过程中产生的搅拌废气、卸料废气、沥青加热废气通过密闭收集至“</w:t>
                  </w:r>
                  <w:r>
                    <w:rPr>
                      <w:rFonts w:hint="eastAsia" w:ascii="Times New Roman" w:hAnsi="Times New Roman" w:eastAsia="宋体" w:cs="Times New Roman"/>
                      <w:b w:val="0"/>
                      <w:bCs/>
                      <w:sz w:val="21"/>
                      <w:szCs w:val="21"/>
                      <w:highlight w:val="none"/>
                      <w:vertAlign w:val="baseline"/>
                      <w:lang w:val="en-US" w:eastAsia="zh-CN"/>
                    </w:rPr>
                    <w:t>喷淋</w:t>
                  </w:r>
                  <w:r>
                    <w:rPr>
                      <w:rFonts w:hint="default" w:ascii="Times New Roman" w:hAnsi="Times New Roman" w:eastAsia="宋体" w:cs="Times New Roman"/>
                      <w:b w:val="0"/>
                      <w:bCs/>
                      <w:sz w:val="21"/>
                      <w:szCs w:val="21"/>
                      <w:highlight w:val="none"/>
                      <w:vertAlign w:val="baseline"/>
                      <w:lang w:val="en-US" w:eastAsia="zh-CN"/>
                    </w:rPr>
                    <w:t>+</w:t>
                  </w:r>
                  <w:r>
                    <w:rPr>
                      <w:rFonts w:hint="eastAsia" w:ascii="Times New Roman" w:hAnsi="Times New Roman" w:eastAsia="宋体" w:cs="Times New Roman"/>
                      <w:b w:val="0"/>
                      <w:bCs/>
                      <w:sz w:val="21"/>
                      <w:szCs w:val="21"/>
                      <w:highlight w:val="none"/>
                      <w:vertAlign w:val="baseline"/>
                      <w:lang w:val="en-US" w:eastAsia="zh-CN"/>
                    </w:rPr>
                    <w:t>干式过滤</w:t>
                  </w:r>
                  <w:r>
                    <w:rPr>
                      <w:rFonts w:hint="default" w:ascii="Times New Roman" w:hAnsi="Times New Roman" w:eastAsia="宋体" w:cs="Times New Roman"/>
                      <w:b w:val="0"/>
                      <w:bCs/>
                      <w:sz w:val="21"/>
                      <w:szCs w:val="21"/>
                      <w:highlight w:val="none"/>
                      <w:vertAlign w:val="baseline"/>
                      <w:lang w:val="en-US" w:eastAsia="zh-CN"/>
                    </w:rPr>
                    <w:t>+</w:t>
                  </w:r>
                  <w:r>
                    <w:rPr>
                      <w:rFonts w:hint="eastAsia" w:ascii="Times New Roman" w:hAnsi="Times New Roman" w:eastAsia="宋体" w:cs="Times New Roman"/>
                      <w:b w:val="0"/>
                      <w:bCs/>
                      <w:sz w:val="21"/>
                      <w:szCs w:val="21"/>
                      <w:highlight w:val="none"/>
                      <w:vertAlign w:val="baseline"/>
                      <w:lang w:val="en-US" w:eastAsia="zh-CN"/>
                    </w:rPr>
                    <w:t>活性炭吸附脱附+催化燃烧</w:t>
                  </w:r>
                  <w:r>
                    <w:rPr>
                      <w:rFonts w:hint="default" w:ascii="Times New Roman" w:hAnsi="Times New Roman" w:eastAsia="宋体" w:cs="Times New Roman"/>
                      <w:b w:val="0"/>
                      <w:bCs/>
                      <w:sz w:val="21"/>
                      <w:szCs w:val="21"/>
                      <w:highlight w:val="none"/>
                      <w:vertAlign w:val="baseline"/>
                      <w:lang w:val="en-US" w:eastAsia="zh-CN"/>
                    </w:rPr>
                    <w:t>”装置处理，处理后通过</w:t>
                  </w:r>
                  <w:r>
                    <w:rPr>
                      <w:rFonts w:hint="eastAsia" w:cs="Times New Roman"/>
                      <w:b w:val="0"/>
                      <w:bCs/>
                      <w:sz w:val="21"/>
                      <w:szCs w:val="21"/>
                      <w:highlight w:val="none"/>
                      <w:vertAlign w:val="baseline"/>
                      <w:lang w:val="en-US" w:eastAsia="zh-CN"/>
                    </w:rPr>
                    <w:t>22</w:t>
                  </w:r>
                  <w:r>
                    <w:rPr>
                      <w:rFonts w:hint="default" w:ascii="Times New Roman" w:hAnsi="Times New Roman" w:eastAsia="宋体" w:cs="Times New Roman"/>
                      <w:b w:val="0"/>
                      <w:bCs/>
                      <w:sz w:val="21"/>
                      <w:szCs w:val="21"/>
                      <w:highlight w:val="none"/>
                      <w:vertAlign w:val="baseline"/>
                      <w:lang w:val="en-US" w:eastAsia="zh-CN"/>
                    </w:rPr>
                    <w:t>m高排气筒</w:t>
                  </w:r>
                  <w:r>
                    <w:rPr>
                      <w:rFonts w:hint="eastAsia" w:ascii="Times New Roman" w:hAnsi="Times New Roman" w:eastAsia="宋体" w:cs="Times New Roman"/>
                      <w:b w:val="0"/>
                      <w:bCs/>
                      <w:sz w:val="21"/>
                      <w:szCs w:val="21"/>
                      <w:highlight w:val="none"/>
                      <w:vertAlign w:val="baseline"/>
                      <w:lang w:val="en-US" w:eastAsia="zh-CN"/>
                    </w:rPr>
                    <w:t>排放</w:t>
                  </w:r>
                  <w:r>
                    <w:rPr>
                      <w:rFonts w:hint="default" w:ascii="Times New Roman" w:hAnsi="Times New Roman" w:eastAsia="宋体" w:cs="Times New Roman"/>
                      <w:b w:val="0"/>
                      <w:bCs/>
                      <w:sz w:val="21"/>
                      <w:szCs w:val="21"/>
                      <w:highlight w:val="none"/>
                      <w:vertAlign w:val="baseline"/>
                      <w:lang w:val="en-US" w:eastAsia="zh-CN"/>
                    </w:rPr>
                    <w:t>。</w:t>
                  </w:r>
                </w:p>
              </w:tc>
              <w:tc>
                <w:tcPr>
                  <w:tcW w:w="777" w:type="dxa"/>
                  <w:tcBorders>
                    <w:tl2br w:val="nil"/>
                    <w:tr2bl w:val="nil"/>
                  </w:tcBorders>
                  <w:vAlign w:val="center"/>
                </w:tcPr>
                <w:p w14:paraId="59804335">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符合</w:t>
                  </w:r>
                </w:p>
              </w:tc>
            </w:tr>
            <w:tr w14:paraId="45EF16A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26" w:type="dxa"/>
                  <w:vMerge w:val="restart"/>
                  <w:tcBorders>
                    <w:tl2br w:val="nil"/>
                    <w:tr2bl w:val="nil"/>
                  </w:tcBorders>
                  <w:vAlign w:val="center"/>
                </w:tcPr>
                <w:p w14:paraId="7097A4AA">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2</w:t>
                  </w:r>
                </w:p>
              </w:tc>
              <w:tc>
                <w:tcPr>
                  <w:tcW w:w="1099" w:type="dxa"/>
                  <w:vMerge w:val="restart"/>
                  <w:tcBorders>
                    <w:tl2br w:val="nil"/>
                    <w:tr2bl w:val="nil"/>
                  </w:tcBorders>
                  <w:vAlign w:val="center"/>
                </w:tcPr>
                <w:p w14:paraId="73A08432">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《挥发性有机物</w:t>
                  </w:r>
                </w:p>
                <w:p w14:paraId="43F5986B">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（VOCs）污染防治技术政策》</w:t>
                  </w:r>
                </w:p>
              </w:tc>
              <w:tc>
                <w:tcPr>
                  <w:tcW w:w="3591" w:type="dxa"/>
                  <w:tcBorders>
                    <w:tl2br w:val="nil"/>
                    <w:tr2bl w:val="nil"/>
                  </w:tcBorders>
                  <w:vAlign w:val="center"/>
                </w:tcPr>
                <w:p w14:paraId="15F9A3BE">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含VOCs产品的使用过程中，应采取废气收集措施，提高废气收集效率，减少废气的无组织排放与逸散，并对收集后的废气进行回收或处理后达标排放。</w:t>
                  </w:r>
                </w:p>
              </w:tc>
              <w:tc>
                <w:tcPr>
                  <w:tcW w:w="2141" w:type="dxa"/>
                  <w:vMerge w:val="restart"/>
                  <w:tcBorders>
                    <w:tl2br w:val="nil"/>
                    <w:tr2bl w:val="nil"/>
                  </w:tcBorders>
                  <w:vAlign w:val="center"/>
                </w:tcPr>
                <w:p w14:paraId="493DD29A">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项目生产过程中产生的搅拌废气、卸料废气、沥青加热废气通过密闭收集至</w:t>
                  </w:r>
                  <w:r>
                    <w:rPr>
                      <w:rFonts w:hint="eastAsia" w:cs="Times New Roman"/>
                      <w:b w:val="0"/>
                      <w:bCs/>
                      <w:sz w:val="21"/>
                      <w:szCs w:val="21"/>
                      <w:highlight w:val="none"/>
                      <w:vertAlign w:val="baseline"/>
                      <w:lang w:val="en-US" w:eastAsia="zh-CN"/>
                    </w:rPr>
                    <w:t>“</w:t>
                  </w:r>
                  <w:r>
                    <w:rPr>
                      <w:rFonts w:hint="default" w:ascii="Times New Roman" w:hAnsi="Times New Roman" w:eastAsia="宋体" w:cs="Times New Roman"/>
                      <w:b w:val="0"/>
                      <w:bCs/>
                      <w:sz w:val="21"/>
                      <w:szCs w:val="21"/>
                      <w:highlight w:val="none"/>
                      <w:vertAlign w:val="baseline"/>
                      <w:lang w:val="en-US" w:eastAsia="zh-CN"/>
                    </w:rPr>
                    <w:t>喷淋+干式过滤+活性炭吸附脱附+催化燃烧</w:t>
                  </w:r>
                  <w:r>
                    <w:rPr>
                      <w:rFonts w:hint="eastAsia" w:cs="Times New Roman"/>
                      <w:b w:val="0"/>
                      <w:bCs/>
                      <w:sz w:val="21"/>
                      <w:szCs w:val="21"/>
                      <w:highlight w:val="none"/>
                      <w:vertAlign w:val="baseline"/>
                      <w:lang w:val="en-US" w:eastAsia="zh-CN"/>
                    </w:rPr>
                    <w:t>”</w:t>
                  </w:r>
                  <w:r>
                    <w:rPr>
                      <w:rFonts w:hint="default" w:ascii="Times New Roman" w:hAnsi="Times New Roman" w:eastAsia="宋体" w:cs="Times New Roman"/>
                      <w:b w:val="0"/>
                      <w:bCs/>
                      <w:sz w:val="21"/>
                      <w:szCs w:val="21"/>
                      <w:highlight w:val="none"/>
                      <w:vertAlign w:val="baseline"/>
                      <w:lang w:val="en-US" w:eastAsia="zh-CN"/>
                    </w:rPr>
                    <w:t>装置处理，处理后通过</w:t>
                  </w:r>
                  <w:r>
                    <w:rPr>
                      <w:rFonts w:hint="eastAsia" w:cs="Times New Roman"/>
                      <w:b w:val="0"/>
                      <w:bCs/>
                      <w:sz w:val="21"/>
                      <w:szCs w:val="21"/>
                      <w:highlight w:val="none"/>
                      <w:vertAlign w:val="baseline"/>
                      <w:lang w:val="en-US" w:eastAsia="zh-CN"/>
                    </w:rPr>
                    <w:t>22</w:t>
                  </w:r>
                  <w:r>
                    <w:rPr>
                      <w:rFonts w:hint="default" w:ascii="Times New Roman" w:hAnsi="Times New Roman" w:eastAsia="宋体" w:cs="Times New Roman"/>
                      <w:b w:val="0"/>
                      <w:bCs/>
                      <w:sz w:val="21"/>
                      <w:szCs w:val="21"/>
                      <w:highlight w:val="none"/>
                      <w:vertAlign w:val="baseline"/>
                      <w:lang w:val="en-US" w:eastAsia="zh-CN"/>
                    </w:rPr>
                    <w:t>m高排气筒排放。</w:t>
                  </w:r>
                </w:p>
              </w:tc>
              <w:tc>
                <w:tcPr>
                  <w:tcW w:w="777" w:type="dxa"/>
                  <w:vMerge w:val="restart"/>
                  <w:tcBorders>
                    <w:tl2br w:val="nil"/>
                    <w:tr2bl w:val="nil"/>
                  </w:tcBorders>
                  <w:vAlign w:val="center"/>
                </w:tcPr>
                <w:p w14:paraId="34E90918">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符合</w:t>
                  </w:r>
                </w:p>
              </w:tc>
            </w:tr>
            <w:tr w14:paraId="783F160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26" w:type="dxa"/>
                  <w:vMerge w:val="continue"/>
                  <w:tcBorders>
                    <w:tl2br w:val="nil"/>
                    <w:tr2bl w:val="nil"/>
                  </w:tcBorders>
                  <w:vAlign w:val="center"/>
                </w:tcPr>
                <w:p w14:paraId="5EF1996B">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p>
              </w:tc>
              <w:tc>
                <w:tcPr>
                  <w:tcW w:w="1099" w:type="dxa"/>
                  <w:vMerge w:val="continue"/>
                  <w:tcBorders>
                    <w:tl2br w:val="nil"/>
                    <w:tr2bl w:val="nil"/>
                  </w:tcBorders>
                  <w:vAlign w:val="center"/>
                </w:tcPr>
                <w:p w14:paraId="7944852F">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p>
              </w:tc>
              <w:tc>
                <w:tcPr>
                  <w:tcW w:w="3591" w:type="dxa"/>
                  <w:tcBorders>
                    <w:tl2br w:val="nil"/>
                    <w:tr2bl w:val="nil"/>
                  </w:tcBorders>
                  <w:vAlign w:val="center"/>
                </w:tcPr>
                <w:p w14:paraId="726C6224">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2141" w:type="dxa"/>
                  <w:vMerge w:val="continue"/>
                  <w:tcBorders>
                    <w:tl2br w:val="nil"/>
                    <w:tr2bl w:val="nil"/>
                  </w:tcBorders>
                  <w:vAlign w:val="center"/>
                </w:tcPr>
                <w:p w14:paraId="33A2388C">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p>
              </w:tc>
              <w:tc>
                <w:tcPr>
                  <w:tcW w:w="777" w:type="dxa"/>
                  <w:vMerge w:val="continue"/>
                  <w:tcBorders>
                    <w:tl2br w:val="nil"/>
                    <w:tr2bl w:val="nil"/>
                  </w:tcBorders>
                  <w:vAlign w:val="center"/>
                </w:tcPr>
                <w:p w14:paraId="49F8ACBB">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p>
              </w:tc>
            </w:tr>
            <w:tr w14:paraId="27B7383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26" w:type="dxa"/>
                  <w:tcBorders>
                    <w:tl2br w:val="nil"/>
                    <w:tr2bl w:val="nil"/>
                  </w:tcBorders>
                  <w:vAlign w:val="center"/>
                </w:tcPr>
                <w:p w14:paraId="31E38B56">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3</w:t>
                  </w:r>
                </w:p>
              </w:tc>
              <w:tc>
                <w:tcPr>
                  <w:tcW w:w="1099" w:type="dxa"/>
                  <w:tcBorders>
                    <w:tl2br w:val="nil"/>
                    <w:tr2bl w:val="nil"/>
                  </w:tcBorders>
                  <w:vAlign w:val="center"/>
                </w:tcPr>
                <w:p w14:paraId="768D3F6E">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《四川省打赢蓝天保卫战实施方案》</w:t>
                  </w:r>
                </w:p>
              </w:tc>
              <w:tc>
                <w:tcPr>
                  <w:tcW w:w="3591" w:type="dxa"/>
                  <w:tcBorders>
                    <w:tl2br w:val="nil"/>
                    <w:tr2bl w:val="nil"/>
                  </w:tcBorders>
                  <w:vAlign w:val="center"/>
                </w:tcPr>
                <w:p w14:paraId="397C51A0">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（一）调整产业结构，深化工业污染治理。</w:t>
                  </w:r>
                </w:p>
                <w:p w14:paraId="2670567E">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强化“三线一单”（生态保护红线、环境质量底线、资源利用上线、生态环境准入清单）约束，明确禁止和限制发展的行业、生产工艺和产业目录，优化产业布局和资源配置。积极推行区域、规划环境影响评价，新、改、扩建钢铁、石化、化工、焦化、建材、有色等项目的环境影响评价应满足区域、规划环境影响评价要求；强化挥发性有机物综合治理。严格涉及VOCs排放的建设项目环境准入，加强源头控制。提高涉及VOCs排放行业环保准入门槛，新建涉及VOCs 排放的工业企业入园区，实行区域内VOCs排放等量或倍量削减替代。环境空气质量未达标的城市新增VOCs排放的建设项目，实行2倍削减量替代；达标城市实行等量替代，攀枝花市实行1.5倍削</w:t>
                  </w:r>
                </w:p>
                <w:p w14:paraId="11767F79">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减量替代。</w:t>
                  </w:r>
                </w:p>
                <w:p w14:paraId="1FD817AB">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（二）优化能源结构，构建清洁能源体系。</w:t>
                  </w:r>
                </w:p>
                <w:p w14:paraId="65800753">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加快发展清洁能源。科学有序推进水电、天然气（页岩气）、风电、太阳能、生物质能等清洁能源开发利用。</w:t>
                  </w:r>
                </w:p>
              </w:tc>
              <w:tc>
                <w:tcPr>
                  <w:tcW w:w="2141" w:type="dxa"/>
                  <w:tcBorders>
                    <w:tl2br w:val="nil"/>
                    <w:tr2bl w:val="nil"/>
                  </w:tcBorders>
                  <w:vAlign w:val="center"/>
                </w:tcPr>
                <w:p w14:paraId="0A4D1608">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本项目符合区域“生态环境分区管控”要求，</w:t>
                  </w:r>
                  <w:r>
                    <w:rPr>
                      <w:rFonts w:hint="eastAsia" w:ascii="Times New Roman" w:hAnsi="Times New Roman" w:eastAsia="宋体" w:cs="Times New Roman"/>
                      <w:b w:val="0"/>
                      <w:bCs/>
                      <w:sz w:val="21"/>
                      <w:szCs w:val="21"/>
                      <w:highlight w:val="none"/>
                      <w:vertAlign w:val="baseline"/>
                      <w:lang w:val="en-US" w:eastAsia="zh-CN"/>
                    </w:rPr>
                    <w:t>属于</w:t>
                  </w:r>
                  <w:r>
                    <w:rPr>
                      <w:rFonts w:hint="default" w:ascii="Times New Roman" w:hAnsi="Times New Roman" w:eastAsia="宋体" w:cs="Times New Roman"/>
                      <w:b w:val="0"/>
                      <w:bCs/>
                      <w:sz w:val="21"/>
                      <w:szCs w:val="21"/>
                      <w:highlight w:val="none"/>
                      <w:vertAlign w:val="baseline"/>
                      <w:lang w:val="en-US" w:eastAsia="zh-CN"/>
                    </w:rPr>
                    <w:t>非禁止和限制发展的行业；废气污染物（VOCs）均采用可行技术处理后达标排放，VOCs实行倍量削减替代。本项目不使用煤炭</w:t>
                  </w:r>
                  <w:r>
                    <w:rPr>
                      <w:rFonts w:hint="eastAsia" w:cs="Times New Roman"/>
                      <w:b w:val="0"/>
                      <w:bCs/>
                      <w:sz w:val="21"/>
                      <w:szCs w:val="21"/>
                      <w:highlight w:val="none"/>
                      <w:vertAlign w:val="baseline"/>
                      <w:lang w:val="en-US" w:eastAsia="zh-CN"/>
                    </w:rPr>
                    <w:t>作为燃料</w:t>
                  </w:r>
                  <w:r>
                    <w:rPr>
                      <w:rFonts w:hint="default" w:ascii="Times New Roman" w:hAnsi="Times New Roman" w:eastAsia="宋体" w:cs="Times New Roman"/>
                      <w:b w:val="0"/>
                      <w:bCs/>
                      <w:sz w:val="21"/>
                      <w:szCs w:val="21"/>
                      <w:highlight w:val="none"/>
                      <w:vertAlign w:val="baseline"/>
                      <w:lang w:val="en-US" w:eastAsia="zh-CN"/>
                    </w:rPr>
                    <w:t>，设备用电和天然气。</w:t>
                  </w:r>
                </w:p>
              </w:tc>
              <w:tc>
                <w:tcPr>
                  <w:tcW w:w="777" w:type="dxa"/>
                  <w:tcBorders>
                    <w:tl2br w:val="nil"/>
                    <w:tr2bl w:val="nil"/>
                  </w:tcBorders>
                  <w:vAlign w:val="center"/>
                </w:tcPr>
                <w:p w14:paraId="0D50431F">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符合</w:t>
                  </w:r>
                </w:p>
              </w:tc>
            </w:tr>
            <w:tr w14:paraId="3F37EB8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26" w:type="dxa"/>
                  <w:tcBorders>
                    <w:tl2br w:val="nil"/>
                    <w:tr2bl w:val="nil"/>
                  </w:tcBorders>
                  <w:vAlign w:val="center"/>
                </w:tcPr>
                <w:p w14:paraId="48DF3C09">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4</w:t>
                  </w:r>
                </w:p>
              </w:tc>
              <w:tc>
                <w:tcPr>
                  <w:tcW w:w="1099" w:type="dxa"/>
                  <w:tcBorders>
                    <w:tl2br w:val="nil"/>
                    <w:tr2bl w:val="nil"/>
                  </w:tcBorders>
                  <w:vAlign w:val="center"/>
                </w:tcPr>
                <w:p w14:paraId="6BF3B0CC">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《挥发性有机物无组织排放控制标准》</w:t>
                  </w:r>
                </w:p>
              </w:tc>
              <w:tc>
                <w:tcPr>
                  <w:tcW w:w="3591" w:type="dxa"/>
                  <w:tcBorders>
                    <w:tl2br w:val="nil"/>
                    <w:tr2bl w:val="nil"/>
                  </w:tcBorders>
                  <w:vAlign w:val="center"/>
                </w:tcPr>
                <w:p w14:paraId="699E01FA">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废气收集系统排风罩（集气罩）的设置应符合GB/T16758的规定。废气收集系统的输送管道应密闭。VOCs废气收集处理系统污染物排放应符合GB16297或相关行业排放标准的规定。对于重点地区，收集的废气中NMHC初始排放速率≥2kg/h时，应配置VOCs处理设施，处理效率不应低于80%排气筒高度不低于15m（因安全考虑或有特殊工艺要求的除外），具体高度以及与周围建筑物的相对高度关系应根据环境影响评价文件确定。</w:t>
                  </w:r>
                </w:p>
              </w:tc>
              <w:tc>
                <w:tcPr>
                  <w:tcW w:w="2141" w:type="dxa"/>
                  <w:tcBorders>
                    <w:tl2br w:val="nil"/>
                    <w:tr2bl w:val="nil"/>
                  </w:tcBorders>
                  <w:vAlign w:val="center"/>
                </w:tcPr>
                <w:p w14:paraId="27C181FB">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项目废气收集处理系统与工艺设备同步运行，当废气收集处理系统故障或检修时，立即停止生产；搅拌废气、卸料废气、沥青加热废气通过密闭收集，收集至“喷淋+干式过滤+活性炭吸附脱附+催化燃烧”装置处理（处理效率</w:t>
                  </w:r>
                  <w:r>
                    <w:rPr>
                      <w:rFonts w:hint="eastAsia" w:ascii="Times New Roman" w:hAnsi="Times New Roman" w:cs="Times New Roman"/>
                      <w:b w:val="0"/>
                      <w:bCs/>
                      <w:sz w:val="21"/>
                      <w:szCs w:val="21"/>
                      <w:highlight w:val="none"/>
                      <w:vertAlign w:val="baseline"/>
                      <w:lang w:val="en-US" w:eastAsia="zh-CN"/>
                    </w:rPr>
                    <w:t>9</w:t>
                  </w:r>
                  <w:r>
                    <w:rPr>
                      <w:rFonts w:hint="eastAsia" w:cs="Times New Roman"/>
                      <w:b w:val="0"/>
                      <w:bCs/>
                      <w:sz w:val="21"/>
                      <w:szCs w:val="21"/>
                      <w:highlight w:val="none"/>
                      <w:vertAlign w:val="baseline"/>
                      <w:lang w:val="en-US" w:eastAsia="zh-CN"/>
                    </w:rPr>
                    <w:t>0</w:t>
                  </w:r>
                  <w:r>
                    <w:rPr>
                      <w:rFonts w:hint="default" w:ascii="Times New Roman" w:hAnsi="Times New Roman" w:eastAsia="宋体" w:cs="Times New Roman"/>
                      <w:b w:val="0"/>
                      <w:bCs/>
                      <w:sz w:val="21"/>
                      <w:szCs w:val="21"/>
                      <w:highlight w:val="none"/>
                      <w:vertAlign w:val="baseline"/>
                      <w:lang w:val="en-US" w:eastAsia="zh-CN"/>
                    </w:rPr>
                    <w:t>%），处理后通过</w:t>
                  </w:r>
                  <w:r>
                    <w:rPr>
                      <w:rFonts w:hint="eastAsia" w:cs="Times New Roman"/>
                      <w:b w:val="0"/>
                      <w:bCs/>
                      <w:sz w:val="21"/>
                      <w:szCs w:val="21"/>
                      <w:highlight w:val="none"/>
                      <w:vertAlign w:val="baseline"/>
                      <w:lang w:val="en-US" w:eastAsia="zh-CN"/>
                    </w:rPr>
                    <w:t>22</w:t>
                  </w:r>
                  <w:r>
                    <w:rPr>
                      <w:rFonts w:hint="default" w:ascii="Times New Roman" w:hAnsi="Times New Roman" w:eastAsia="宋体" w:cs="Times New Roman"/>
                      <w:b w:val="0"/>
                      <w:bCs/>
                      <w:sz w:val="21"/>
                      <w:szCs w:val="21"/>
                      <w:highlight w:val="none"/>
                      <w:vertAlign w:val="baseline"/>
                      <w:lang w:val="en-US" w:eastAsia="zh-CN"/>
                    </w:rPr>
                    <w:t>m高排气筒排放；环评要求建设单位应建立台账，记录收集处理系统运行、维护信息，台账保存期不少于3年。</w:t>
                  </w:r>
                </w:p>
              </w:tc>
              <w:tc>
                <w:tcPr>
                  <w:tcW w:w="777" w:type="dxa"/>
                  <w:tcBorders>
                    <w:tl2br w:val="nil"/>
                    <w:tr2bl w:val="nil"/>
                  </w:tcBorders>
                  <w:vAlign w:val="center"/>
                </w:tcPr>
                <w:p w14:paraId="61C039D2">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p>
              </w:tc>
            </w:tr>
            <w:tr w14:paraId="3CDCE37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26" w:type="dxa"/>
                  <w:vMerge w:val="restart"/>
                  <w:tcBorders>
                    <w:tl2br w:val="nil"/>
                    <w:tr2bl w:val="nil"/>
                  </w:tcBorders>
                  <w:vAlign w:val="center"/>
                </w:tcPr>
                <w:p w14:paraId="34C3EB93">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5</w:t>
                  </w:r>
                </w:p>
              </w:tc>
              <w:tc>
                <w:tcPr>
                  <w:tcW w:w="1099" w:type="dxa"/>
                  <w:vMerge w:val="restart"/>
                  <w:tcBorders>
                    <w:tl2br w:val="nil"/>
                    <w:tr2bl w:val="nil"/>
                  </w:tcBorders>
                  <w:vAlign w:val="center"/>
                </w:tcPr>
                <w:p w14:paraId="1559FA17">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《重点行业挥发性有机物综合治理方案》</w:t>
                  </w:r>
                </w:p>
              </w:tc>
              <w:tc>
                <w:tcPr>
                  <w:tcW w:w="3591" w:type="dxa"/>
                  <w:tcBorders>
                    <w:tl2br w:val="nil"/>
                    <w:tr2bl w:val="nil"/>
                  </w:tcBorders>
                  <w:vAlign w:val="center"/>
                </w:tcPr>
                <w:p w14:paraId="06D99990">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（一）大力推进源头替代。通过使用水性、辐射固化、植物基等低VOCs含量的油墨，替代溶剂型涂料、油墨、胶粘剂、清洗剂等，从源头减少VOCs产生。</w:t>
                  </w:r>
                </w:p>
              </w:tc>
              <w:tc>
                <w:tcPr>
                  <w:tcW w:w="2141" w:type="dxa"/>
                  <w:tcBorders>
                    <w:tl2br w:val="nil"/>
                    <w:tr2bl w:val="nil"/>
                  </w:tcBorders>
                  <w:vAlign w:val="center"/>
                </w:tcPr>
                <w:p w14:paraId="14C23285">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项目不使用胶粘剂、油墨等。</w:t>
                  </w:r>
                </w:p>
              </w:tc>
              <w:tc>
                <w:tcPr>
                  <w:tcW w:w="777" w:type="dxa"/>
                  <w:tcBorders>
                    <w:tl2br w:val="nil"/>
                    <w:tr2bl w:val="nil"/>
                  </w:tcBorders>
                  <w:vAlign w:val="center"/>
                </w:tcPr>
                <w:p w14:paraId="3FD0A136">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符合</w:t>
                  </w:r>
                </w:p>
              </w:tc>
            </w:tr>
            <w:tr w14:paraId="1F01F89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26" w:type="dxa"/>
                  <w:vMerge w:val="continue"/>
                  <w:tcBorders>
                    <w:tl2br w:val="nil"/>
                    <w:tr2bl w:val="nil"/>
                  </w:tcBorders>
                  <w:vAlign w:val="center"/>
                </w:tcPr>
                <w:p w14:paraId="1CA31EF8">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p>
              </w:tc>
              <w:tc>
                <w:tcPr>
                  <w:tcW w:w="1099" w:type="dxa"/>
                  <w:vMerge w:val="continue"/>
                  <w:tcBorders>
                    <w:tl2br w:val="nil"/>
                    <w:tr2bl w:val="nil"/>
                  </w:tcBorders>
                  <w:vAlign w:val="center"/>
                </w:tcPr>
                <w:p w14:paraId="68951644">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p>
              </w:tc>
              <w:tc>
                <w:tcPr>
                  <w:tcW w:w="3591" w:type="dxa"/>
                  <w:tcBorders>
                    <w:tl2br w:val="nil"/>
                    <w:tr2bl w:val="nil"/>
                  </w:tcBorders>
                  <w:vAlign w:val="center"/>
                </w:tcPr>
                <w:p w14:paraId="08AB6F25">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二）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用局部集气罩的，距集气罩开口面最远处的VOCs无组织排放位置，控制风速应不低于0.3米/秒。</w:t>
                  </w:r>
                </w:p>
              </w:tc>
              <w:tc>
                <w:tcPr>
                  <w:tcW w:w="2141" w:type="dxa"/>
                  <w:tcBorders>
                    <w:tl2br w:val="nil"/>
                    <w:tr2bl w:val="nil"/>
                  </w:tcBorders>
                  <w:vAlign w:val="center"/>
                </w:tcPr>
                <w:p w14:paraId="4E801EFF">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项目搅拌废气、卸料废气、沥青加热废气通过密闭收集，收集至“喷淋+干式过滤+活性炭吸附脱附+催化燃烧”装置处理（处理效率</w:t>
                  </w:r>
                  <w:r>
                    <w:rPr>
                      <w:rFonts w:hint="eastAsia" w:ascii="Times New Roman" w:hAnsi="Times New Roman" w:cs="Times New Roman"/>
                      <w:b w:val="0"/>
                      <w:bCs/>
                      <w:sz w:val="21"/>
                      <w:szCs w:val="21"/>
                      <w:highlight w:val="none"/>
                      <w:vertAlign w:val="baseline"/>
                      <w:lang w:val="en-US" w:eastAsia="zh-CN"/>
                    </w:rPr>
                    <w:t>9</w:t>
                  </w:r>
                  <w:r>
                    <w:rPr>
                      <w:rFonts w:hint="eastAsia" w:cs="Times New Roman"/>
                      <w:b w:val="0"/>
                      <w:bCs/>
                      <w:sz w:val="21"/>
                      <w:szCs w:val="21"/>
                      <w:highlight w:val="none"/>
                      <w:vertAlign w:val="baseline"/>
                      <w:lang w:val="en-US" w:eastAsia="zh-CN"/>
                    </w:rPr>
                    <w:t>0</w:t>
                  </w:r>
                  <w:r>
                    <w:rPr>
                      <w:rFonts w:hint="default" w:ascii="Times New Roman" w:hAnsi="Times New Roman" w:eastAsia="宋体" w:cs="Times New Roman"/>
                      <w:b w:val="0"/>
                      <w:bCs/>
                      <w:sz w:val="21"/>
                      <w:szCs w:val="21"/>
                      <w:highlight w:val="none"/>
                      <w:vertAlign w:val="baseline"/>
                      <w:lang w:val="en-US" w:eastAsia="zh-CN"/>
                    </w:rPr>
                    <w:t>%），处理后通过</w:t>
                  </w:r>
                  <w:r>
                    <w:rPr>
                      <w:rFonts w:hint="eastAsia" w:cs="Times New Roman"/>
                      <w:b w:val="0"/>
                      <w:bCs/>
                      <w:sz w:val="21"/>
                      <w:szCs w:val="21"/>
                      <w:highlight w:val="none"/>
                      <w:vertAlign w:val="baseline"/>
                      <w:lang w:val="en-US" w:eastAsia="zh-CN"/>
                    </w:rPr>
                    <w:t>22</w:t>
                  </w:r>
                  <w:r>
                    <w:rPr>
                      <w:rFonts w:hint="default" w:ascii="Times New Roman" w:hAnsi="Times New Roman" w:eastAsia="宋体" w:cs="Times New Roman"/>
                      <w:b w:val="0"/>
                      <w:bCs/>
                      <w:sz w:val="21"/>
                      <w:szCs w:val="21"/>
                      <w:highlight w:val="none"/>
                      <w:vertAlign w:val="baseline"/>
                      <w:lang w:val="en-US" w:eastAsia="zh-CN"/>
                    </w:rPr>
                    <w:t>m高排气筒排放。</w:t>
                  </w:r>
                </w:p>
              </w:tc>
              <w:tc>
                <w:tcPr>
                  <w:tcW w:w="777" w:type="dxa"/>
                  <w:tcBorders>
                    <w:tl2br w:val="nil"/>
                    <w:tr2bl w:val="nil"/>
                  </w:tcBorders>
                  <w:vAlign w:val="center"/>
                </w:tcPr>
                <w:p w14:paraId="11C86143">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符合</w:t>
                  </w:r>
                </w:p>
              </w:tc>
            </w:tr>
            <w:tr w14:paraId="03B3C44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26" w:type="dxa"/>
                  <w:vMerge w:val="restart"/>
                  <w:tcBorders>
                    <w:tl2br w:val="nil"/>
                    <w:tr2bl w:val="nil"/>
                  </w:tcBorders>
                  <w:vAlign w:val="center"/>
                </w:tcPr>
                <w:p w14:paraId="2F310A55">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6</w:t>
                  </w:r>
                </w:p>
              </w:tc>
              <w:tc>
                <w:tcPr>
                  <w:tcW w:w="1099" w:type="dxa"/>
                  <w:vMerge w:val="restart"/>
                  <w:tcBorders>
                    <w:tl2br w:val="nil"/>
                    <w:tr2bl w:val="nil"/>
                  </w:tcBorders>
                  <w:vAlign w:val="center"/>
                </w:tcPr>
                <w:p w14:paraId="583E14D4">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四川省“十四五”生态环境保护规划（川府【2022】2号）</w:t>
                  </w:r>
                </w:p>
              </w:tc>
              <w:tc>
                <w:tcPr>
                  <w:tcW w:w="3591" w:type="dxa"/>
                  <w:tcBorders>
                    <w:tl2br w:val="nil"/>
                    <w:tr2bl w:val="nil"/>
                  </w:tcBorders>
                  <w:vAlign w:val="center"/>
                </w:tcPr>
                <w:p w14:paraId="60E45788">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强化重点行业污染治理。加快火电、钢铁、水泥、焦化及燃煤工业锅炉超低排放改造</w:t>
                  </w:r>
                  <w:r>
                    <w:rPr>
                      <w:rFonts w:hint="eastAsia" w:ascii="Times New Roman" w:hAnsi="Times New Roman" w:eastAsia="宋体" w:cs="Times New Roman"/>
                      <w:b w:val="0"/>
                      <w:bCs/>
                      <w:sz w:val="21"/>
                      <w:szCs w:val="21"/>
                      <w:highlight w:val="none"/>
                      <w:vertAlign w:val="baseline"/>
                      <w:lang w:val="en-US" w:eastAsia="zh-CN"/>
                    </w:rPr>
                    <w:t>。</w:t>
                  </w:r>
                </w:p>
              </w:tc>
              <w:tc>
                <w:tcPr>
                  <w:tcW w:w="2141" w:type="dxa"/>
                  <w:tcBorders>
                    <w:tl2br w:val="nil"/>
                    <w:tr2bl w:val="nil"/>
                  </w:tcBorders>
                  <w:vAlign w:val="center"/>
                </w:tcPr>
                <w:p w14:paraId="692E0D7B">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本项目不属于火电、钢铁、水泥、焦化及燃煤工业等。</w:t>
                  </w:r>
                </w:p>
              </w:tc>
              <w:tc>
                <w:tcPr>
                  <w:tcW w:w="777" w:type="dxa"/>
                  <w:tcBorders>
                    <w:tl2br w:val="nil"/>
                    <w:tr2bl w:val="nil"/>
                  </w:tcBorders>
                  <w:vAlign w:val="center"/>
                </w:tcPr>
                <w:p w14:paraId="11E2E2B7">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符合</w:t>
                  </w:r>
                </w:p>
              </w:tc>
            </w:tr>
            <w:tr w14:paraId="458F1B3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26" w:type="dxa"/>
                  <w:vMerge w:val="continue"/>
                  <w:tcBorders>
                    <w:tl2br w:val="nil"/>
                    <w:tr2bl w:val="nil"/>
                  </w:tcBorders>
                  <w:vAlign w:val="center"/>
                </w:tcPr>
                <w:p w14:paraId="07B5DC64">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p>
              </w:tc>
              <w:tc>
                <w:tcPr>
                  <w:tcW w:w="1099" w:type="dxa"/>
                  <w:vMerge w:val="continue"/>
                  <w:tcBorders>
                    <w:tl2br w:val="nil"/>
                    <w:tr2bl w:val="nil"/>
                  </w:tcBorders>
                  <w:vAlign w:val="center"/>
                </w:tcPr>
                <w:p w14:paraId="2A36F182">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p>
              </w:tc>
              <w:tc>
                <w:tcPr>
                  <w:tcW w:w="3591" w:type="dxa"/>
                  <w:tcBorders>
                    <w:tl2br w:val="nil"/>
                    <w:tr2bl w:val="nil"/>
                  </w:tcBorders>
                  <w:vAlign w:val="center"/>
                </w:tcPr>
                <w:p w14:paraId="2C648E7C">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控制挥发性有机物(VOCs)排放。严格控制VOCs排放总量</w:t>
                  </w:r>
                  <w:r>
                    <w:rPr>
                      <w:rFonts w:hint="eastAsia" w:ascii="Times New Roman" w:hAnsi="Times New Roman" w:eastAsia="宋体" w:cs="Times New Roman"/>
                      <w:b w:val="0"/>
                      <w:bCs/>
                      <w:sz w:val="21"/>
                      <w:szCs w:val="21"/>
                      <w:highlight w:val="none"/>
                      <w:vertAlign w:val="baseline"/>
                      <w:lang w:val="en-US" w:eastAsia="zh-CN"/>
                    </w:rPr>
                    <w:t>，</w:t>
                  </w:r>
                  <w:r>
                    <w:rPr>
                      <w:rFonts w:hint="default" w:ascii="Times New Roman" w:hAnsi="Times New Roman" w:eastAsia="宋体" w:cs="Times New Roman"/>
                      <w:b w:val="0"/>
                      <w:bCs/>
                      <w:sz w:val="21"/>
                      <w:szCs w:val="21"/>
                      <w:highlight w:val="none"/>
                      <w:vertAlign w:val="baseline"/>
                      <w:lang w:val="en-US" w:eastAsia="zh-CN"/>
                    </w:rPr>
                    <w:t>新建VOCs项目应实施等量或倍量替代</w:t>
                  </w:r>
                  <w:r>
                    <w:rPr>
                      <w:rFonts w:hint="eastAsia" w:ascii="Times New Roman" w:hAnsi="Times New Roman" w:eastAsia="宋体" w:cs="Times New Roman"/>
                      <w:b w:val="0"/>
                      <w:bCs/>
                      <w:sz w:val="21"/>
                      <w:szCs w:val="21"/>
                      <w:highlight w:val="none"/>
                      <w:vertAlign w:val="baseline"/>
                      <w:lang w:val="en-US" w:eastAsia="zh-CN"/>
                    </w:rPr>
                    <w:t>。</w:t>
                  </w:r>
                </w:p>
              </w:tc>
              <w:tc>
                <w:tcPr>
                  <w:tcW w:w="2141" w:type="dxa"/>
                  <w:tcBorders>
                    <w:tl2br w:val="nil"/>
                    <w:tr2bl w:val="nil"/>
                  </w:tcBorders>
                  <w:vAlign w:val="center"/>
                </w:tcPr>
                <w:p w14:paraId="29A0EBB9">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废气污染物实行倍量削减替代。</w:t>
                  </w:r>
                </w:p>
              </w:tc>
              <w:tc>
                <w:tcPr>
                  <w:tcW w:w="777" w:type="dxa"/>
                  <w:tcBorders>
                    <w:tl2br w:val="nil"/>
                    <w:tr2bl w:val="nil"/>
                  </w:tcBorders>
                  <w:vAlign w:val="center"/>
                </w:tcPr>
                <w:p w14:paraId="3EB7FE32">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符合</w:t>
                  </w:r>
                </w:p>
              </w:tc>
            </w:tr>
            <w:tr w14:paraId="0D96980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26" w:type="dxa"/>
                  <w:vMerge w:val="restart"/>
                  <w:tcBorders>
                    <w:tl2br w:val="nil"/>
                    <w:tr2bl w:val="nil"/>
                  </w:tcBorders>
                  <w:vAlign w:val="center"/>
                </w:tcPr>
                <w:p w14:paraId="310733CF">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7</w:t>
                  </w:r>
                </w:p>
              </w:tc>
              <w:tc>
                <w:tcPr>
                  <w:tcW w:w="1099" w:type="dxa"/>
                  <w:vMerge w:val="restart"/>
                  <w:tcBorders>
                    <w:tl2br w:val="nil"/>
                    <w:tr2bl w:val="nil"/>
                  </w:tcBorders>
                  <w:vAlign w:val="center"/>
                </w:tcPr>
                <w:p w14:paraId="4B7F963B">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国务院关于印发《空气质量持续改善行动计划》的通知国发</w:t>
                  </w:r>
                  <w:r>
                    <w:rPr>
                      <w:rFonts w:hint="eastAsia" w:ascii="Times New Roman" w:hAnsi="Times New Roman" w:eastAsia="宋体" w:cs="Times New Roman"/>
                      <w:b w:val="0"/>
                      <w:bCs/>
                      <w:sz w:val="21"/>
                      <w:szCs w:val="21"/>
                      <w:highlight w:val="none"/>
                      <w:vertAlign w:val="baseline"/>
                      <w:lang w:val="en-US" w:eastAsia="zh-CN"/>
                    </w:rPr>
                    <w:t>【</w:t>
                  </w:r>
                  <w:r>
                    <w:rPr>
                      <w:rFonts w:hint="default" w:ascii="Times New Roman" w:hAnsi="Times New Roman" w:eastAsia="宋体" w:cs="Times New Roman"/>
                      <w:b w:val="0"/>
                      <w:bCs/>
                      <w:sz w:val="21"/>
                      <w:szCs w:val="21"/>
                      <w:highlight w:val="none"/>
                      <w:vertAlign w:val="baseline"/>
                      <w:lang w:val="en-US" w:eastAsia="zh-CN"/>
                    </w:rPr>
                    <w:t>2023</w:t>
                  </w:r>
                  <w:r>
                    <w:rPr>
                      <w:rFonts w:hint="eastAsia" w:ascii="Times New Roman" w:hAnsi="Times New Roman" w:eastAsia="宋体" w:cs="Times New Roman"/>
                      <w:b w:val="0"/>
                      <w:bCs/>
                      <w:sz w:val="21"/>
                      <w:szCs w:val="21"/>
                      <w:highlight w:val="none"/>
                      <w:vertAlign w:val="baseline"/>
                      <w:lang w:val="en-US" w:eastAsia="zh-CN"/>
                    </w:rPr>
                    <w:t>】</w:t>
                  </w:r>
                  <w:r>
                    <w:rPr>
                      <w:rFonts w:hint="default" w:ascii="Times New Roman" w:hAnsi="Times New Roman" w:eastAsia="宋体" w:cs="Times New Roman"/>
                      <w:b w:val="0"/>
                      <w:bCs/>
                      <w:sz w:val="21"/>
                      <w:szCs w:val="21"/>
                      <w:highlight w:val="none"/>
                      <w:vertAlign w:val="baseline"/>
                      <w:lang w:val="en-US" w:eastAsia="zh-CN"/>
                    </w:rPr>
                    <w:t>24号</w:t>
                  </w:r>
                </w:p>
              </w:tc>
              <w:tc>
                <w:tcPr>
                  <w:tcW w:w="3591" w:type="dxa"/>
                  <w:tcBorders>
                    <w:tl2br w:val="nil"/>
                    <w:tr2bl w:val="nil"/>
                  </w:tcBorders>
                  <w:vAlign w:val="center"/>
                </w:tcPr>
                <w:p w14:paraId="295F46F1">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七）优化含VOCs原辅材料和产品结构。严格控制生产和使用高VOCs含量涂料、油墨、胶粘剂、清洗剂等建设项目，提高低（无）VOCs含量产品比重。实施源头替代工程，加大工业涂装、包装印刷和电子行业低（无）VOCs含量原辅材料替代力度。室外构筑物防护和城市道路交通标志推广使用低（无）VOCs含量涂料。在生产、销售、进口、使用等环节严格执行VOCs含量限值标准。</w:t>
                  </w:r>
                </w:p>
              </w:tc>
              <w:tc>
                <w:tcPr>
                  <w:tcW w:w="2141" w:type="dxa"/>
                  <w:tcBorders>
                    <w:tl2br w:val="nil"/>
                    <w:tr2bl w:val="nil"/>
                  </w:tcBorders>
                  <w:vAlign w:val="center"/>
                </w:tcPr>
                <w:p w14:paraId="6C262B06">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项目不使用胶粘剂、油墨等。</w:t>
                  </w:r>
                </w:p>
              </w:tc>
              <w:tc>
                <w:tcPr>
                  <w:tcW w:w="777" w:type="dxa"/>
                  <w:tcBorders>
                    <w:tl2br w:val="nil"/>
                    <w:tr2bl w:val="nil"/>
                  </w:tcBorders>
                  <w:vAlign w:val="center"/>
                </w:tcPr>
                <w:p w14:paraId="638E50CA">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符合</w:t>
                  </w:r>
                </w:p>
              </w:tc>
            </w:tr>
            <w:tr w14:paraId="3DC34AB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26" w:type="dxa"/>
                  <w:vMerge w:val="continue"/>
                  <w:tcBorders>
                    <w:tl2br w:val="nil"/>
                    <w:tr2bl w:val="nil"/>
                  </w:tcBorders>
                  <w:vAlign w:val="center"/>
                </w:tcPr>
                <w:p w14:paraId="321FB02F">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p>
              </w:tc>
              <w:tc>
                <w:tcPr>
                  <w:tcW w:w="1099" w:type="dxa"/>
                  <w:vMerge w:val="continue"/>
                  <w:tcBorders>
                    <w:tl2br w:val="nil"/>
                    <w:tr2bl w:val="nil"/>
                  </w:tcBorders>
                  <w:vAlign w:val="center"/>
                </w:tcPr>
                <w:p w14:paraId="217A45FC">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p>
              </w:tc>
              <w:tc>
                <w:tcPr>
                  <w:tcW w:w="3591" w:type="dxa"/>
                  <w:tcBorders>
                    <w:tl2br w:val="nil"/>
                    <w:tr2bl w:val="nil"/>
                  </w:tcBorders>
                  <w:vAlign w:val="center"/>
                </w:tcPr>
                <w:p w14:paraId="73E88DD0">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二十一）强化VOCs全流程、全环节综合治理。鼓励储罐使用低泄漏的呼吸阀、紧急泄压阀，定期开展密封性检测。汽车罐车推广使用密封式快速接头。污水处理场所高浓度有机废气要单独收集处理；含VOCs有机废水储罐、装置区集水井（池）有机废气要密闭收集处理。重点区域石化、化工行业集中的城市和重点工业园区，2024年年底前建立统一的泄漏检测与修复信息管理平台。企业开停工、检维修期</w:t>
                  </w:r>
                </w:p>
                <w:p w14:paraId="5ADB2AE3">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间，及时收集处理退料、清洗、吹扫等作业产生的VOCs废气。企业不得将火炬燃烧装置作为日常大气污染处理设施。</w:t>
                  </w:r>
                </w:p>
              </w:tc>
              <w:tc>
                <w:tcPr>
                  <w:tcW w:w="2141" w:type="dxa"/>
                  <w:tcBorders>
                    <w:tl2br w:val="nil"/>
                    <w:tr2bl w:val="nil"/>
                  </w:tcBorders>
                  <w:vAlign w:val="center"/>
                </w:tcPr>
                <w:p w14:paraId="20D40B5D">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项目搅拌废气、卸料废气、沥青加热废气通过密闭收集，收集至“喷淋+干式过滤+活性炭吸附脱附+催化燃烧”装置处理（处理效率9</w:t>
                  </w:r>
                  <w:r>
                    <w:rPr>
                      <w:rFonts w:hint="eastAsia" w:cs="Times New Roman"/>
                      <w:b w:val="0"/>
                      <w:bCs/>
                      <w:sz w:val="21"/>
                      <w:szCs w:val="21"/>
                      <w:highlight w:val="none"/>
                      <w:vertAlign w:val="baseline"/>
                      <w:lang w:val="en-US" w:eastAsia="zh-CN"/>
                    </w:rPr>
                    <w:t>0</w:t>
                  </w:r>
                  <w:r>
                    <w:rPr>
                      <w:rFonts w:hint="default" w:ascii="Times New Roman" w:hAnsi="Times New Roman" w:eastAsia="宋体" w:cs="Times New Roman"/>
                      <w:b w:val="0"/>
                      <w:bCs/>
                      <w:sz w:val="21"/>
                      <w:szCs w:val="21"/>
                      <w:highlight w:val="none"/>
                      <w:vertAlign w:val="baseline"/>
                      <w:lang w:val="en-US" w:eastAsia="zh-CN"/>
                    </w:rPr>
                    <w:t>%），处理后通过</w:t>
                  </w:r>
                  <w:r>
                    <w:rPr>
                      <w:rFonts w:hint="eastAsia" w:cs="Times New Roman"/>
                      <w:b w:val="0"/>
                      <w:bCs/>
                      <w:sz w:val="21"/>
                      <w:szCs w:val="21"/>
                      <w:highlight w:val="none"/>
                      <w:vertAlign w:val="baseline"/>
                      <w:lang w:val="en-US" w:eastAsia="zh-CN"/>
                    </w:rPr>
                    <w:t>22</w:t>
                  </w:r>
                  <w:r>
                    <w:rPr>
                      <w:rFonts w:hint="default" w:ascii="Times New Roman" w:hAnsi="Times New Roman" w:eastAsia="宋体" w:cs="Times New Roman"/>
                      <w:b w:val="0"/>
                      <w:bCs/>
                      <w:sz w:val="21"/>
                      <w:szCs w:val="21"/>
                      <w:highlight w:val="none"/>
                      <w:vertAlign w:val="baseline"/>
                      <w:lang w:val="en-US" w:eastAsia="zh-CN"/>
                    </w:rPr>
                    <w:t>m高排气筒排放。</w:t>
                  </w:r>
                </w:p>
              </w:tc>
              <w:tc>
                <w:tcPr>
                  <w:tcW w:w="777" w:type="dxa"/>
                  <w:tcBorders>
                    <w:tl2br w:val="nil"/>
                    <w:tr2bl w:val="nil"/>
                  </w:tcBorders>
                  <w:vAlign w:val="center"/>
                </w:tcPr>
                <w:p w14:paraId="5FE6CBF3">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符合</w:t>
                  </w:r>
                </w:p>
              </w:tc>
            </w:tr>
            <w:tr w14:paraId="7094BF8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jc w:val="center"/>
              </w:trPr>
              <w:tc>
                <w:tcPr>
                  <w:tcW w:w="526" w:type="dxa"/>
                  <w:tcBorders>
                    <w:tl2br w:val="nil"/>
                    <w:tr2bl w:val="nil"/>
                  </w:tcBorders>
                  <w:vAlign w:val="center"/>
                </w:tcPr>
                <w:p w14:paraId="338B9413">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8</w:t>
                  </w:r>
                </w:p>
              </w:tc>
              <w:tc>
                <w:tcPr>
                  <w:tcW w:w="1099" w:type="dxa"/>
                  <w:tcBorders>
                    <w:tl2br w:val="nil"/>
                    <w:tr2bl w:val="nil"/>
                  </w:tcBorders>
                  <w:vAlign w:val="center"/>
                </w:tcPr>
                <w:p w14:paraId="7DBE5516">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《中华人民共和国长江保护法》</w:t>
                  </w:r>
                </w:p>
              </w:tc>
              <w:tc>
                <w:tcPr>
                  <w:tcW w:w="3591" w:type="dxa"/>
                  <w:tcBorders>
                    <w:tl2br w:val="nil"/>
                    <w:tr2bl w:val="nil"/>
                  </w:tcBorders>
                  <w:vAlign w:val="center"/>
                </w:tcPr>
                <w:p w14:paraId="278E1C7B">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第二十六条 国家对长江流域河</w:t>
                  </w:r>
                </w:p>
                <w:p w14:paraId="4BB3C391">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湖岸线实施特殊管制。国家长江流域协调机制统筹协调国务院自然资源、水行政、生态环境、住房和城乡建设、农业农村、交通运输、林业和草原等部门和长江流域省级人民政府划定河湖岸线保护范围，制定河湖岸线保护规划，严格控制岸线开发建设，促进岸线合理高效利用。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2141" w:type="dxa"/>
                  <w:tcBorders>
                    <w:tl2br w:val="nil"/>
                    <w:tr2bl w:val="nil"/>
                  </w:tcBorders>
                  <w:vAlign w:val="center"/>
                </w:tcPr>
                <w:p w14:paraId="679E3F8A">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本项目为其他非金属矿物制品制造、</w:t>
                  </w:r>
                  <w:r>
                    <w:rPr>
                      <w:rFonts w:hint="eastAsia" w:ascii="Times New Roman" w:hAnsi="Times New Roman" w:eastAsia="宋体" w:cs="Times New Roman"/>
                      <w:b w:val="0"/>
                      <w:bCs/>
                      <w:sz w:val="21"/>
                      <w:szCs w:val="21"/>
                      <w:highlight w:val="none"/>
                      <w:vertAlign w:val="baseline"/>
                      <w:lang w:val="en-US" w:eastAsia="zh-CN"/>
                    </w:rPr>
                    <w:t>煤制品制造</w:t>
                  </w:r>
                  <w:r>
                    <w:rPr>
                      <w:rFonts w:hint="default" w:ascii="Times New Roman" w:hAnsi="Times New Roman" w:eastAsia="宋体" w:cs="Times New Roman"/>
                      <w:b w:val="0"/>
                      <w:bCs/>
                      <w:sz w:val="21"/>
                      <w:szCs w:val="21"/>
                      <w:highlight w:val="none"/>
                      <w:vertAlign w:val="baseline"/>
                      <w:lang w:val="en-US" w:eastAsia="zh-CN"/>
                    </w:rPr>
                    <w:t>，不属于化工项目、尾矿库项目。</w:t>
                  </w:r>
                </w:p>
              </w:tc>
              <w:tc>
                <w:tcPr>
                  <w:tcW w:w="777" w:type="dxa"/>
                  <w:tcBorders>
                    <w:tl2br w:val="nil"/>
                    <w:tr2bl w:val="nil"/>
                  </w:tcBorders>
                  <w:vAlign w:val="center"/>
                </w:tcPr>
                <w:p w14:paraId="770BDA34">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符合</w:t>
                  </w:r>
                </w:p>
              </w:tc>
            </w:tr>
          </w:tbl>
          <w:p w14:paraId="5AA22C1B">
            <w:pPr>
              <w:keepNext w:val="0"/>
              <w:keepLines w:val="0"/>
              <w:pageBreakBefore w:val="0"/>
              <w:kinsoku/>
              <w:wordWrap w:val="0"/>
              <w:overflowPunct/>
              <w:topLinePunct w:val="0"/>
              <w:autoSpaceDE w:val="0"/>
              <w:autoSpaceDN w:val="0"/>
              <w:bidi w:val="0"/>
              <w:adjustRightInd/>
              <w:snapToGrid/>
              <w:spacing w:line="240" w:lineRule="auto"/>
              <w:ind w:left="0" w:leftChars="0" w:right="0" w:rightChars="0" w:firstLine="420" w:firstLineChars="200"/>
              <w:jc w:val="center"/>
              <w:textAlignment w:val="auto"/>
              <w:rPr>
                <w:rFonts w:hint="eastAsia" w:ascii="Times New Roman" w:hAnsi="Times New Roman" w:eastAsia="宋体" w:cs="Times New Roman"/>
                <w:b w:val="0"/>
                <w:bCs/>
                <w:sz w:val="21"/>
                <w:szCs w:val="21"/>
                <w:highlight w:val="none"/>
                <w:lang w:val="en-US" w:eastAsia="zh-CN"/>
              </w:rPr>
            </w:pPr>
          </w:p>
          <w:p w14:paraId="6AAC92D2">
            <w:pPr>
              <w:keepNext w:val="0"/>
              <w:keepLines w:val="0"/>
              <w:pageBreakBefore w:val="0"/>
              <w:kinsoku/>
              <w:wordWrap w:val="0"/>
              <w:overflowPunct/>
              <w:topLinePunct w:val="0"/>
              <w:autoSpaceDE w:val="0"/>
              <w:autoSpaceDN w:val="0"/>
              <w:bidi w:val="0"/>
              <w:adjustRightInd/>
              <w:snapToGrid/>
              <w:spacing w:line="360" w:lineRule="auto"/>
              <w:ind w:left="0" w:leftChars="0" w:right="0" w:rightChars="0" w:firstLine="482" w:firstLineChars="200"/>
              <w:textAlignment w:val="auto"/>
              <w:rPr>
                <w:rFonts w:hint="default" w:ascii="Times New Roman" w:hAnsi="Times New Roman" w:eastAsia="宋体" w:cs="Times New Roman"/>
                <w:b/>
                <w:sz w:val="24"/>
                <w:szCs w:val="28"/>
                <w:highlight w:val="none"/>
                <w:lang w:val="en-US" w:eastAsia="zh-CN"/>
              </w:rPr>
            </w:pPr>
            <w:r>
              <w:rPr>
                <w:rFonts w:hint="eastAsia" w:ascii="Times New Roman" w:hAnsi="Times New Roman" w:cs="Times New Roman"/>
                <w:b/>
                <w:sz w:val="24"/>
                <w:szCs w:val="28"/>
                <w:highlight w:val="none"/>
                <w:lang w:val="en-US" w:eastAsia="zh-CN"/>
              </w:rPr>
              <w:t>10</w:t>
            </w:r>
            <w:r>
              <w:rPr>
                <w:rFonts w:hint="eastAsia" w:ascii="Times New Roman" w:hAnsi="Times New Roman" w:eastAsia="宋体" w:cs="Times New Roman"/>
                <w:b/>
                <w:sz w:val="24"/>
                <w:szCs w:val="28"/>
                <w:highlight w:val="none"/>
                <w:lang w:val="en-US" w:eastAsia="zh-CN"/>
              </w:rPr>
              <w:t>、选址合理分析</w:t>
            </w:r>
          </w:p>
          <w:p w14:paraId="02E44A1F">
            <w:pPr>
              <w:keepNext w:val="0"/>
              <w:keepLines w:val="0"/>
              <w:pageBreakBefore w:val="0"/>
              <w:kinsoku/>
              <w:wordWrap w:val="0"/>
              <w:overflowPunct/>
              <w:topLinePunct w:val="0"/>
              <w:autoSpaceDE w:val="0"/>
              <w:autoSpaceDN w:val="0"/>
              <w:bidi w:val="0"/>
              <w:adjustRightInd/>
              <w:snapToGrid/>
              <w:spacing w:line="360" w:lineRule="auto"/>
              <w:ind w:left="0" w:leftChars="0" w:right="0" w:rightChars="0" w:firstLine="482" w:firstLineChars="200"/>
              <w:textAlignment w:val="auto"/>
              <w:rPr>
                <w:rFonts w:hint="default" w:eastAsia="宋体"/>
                <w:bCs/>
                <w:sz w:val="24"/>
                <w:szCs w:val="28"/>
                <w:highlight w:val="none"/>
                <w:lang w:val="en-US" w:eastAsia="zh-CN"/>
              </w:rPr>
            </w:pPr>
            <w:r>
              <w:rPr>
                <w:rFonts w:hint="eastAsia"/>
                <w:b/>
                <w:bCs w:val="0"/>
                <w:sz w:val="24"/>
                <w:szCs w:val="28"/>
                <w:highlight w:val="none"/>
                <w:lang w:val="en-US" w:eastAsia="zh-CN"/>
              </w:rPr>
              <w:t>10.1外环境关系</w:t>
            </w:r>
          </w:p>
          <w:p w14:paraId="26ED2E0B">
            <w:pPr>
              <w:keepNext w:val="0"/>
              <w:keepLines w:val="0"/>
              <w:pageBreakBefore w:val="0"/>
              <w:kinsoku/>
              <w:wordWrap w:val="0"/>
              <w:overflowPunct/>
              <w:topLinePunct w:val="0"/>
              <w:autoSpaceDE w:val="0"/>
              <w:autoSpaceDN w:val="0"/>
              <w:bidi w:val="0"/>
              <w:adjustRightInd/>
              <w:snapToGrid/>
              <w:spacing w:line="360" w:lineRule="auto"/>
              <w:ind w:left="0" w:leftChars="0" w:right="0" w:rightChars="0" w:firstLine="480" w:firstLineChars="200"/>
              <w:textAlignment w:val="auto"/>
              <w:rPr>
                <w:rFonts w:hint="default" w:eastAsia="宋体"/>
                <w:bCs/>
                <w:sz w:val="24"/>
                <w:szCs w:val="28"/>
                <w:highlight w:val="none"/>
                <w:lang w:val="en-US" w:eastAsia="zh-CN"/>
              </w:rPr>
            </w:pPr>
            <w:r>
              <w:rPr>
                <w:rFonts w:hint="default" w:eastAsia="宋体"/>
                <w:bCs/>
                <w:sz w:val="24"/>
                <w:szCs w:val="28"/>
                <w:highlight w:val="none"/>
                <w:lang w:val="en-US" w:eastAsia="zh-CN"/>
              </w:rPr>
              <w:t>根据上述与《达州市通川区东岳新型工业聚集区规划环境影响报告书》符合性分析可知：本项目为园区允许类项目，本项目的建设与达州市通川区东岳新型工业聚集区规划相符。</w:t>
            </w:r>
          </w:p>
          <w:p w14:paraId="1999631F">
            <w:pPr>
              <w:keepNext w:val="0"/>
              <w:keepLines w:val="0"/>
              <w:pageBreakBefore w:val="0"/>
              <w:kinsoku/>
              <w:wordWrap w:val="0"/>
              <w:overflowPunct/>
              <w:topLinePunct w:val="0"/>
              <w:autoSpaceDE w:val="0"/>
              <w:autoSpaceDN w:val="0"/>
              <w:bidi w:val="0"/>
              <w:adjustRightInd/>
              <w:snapToGrid/>
              <w:spacing w:line="360" w:lineRule="auto"/>
              <w:ind w:left="0" w:leftChars="0" w:right="0" w:rightChars="0" w:firstLine="480" w:firstLineChars="200"/>
              <w:textAlignment w:val="auto"/>
              <w:rPr>
                <w:rFonts w:hint="default" w:eastAsia="宋体"/>
                <w:bCs/>
                <w:sz w:val="24"/>
                <w:szCs w:val="28"/>
                <w:highlight w:val="none"/>
                <w:lang w:val="en-US" w:eastAsia="zh-CN"/>
              </w:rPr>
            </w:pPr>
            <w:r>
              <w:rPr>
                <w:rFonts w:hint="default" w:eastAsia="宋体"/>
                <w:bCs/>
                <w:sz w:val="24"/>
                <w:szCs w:val="28"/>
                <w:highlight w:val="none"/>
                <w:lang w:val="en-US" w:eastAsia="zh-CN"/>
              </w:rPr>
              <w:t>根据现场调查可知：项目周边主要为园区内其他企业及散居农户，具体外环境关系如下表所示：</w:t>
            </w:r>
          </w:p>
          <w:p w14:paraId="357117C4">
            <w:pPr>
              <w:numPr>
                <w:ilvl w:val="0"/>
                <w:numId w:val="3"/>
              </w:numPr>
              <w:wordWrap w:val="0"/>
              <w:ind w:left="63" w:leftChars="30" w:right="63" w:rightChars="30"/>
              <w:jc w:val="center"/>
              <w:rPr>
                <w:rFonts w:hint="eastAsia" w:ascii="Times New Roman" w:hAnsi="Times New Roman" w:eastAsia="宋体" w:cs="Times New Roman"/>
                <w:b/>
                <w:szCs w:val="21"/>
                <w:highlight w:val="none"/>
              </w:rPr>
            </w:pPr>
            <w:r>
              <w:rPr>
                <w:rFonts w:hint="eastAsia" w:ascii="Times New Roman" w:hAnsi="Times New Roman" w:eastAsia="宋体" w:cs="Times New Roman"/>
                <w:b/>
                <w:szCs w:val="21"/>
                <w:highlight w:val="none"/>
              </w:rPr>
              <w:t>项目周边外环境关系情况一览表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35"/>
              <w:gridCol w:w="3000"/>
              <w:gridCol w:w="707"/>
              <w:gridCol w:w="1179"/>
              <w:gridCol w:w="2345"/>
            </w:tblGrid>
            <w:tr w14:paraId="6981932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35" w:type="dxa"/>
                  <w:vMerge w:val="restart"/>
                  <w:tcBorders>
                    <w:tl2br w:val="nil"/>
                    <w:tr2bl w:val="nil"/>
                  </w:tcBorders>
                  <w:noWrap w:val="0"/>
                  <w:vAlign w:val="center"/>
                </w:tcPr>
                <w:p w14:paraId="2C47032B">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序号</w:t>
                  </w:r>
                </w:p>
              </w:tc>
              <w:tc>
                <w:tcPr>
                  <w:tcW w:w="3000" w:type="dxa"/>
                  <w:vMerge w:val="restart"/>
                  <w:tcBorders>
                    <w:tl2br w:val="nil"/>
                    <w:tr2bl w:val="nil"/>
                  </w:tcBorders>
                  <w:noWrap w:val="0"/>
                  <w:vAlign w:val="center"/>
                </w:tcPr>
                <w:p w14:paraId="77D0E7AE">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名称</w:t>
                  </w:r>
                </w:p>
              </w:tc>
              <w:tc>
                <w:tcPr>
                  <w:tcW w:w="1886" w:type="dxa"/>
                  <w:gridSpan w:val="2"/>
                  <w:tcBorders>
                    <w:tl2br w:val="nil"/>
                    <w:tr2bl w:val="nil"/>
                  </w:tcBorders>
                  <w:noWrap w:val="0"/>
                  <w:vAlign w:val="center"/>
                </w:tcPr>
                <w:p w14:paraId="3C125053">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相对位置关系</w:t>
                  </w:r>
                </w:p>
              </w:tc>
              <w:tc>
                <w:tcPr>
                  <w:tcW w:w="2345" w:type="dxa"/>
                  <w:vMerge w:val="restart"/>
                  <w:tcBorders>
                    <w:tl2br w:val="nil"/>
                    <w:tr2bl w:val="nil"/>
                  </w:tcBorders>
                  <w:noWrap w:val="0"/>
                  <w:vAlign w:val="center"/>
                </w:tcPr>
                <w:p w14:paraId="335B74EB">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val="en-US" w:eastAsia="zh-CN"/>
                    </w:rPr>
                    <w:t>备注</w:t>
                  </w:r>
                </w:p>
              </w:tc>
            </w:tr>
            <w:tr w14:paraId="11D8601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35" w:type="dxa"/>
                  <w:vMerge w:val="continue"/>
                  <w:tcBorders>
                    <w:tl2br w:val="nil"/>
                    <w:tr2bl w:val="nil"/>
                  </w:tcBorders>
                  <w:noWrap w:val="0"/>
                  <w:vAlign w:val="center"/>
                </w:tcPr>
                <w:p w14:paraId="2BC89326">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p>
              </w:tc>
              <w:tc>
                <w:tcPr>
                  <w:tcW w:w="3000" w:type="dxa"/>
                  <w:vMerge w:val="continue"/>
                  <w:tcBorders>
                    <w:tl2br w:val="nil"/>
                    <w:tr2bl w:val="nil"/>
                  </w:tcBorders>
                  <w:noWrap w:val="0"/>
                  <w:vAlign w:val="center"/>
                </w:tcPr>
                <w:p w14:paraId="375E72E0">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p>
              </w:tc>
              <w:tc>
                <w:tcPr>
                  <w:tcW w:w="707" w:type="dxa"/>
                  <w:tcBorders>
                    <w:tl2br w:val="nil"/>
                    <w:tr2bl w:val="nil"/>
                  </w:tcBorders>
                  <w:noWrap w:val="0"/>
                  <w:vAlign w:val="center"/>
                </w:tcPr>
                <w:p w14:paraId="54DD92F6">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方位</w:t>
                  </w:r>
                </w:p>
              </w:tc>
              <w:tc>
                <w:tcPr>
                  <w:tcW w:w="1179" w:type="dxa"/>
                  <w:tcBorders>
                    <w:tl2br w:val="nil"/>
                    <w:tr2bl w:val="nil"/>
                  </w:tcBorders>
                  <w:noWrap w:val="0"/>
                  <w:vAlign w:val="center"/>
                </w:tcPr>
                <w:p w14:paraId="7C45CB94">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距离（m）</w:t>
                  </w:r>
                </w:p>
              </w:tc>
              <w:tc>
                <w:tcPr>
                  <w:tcW w:w="2345" w:type="dxa"/>
                  <w:vMerge w:val="continue"/>
                  <w:tcBorders>
                    <w:tl2br w:val="nil"/>
                    <w:tr2bl w:val="nil"/>
                  </w:tcBorders>
                  <w:noWrap w:val="0"/>
                  <w:vAlign w:val="center"/>
                </w:tcPr>
                <w:p w14:paraId="2DD1DF93">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p>
              </w:tc>
            </w:tr>
            <w:tr w14:paraId="7E92044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35" w:type="dxa"/>
                  <w:tcBorders>
                    <w:tl2br w:val="nil"/>
                    <w:tr2bl w:val="nil"/>
                  </w:tcBorders>
                  <w:noWrap w:val="0"/>
                  <w:vAlign w:val="center"/>
                </w:tcPr>
                <w:p w14:paraId="3ABBDA87">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1#</w:t>
                  </w:r>
                </w:p>
              </w:tc>
              <w:tc>
                <w:tcPr>
                  <w:tcW w:w="3000" w:type="dxa"/>
                  <w:tcBorders>
                    <w:tl2br w:val="nil"/>
                    <w:tr2bl w:val="nil"/>
                  </w:tcBorders>
                  <w:noWrap w:val="0"/>
                  <w:vAlign w:val="center"/>
                </w:tcPr>
                <w:p w14:paraId="651CD199">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有力村散居农户</w:t>
                  </w:r>
                </w:p>
              </w:tc>
              <w:tc>
                <w:tcPr>
                  <w:tcW w:w="707" w:type="dxa"/>
                  <w:tcBorders>
                    <w:tl2br w:val="nil"/>
                    <w:tr2bl w:val="nil"/>
                  </w:tcBorders>
                  <w:noWrap w:val="0"/>
                  <w:vAlign w:val="center"/>
                </w:tcPr>
                <w:p w14:paraId="705E2C8D">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东</w:t>
                  </w:r>
                </w:p>
              </w:tc>
              <w:tc>
                <w:tcPr>
                  <w:tcW w:w="1179" w:type="dxa"/>
                  <w:tcBorders>
                    <w:tl2br w:val="nil"/>
                    <w:tr2bl w:val="nil"/>
                  </w:tcBorders>
                  <w:noWrap w:val="0"/>
                  <w:vAlign w:val="center"/>
                </w:tcPr>
                <w:p w14:paraId="78BE29D9">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255</w:t>
                  </w:r>
                </w:p>
              </w:tc>
              <w:tc>
                <w:tcPr>
                  <w:tcW w:w="2345" w:type="dxa"/>
                  <w:tcBorders>
                    <w:tl2br w:val="nil"/>
                    <w:tr2bl w:val="nil"/>
                  </w:tcBorders>
                  <w:noWrap w:val="0"/>
                  <w:vAlign w:val="center"/>
                </w:tcPr>
                <w:p w14:paraId="15258726">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20户，约60人</w:t>
                  </w:r>
                </w:p>
              </w:tc>
            </w:tr>
            <w:tr w14:paraId="6F3C979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35" w:type="dxa"/>
                  <w:tcBorders>
                    <w:tl2br w:val="nil"/>
                    <w:tr2bl w:val="nil"/>
                  </w:tcBorders>
                  <w:noWrap w:val="0"/>
                  <w:vAlign w:val="center"/>
                </w:tcPr>
                <w:p w14:paraId="770B775B">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2</w:t>
                  </w:r>
                  <w:r>
                    <w:rPr>
                      <w:rFonts w:hint="eastAsia" w:ascii="Times New Roman" w:hAnsi="Times New Roman" w:eastAsia="宋体" w:cs="Times New Roman"/>
                      <w:bCs/>
                      <w:sz w:val="21"/>
                      <w:szCs w:val="21"/>
                      <w:vertAlign w:val="baseline"/>
                      <w:lang w:val="en-US" w:eastAsia="zh-CN"/>
                    </w:rPr>
                    <w:t>#</w:t>
                  </w:r>
                </w:p>
              </w:tc>
              <w:tc>
                <w:tcPr>
                  <w:tcW w:w="3000" w:type="dxa"/>
                  <w:tcBorders>
                    <w:tl2br w:val="nil"/>
                    <w:tr2bl w:val="nil"/>
                  </w:tcBorders>
                  <w:noWrap w:val="0"/>
                  <w:vAlign w:val="center"/>
                </w:tcPr>
                <w:p w14:paraId="7FF32D1A">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四川宇阁门窗有限责任公司</w:t>
                  </w:r>
                </w:p>
              </w:tc>
              <w:tc>
                <w:tcPr>
                  <w:tcW w:w="707" w:type="dxa"/>
                  <w:vMerge w:val="restart"/>
                  <w:tcBorders>
                    <w:tl2br w:val="nil"/>
                    <w:tr2bl w:val="nil"/>
                  </w:tcBorders>
                  <w:noWrap w:val="0"/>
                  <w:vAlign w:val="center"/>
                </w:tcPr>
                <w:p w14:paraId="5F201754">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eastAsia"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东南</w:t>
                  </w:r>
                </w:p>
              </w:tc>
              <w:tc>
                <w:tcPr>
                  <w:tcW w:w="1179" w:type="dxa"/>
                  <w:tcBorders>
                    <w:tl2br w:val="nil"/>
                    <w:tr2bl w:val="nil"/>
                  </w:tcBorders>
                  <w:noWrap w:val="0"/>
                  <w:vAlign w:val="center"/>
                </w:tcPr>
                <w:p w14:paraId="6783856E">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rPr>
                    <w:t>320</w:t>
                  </w:r>
                </w:p>
              </w:tc>
              <w:tc>
                <w:tcPr>
                  <w:tcW w:w="2345" w:type="dxa"/>
                  <w:tcBorders>
                    <w:tl2br w:val="nil"/>
                    <w:tr2bl w:val="nil"/>
                  </w:tcBorders>
                  <w:noWrap w:val="0"/>
                  <w:vAlign w:val="center"/>
                </w:tcPr>
                <w:p w14:paraId="08746384">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家具门窗制造</w:t>
                  </w:r>
                </w:p>
              </w:tc>
            </w:tr>
            <w:tr w14:paraId="5FB27F9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35" w:type="dxa"/>
                  <w:tcBorders>
                    <w:tl2br w:val="nil"/>
                    <w:tr2bl w:val="nil"/>
                  </w:tcBorders>
                  <w:noWrap w:val="0"/>
                  <w:vAlign w:val="center"/>
                </w:tcPr>
                <w:p w14:paraId="75721FFD">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3</w:t>
                  </w:r>
                  <w:r>
                    <w:rPr>
                      <w:rFonts w:hint="eastAsia" w:ascii="Times New Roman" w:hAnsi="Times New Roman" w:eastAsia="宋体" w:cs="Times New Roman"/>
                      <w:bCs/>
                      <w:sz w:val="21"/>
                      <w:szCs w:val="21"/>
                      <w:vertAlign w:val="baseline"/>
                      <w:lang w:val="en-US" w:eastAsia="zh-CN"/>
                    </w:rPr>
                    <w:t>#</w:t>
                  </w:r>
                </w:p>
              </w:tc>
              <w:tc>
                <w:tcPr>
                  <w:tcW w:w="3000" w:type="dxa"/>
                  <w:tcBorders>
                    <w:tl2br w:val="nil"/>
                    <w:tr2bl w:val="nil"/>
                  </w:tcBorders>
                  <w:noWrap w:val="0"/>
                  <w:vAlign w:val="center"/>
                </w:tcPr>
                <w:p w14:paraId="3F79E609">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四川达斯特家具有限公司</w:t>
                  </w:r>
                </w:p>
              </w:tc>
              <w:tc>
                <w:tcPr>
                  <w:tcW w:w="707" w:type="dxa"/>
                  <w:vMerge w:val="continue"/>
                  <w:tcBorders>
                    <w:tl2br w:val="nil"/>
                    <w:tr2bl w:val="nil"/>
                  </w:tcBorders>
                  <w:noWrap w:val="0"/>
                  <w:vAlign w:val="center"/>
                </w:tcPr>
                <w:p w14:paraId="35D893AE">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p>
              </w:tc>
              <w:tc>
                <w:tcPr>
                  <w:tcW w:w="1179" w:type="dxa"/>
                  <w:tcBorders>
                    <w:tl2br w:val="nil"/>
                    <w:tr2bl w:val="nil"/>
                  </w:tcBorders>
                  <w:noWrap w:val="0"/>
                  <w:vAlign w:val="center"/>
                </w:tcPr>
                <w:p w14:paraId="6808E7B7">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rPr>
                    <w:t>236</w:t>
                  </w:r>
                </w:p>
              </w:tc>
              <w:tc>
                <w:tcPr>
                  <w:tcW w:w="2345" w:type="dxa"/>
                  <w:tcBorders>
                    <w:tl2br w:val="nil"/>
                    <w:tr2bl w:val="nil"/>
                  </w:tcBorders>
                  <w:noWrap w:val="0"/>
                  <w:vAlign w:val="center"/>
                </w:tcPr>
                <w:p w14:paraId="2F68EECB">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家具制造</w:t>
                  </w:r>
                </w:p>
              </w:tc>
            </w:tr>
            <w:tr w14:paraId="639A17A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35" w:type="dxa"/>
                  <w:tcBorders>
                    <w:tl2br w:val="nil"/>
                    <w:tr2bl w:val="nil"/>
                  </w:tcBorders>
                  <w:noWrap w:val="0"/>
                  <w:vAlign w:val="center"/>
                </w:tcPr>
                <w:p w14:paraId="5FD2FC7D">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4</w:t>
                  </w:r>
                  <w:r>
                    <w:rPr>
                      <w:rFonts w:hint="eastAsia" w:ascii="Times New Roman" w:hAnsi="Times New Roman" w:eastAsia="宋体" w:cs="Times New Roman"/>
                      <w:bCs/>
                      <w:sz w:val="21"/>
                      <w:szCs w:val="21"/>
                      <w:vertAlign w:val="baseline"/>
                      <w:lang w:val="en-US" w:eastAsia="zh-CN"/>
                    </w:rPr>
                    <w:t>#</w:t>
                  </w:r>
                </w:p>
              </w:tc>
              <w:tc>
                <w:tcPr>
                  <w:tcW w:w="3000" w:type="dxa"/>
                  <w:tcBorders>
                    <w:tl2br w:val="nil"/>
                    <w:tr2bl w:val="nil"/>
                  </w:tcBorders>
                  <w:noWrap w:val="0"/>
                  <w:vAlign w:val="center"/>
                </w:tcPr>
                <w:p w14:paraId="61E8C7EA">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园区生产厂房</w:t>
                  </w:r>
                </w:p>
              </w:tc>
              <w:tc>
                <w:tcPr>
                  <w:tcW w:w="707" w:type="dxa"/>
                  <w:vMerge w:val="continue"/>
                  <w:tcBorders>
                    <w:tl2br w:val="nil"/>
                    <w:tr2bl w:val="nil"/>
                  </w:tcBorders>
                  <w:noWrap w:val="0"/>
                  <w:vAlign w:val="center"/>
                </w:tcPr>
                <w:p w14:paraId="1341A979">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p>
              </w:tc>
              <w:tc>
                <w:tcPr>
                  <w:tcW w:w="1179" w:type="dxa"/>
                  <w:tcBorders>
                    <w:tl2br w:val="nil"/>
                    <w:tr2bl w:val="nil"/>
                  </w:tcBorders>
                  <w:noWrap w:val="0"/>
                  <w:vAlign w:val="center"/>
                </w:tcPr>
                <w:p w14:paraId="76827718">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rPr>
                    <w:t>200</w:t>
                  </w:r>
                </w:p>
              </w:tc>
              <w:tc>
                <w:tcPr>
                  <w:tcW w:w="2345" w:type="dxa"/>
                  <w:tcBorders>
                    <w:tl2br w:val="nil"/>
                    <w:tr2bl w:val="nil"/>
                  </w:tcBorders>
                  <w:noWrap w:val="0"/>
                  <w:vAlign w:val="center"/>
                </w:tcPr>
                <w:p w14:paraId="59D154EC">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w:t>
                  </w:r>
                </w:p>
              </w:tc>
            </w:tr>
            <w:tr w14:paraId="4773427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35" w:type="dxa"/>
                  <w:tcBorders>
                    <w:tl2br w:val="nil"/>
                    <w:tr2bl w:val="nil"/>
                  </w:tcBorders>
                  <w:noWrap w:val="0"/>
                  <w:vAlign w:val="center"/>
                </w:tcPr>
                <w:p w14:paraId="0714A8CB">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5</w:t>
                  </w:r>
                  <w:r>
                    <w:rPr>
                      <w:rFonts w:hint="eastAsia" w:ascii="Times New Roman" w:hAnsi="Times New Roman" w:eastAsia="宋体" w:cs="Times New Roman"/>
                      <w:bCs/>
                      <w:sz w:val="21"/>
                      <w:szCs w:val="21"/>
                      <w:vertAlign w:val="baseline"/>
                      <w:lang w:val="en-US" w:eastAsia="zh-CN"/>
                    </w:rPr>
                    <w:t>#</w:t>
                  </w:r>
                </w:p>
              </w:tc>
              <w:tc>
                <w:tcPr>
                  <w:tcW w:w="3000" w:type="dxa"/>
                  <w:tcBorders>
                    <w:tl2br w:val="nil"/>
                    <w:tr2bl w:val="nil"/>
                  </w:tcBorders>
                  <w:noWrap w:val="0"/>
                  <w:vAlign w:val="center"/>
                </w:tcPr>
                <w:p w14:paraId="7B69220A">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新远达二手车交易市场</w:t>
                  </w:r>
                </w:p>
              </w:tc>
              <w:tc>
                <w:tcPr>
                  <w:tcW w:w="707" w:type="dxa"/>
                  <w:vMerge w:val="continue"/>
                  <w:tcBorders>
                    <w:tl2br w:val="nil"/>
                    <w:tr2bl w:val="nil"/>
                  </w:tcBorders>
                  <w:noWrap w:val="0"/>
                  <w:vAlign w:val="center"/>
                </w:tcPr>
                <w:p w14:paraId="72D0A4CE">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p>
              </w:tc>
              <w:tc>
                <w:tcPr>
                  <w:tcW w:w="1179" w:type="dxa"/>
                  <w:tcBorders>
                    <w:tl2br w:val="nil"/>
                    <w:tr2bl w:val="nil"/>
                  </w:tcBorders>
                  <w:noWrap w:val="0"/>
                  <w:vAlign w:val="center"/>
                </w:tcPr>
                <w:p w14:paraId="3838F444">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rPr>
                    <w:t>233</w:t>
                  </w:r>
                </w:p>
              </w:tc>
              <w:tc>
                <w:tcPr>
                  <w:tcW w:w="2345" w:type="dxa"/>
                  <w:tcBorders>
                    <w:tl2br w:val="nil"/>
                    <w:tr2bl w:val="nil"/>
                  </w:tcBorders>
                  <w:noWrap w:val="0"/>
                  <w:vAlign w:val="center"/>
                </w:tcPr>
                <w:p w14:paraId="312F1A62">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rPr>
                    <w:t>二手车交易</w:t>
                  </w:r>
                </w:p>
              </w:tc>
            </w:tr>
            <w:tr w14:paraId="3E67812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35" w:type="dxa"/>
                  <w:tcBorders>
                    <w:tl2br w:val="nil"/>
                    <w:tr2bl w:val="nil"/>
                  </w:tcBorders>
                  <w:noWrap w:val="0"/>
                  <w:vAlign w:val="center"/>
                </w:tcPr>
                <w:p w14:paraId="60088FC4">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6</w:t>
                  </w:r>
                  <w:r>
                    <w:rPr>
                      <w:rFonts w:hint="eastAsia" w:ascii="Times New Roman" w:hAnsi="Times New Roman" w:eastAsia="宋体" w:cs="Times New Roman"/>
                      <w:bCs/>
                      <w:sz w:val="21"/>
                      <w:szCs w:val="21"/>
                      <w:vertAlign w:val="baseline"/>
                      <w:lang w:val="en-US" w:eastAsia="zh-CN"/>
                    </w:rPr>
                    <w:t>#</w:t>
                  </w:r>
                </w:p>
              </w:tc>
              <w:tc>
                <w:tcPr>
                  <w:tcW w:w="3000" w:type="dxa"/>
                  <w:tcBorders>
                    <w:tl2br w:val="nil"/>
                    <w:tr2bl w:val="nil"/>
                  </w:tcBorders>
                  <w:noWrap w:val="0"/>
                  <w:vAlign w:val="center"/>
                </w:tcPr>
                <w:p w14:paraId="58D0FC4D">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国能达州发电有限公司</w:t>
                  </w:r>
                </w:p>
              </w:tc>
              <w:tc>
                <w:tcPr>
                  <w:tcW w:w="707" w:type="dxa"/>
                  <w:vMerge w:val="continue"/>
                  <w:tcBorders>
                    <w:tl2br w:val="nil"/>
                    <w:tr2bl w:val="nil"/>
                  </w:tcBorders>
                  <w:noWrap w:val="0"/>
                  <w:vAlign w:val="center"/>
                </w:tcPr>
                <w:p w14:paraId="68D8A433">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p>
              </w:tc>
              <w:tc>
                <w:tcPr>
                  <w:tcW w:w="1179" w:type="dxa"/>
                  <w:tcBorders>
                    <w:tl2br w:val="nil"/>
                    <w:tr2bl w:val="nil"/>
                  </w:tcBorders>
                  <w:noWrap w:val="0"/>
                  <w:vAlign w:val="center"/>
                </w:tcPr>
                <w:p w14:paraId="632C286A">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rPr>
                    <w:t>480</w:t>
                  </w:r>
                </w:p>
              </w:tc>
              <w:tc>
                <w:tcPr>
                  <w:tcW w:w="2345" w:type="dxa"/>
                  <w:tcBorders>
                    <w:tl2br w:val="nil"/>
                    <w:tr2bl w:val="nil"/>
                  </w:tcBorders>
                  <w:noWrap w:val="0"/>
                  <w:vAlign w:val="center"/>
                </w:tcPr>
                <w:p w14:paraId="6356B9FD">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发电厂</w:t>
                  </w:r>
                </w:p>
              </w:tc>
            </w:tr>
            <w:tr w14:paraId="41B955A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35" w:type="dxa"/>
                  <w:tcBorders>
                    <w:tl2br w:val="nil"/>
                    <w:tr2bl w:val="nil"/>
                  </w:tcBorders>
                  <w:noWrap w:val="0"/>
                  <w:vAlign w:val="center"/>
                </w:tcPr>
                <w:p w14:paraId="7BDC723E">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7</w:t>
                  </w:r>
                  <w:r>
                    <w:rPr>
                      <w:rFonts w:hint="eastAsia" w:ascii="Times New Roman" w:hAnsi="Times New Roman" w:eastAsia="宋体" w:cs="Times New Roman"/>
                      <w:bCs/>
                      <w:sz w:val="21"/>
                      <w:szCs w:val="21"/>
                      <w:vertAlign w:val="baseline"/>
                      <w:lang w:val="en-US" w:eastAsia="zh-CN"/>
                    </w:rPr>
                    <w:t>#</w:t>
                  </w:r>
                </w:p>
              </w:tc>
              <w:tc>
                <w:tcPr>
                  <w:tcW w:w="3000" w:type="dxa"/>
                  <w:tcBorders>
                    <w:tl2br w:val="nil"/>
                    <w:tr2bl w:val="nil"/>
                  </w:tcBorders>
                  <w:noWrap w:val="0"/>
                  <w:vAlign w:val="center"/>
                </w:tcPr>
                <w:p w14:paraId="5E9AFEF6">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有力村散居农户</w:t>
                  </w:r>
                </w:p>
              </w:tc>
              <w:tc>
                <w:tcPr>
                  <w:tcW w:w="707" w:type="dxa"/>
                  <w:vMerge w:val="continue"/>
                  <w:tcBorders>
                    <w:tl2br w:val="nil"/>
                    <w:tr2bl w:val="nil"/>
                  </w:tcBorders>
                  <w:noWrap w:val="0"/>
                  <w:vAlign w:val="center"/>
                </w:tcPr>
                <w:p w14:paraId="5089C2CD">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p>
              </w:tc>
              <w:tc>
                <w:tcPr>
                  <w:tcW w:w="1179" w:type="dxa"/>
                  <w:tcBorders>
                    <w:tl2br w:val="nil"/>
                    <w:tr2bl w:val="nil"/>
                  </w:tcBorders>
                  <w:noWrap w:val="0"/>
                  <w:vAlign w:val="center"/>
                </w:tcPr>
                <w:p w14:paraId="305AA465">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rPr>
                    <w:t>490</w:t>
                  </w:r>
                </w:p>
              </w:tc>
              <w:tc>
                <w:tcPr>
                  <w:tcW w:w="2345" w:type="dxa"/>
                  <w:tcBorders>
                    <w:tl2br w:val="nil"/>
                    <w:tr2bl w:val="nil"/>
                  </w:tcBorders>
                  <w:noWrap w:val="0"/>
                  <w:vAlign w:val="center"/>
                </w:tcPr>
                <w:p w14:paraId="58BD9543">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6户，约18人</w:t>
                  </w:r>
                </w:p>
              </w:tc>
            </w:tr>
            <w:tr w14:paraId="5467F1D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35" w:type="dxa"/>
                  <w:tcBorders>
                    <w:tl2br w:val="nil"/>
                    <w:tr2bl w:val="nil"/>
                  </w:tcBorders>
                  <w:noWrap w:val="0"/>
                  <w:vAlign w:val="center"/>
                </w:tcPr>
                <w:p w14:paraId="3536E187">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8#</w:t>
                  </w:r>
                </w:p>
              </w:tc>
              <w:tc>
                <w:tcPr>
                  <w:tcW w:w="3000" w:type="dxa"/>
                  <w:tcBorders>
                    <w:tl2br w:val="nil"/>
                    <w:tr2bl w:val="nil"/>
                  </w:tcBorders>
                  <w:noWrap w:val="0"/>
                  <w:vAlign w:val="center"/>
                </w:tcPr>
                <w:p w14:paraId="5584778B">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四川鸿丙节能建材有限公司</w:t>
                  </w:r>
                </w:p>
              </w:tc>
              <w:tc>
                <w:tcPr>
                  <w:tcW w:w="707" w:type="dxa"/>
                  <w:tcBorders>
                    <w:tl2br w:val="nil"/>
                    <w:tr2bl w:val="nil"/>
                  </w:tcBorders>
                  <w:noWrap w:val="0"/>
                  <w:vAlign w:val="center"/>
                </w:tcPr>
                <w:p w14:paraId="02DE095E">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南</w:t>
                  </w:r>
                </w:p>
              </w:tc>
              <w:tc>
                <w:tcPr>
                  <w:tcW w:w="1179" w:type="dxa"/>
                  <w:tcBorders>
                    <w:tl2br w:val="nil"/>
                    <w:tr2bl w:val="nil"/>
                  </w:tcBorders>
                  <w:noWrap w:val="0"/>
                  <w:vAlign w:val="center"/>
                </w:tcPr>
                <w:p w14:paraId="7F8F7916">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383</w:t>
                  </w:r>
                </w:p>
              </w:tc>
              <w:tc>
                <w:tcPr>
                  <w:tcW w:w="2345" w:type="dxa"/>
                  <w:tcBorders>
                    <w:tl2br w:val="nil"/>
                    <w:tr2bl w:val="nil"/>
                  </w:tcBorders>
                  <w:noWrap w:val="0"/>
                  <w:vAlign w:val="center"/>
                </w:tcPr>
                <w:p w14:paraId="23A9986D">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建材生产</w:t>
                  </w:r>
                </w:p>
              </w:tc>
            </w:tr>
            <w:tr w14:paraId="7FBDDC4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35" w:type="dxa"/>
                  <w:tcBorders>
                    <w:tl2br w:val="nil"/>
                    <w:tr2bl w:val="nil"/>
                  </w:tcBorders>
                  <w:noWrap w:val="0"/>
                  <w:vAlign w:val="center"/>
                </w:tcPr>
                <w:p w14:paraId="3A03E473">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9</w:t>
                  </w:r>
                  <w:r>
                    <w:rPr>
                      <w:rFonts w:hint="eastAsia" w:ascii="Times New Roman" w:hAnsi="Times New Roman" w:eastAsia="宋体" w:cs="Times New Roman"/>
                      <w:bCs/>
                      <w:sz w:val="21"/>
                      <w:szCs w:val="21"/>
                      <w:vertAlign w:val="baseline"/>
                      <w:lang w:val="en-US" w:eastAsia="zh-CN"/>
                    </w:rPr>
                    <w:t>#</w:t>
                  </w:r>
                </w:p>
              </w:tc>
              <w:tc>
                <w:tcPr>
                  <w:tcW w:w="3000" w:type="dxa"/>
                  <w:tcBorders>
                    <w:tl2br w:val="nil"/>
                    <w:tr2bl w:val="nil"/>
                  </w:tcBorders>
                  <w:noWrap w:val="0"/>
                  <w:vAlign w:val="center"/>
                </w:tcPr>
                <w:p w14:paraId="7B1A78A4">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达州通途公路养护有限公司</w:t>
                  </w:r>
                </w:p>
              </w:tc>
              <w:tc>
                <w:tcPr>
                  <w:tcW w:w="707" w:type="dxa"/>
                  <w:vMerge w:val="restart"/>
                  <w:tcBorders>
                    <w:tl2br w:val="nil"/>
                    <w:tr2bl w:val="nil"/>
                  </w:tcBorders>
                  <w:noWrap w:val="0"/>
                  <w:vAlign w:val="center"/>
                </w:tcPr>
                <w:p w14:paraId="3CCE19AF">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eastAsia"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西南</w:t>
                  </w:r>
                </w:p>
              </w:tc>
              <w:tc>
                <w:tcPr>
                  <w:tcW w:w="1179" w:type="dxa"/>
                  <w:tcBorders>
                    <w:tl2br w:val="nil"/>
                    <w:tr2bl w:val="nil"/>
                  </w:tcBorders>
                  <w:noWrap w:val="0"/>
                  <w:vAlign w:val="center"/>
                </w:tcPr>
                <w:p w14:paraId="5CBB7DC0">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rPr>
                    <w:t>紧邻</w:t>
                  </w:r>
                </w:p>
              </w:tc>
              <w:tc>
                <w:tcPr>
                  <w:tcW w:w="2345" w:type="dxa"/>
                  <w:tcBorders>
                    <w:tl2br w:val="nil"/>
                    <w:tr2bl w:val="nil"/>
                  </w:tcBorders>
                  <w:noWrap w:val="0"/>
                  <w:vAlign w:val="center"/>
                </w:tcPr>
                <w:p w14:paraId="39D4126C">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沥青混凝土生产</w:t>
                  </w:r>
                </w:p>
              </w:tc>
            </w:tr>
            <w:tr w14:paraId="2EE085A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35" w:type="dxa"/>
                  <w:tcBorders>
                    <w:tl2br w:val="nil"/>
                    <w:tr2bl w:val="nil"/>
                  </w:tcBorders>
                  <w:noWrap w:val="0"/>
                  <w:vAlign w:val="center"/>
                </w:tcPr>
                <w:p w14:paraId="17D5E932">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10</w:t>
                  </w:r>
                  <w:r>
                    <w:rPr>
                      <w:rFonts w:hint="eastAsia" w:ascii="Times New Roman" w:hAnsi="Times New Roman" w:eastAsia="宋体" w:cs="Times New Roman"/>
                      <w:bCs/>
                      <w:sz w:val="21"/>
                      <w:szCs w:val="21"/>
                      <w:vertAlign w:val="baseline"/>
                      <w:lang w:val="en-US" w:eastAsia="zh-CN"/>
                    </w:rPr>
                    <w:t>#</w:t>
                  </w:r>
                </w:p>
              </w:tc>
              <w:tc>
                <w:tcPr>
                  <w:tcW w:w="3000" w:type="dxa"/>
                  <w:tcBorders>
                    <w:tl2br w:val="nil"/>
                    <w:tr2bl w:val="nil"/>
                  </w:tcBorders>
                  <w:noWrap w:val="0"/>
                  <w:vAlign w:val="center"/>
                </w:tcPr>
                <w:p w14:paraId="731B084E">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四川卓强塑料制品有限公司</w:t>
                  </w:r>
                </w:p>
              </w:tc>
              <w:tc>
                <w:tcPr>
                  <w:tcW w:w="707" w:type="dxa"/>
                  <w:vMerge w:val="continue"/>
                  <w:tcBorders>
                    <w:tl2br w:val="nil"/>
                    <w:tr2bl w:val="nil"/>
                  </w:tcBorders>
                  <w:noWrap w:val="0"/>
                  <w:vAlign w:val="center"/>
                </w:tcPr>
                <w:p w14:paraId="0B023AE0">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eastAsia" w:ascii="Times New Roman" w:hAnsi="Times New Roman" w:eastAsia="宋体" w:cs="Times New Roman"/>
                      <w:bCs/>
                      <w:sz w:val="21"/>
                      <w:szCs w:val="21"/>
                      <w:vertAlign w:val="baseline"/>
                      <w:lang w:val="en-US" w:eastAsia="zh-CN"/>
                    </w:rPr>
                  </w:pPr>
                </w:p>
              </w:tc>
              <w:tc>
                <w:tcPr>
                  <w:tcW w:w="1179" w:type="dxa"/>
                  <w:tcBorders>
                    <w:tl2br w:val="nil"/>
                    <w:tr2bl w:val="nil"/>
                  </w:tcBorders>
                  <w:noWrap w:val="0"/>
                  <w:vAlign w:val="center"/>
                </w:tcPr>
                <w:p w14:paraId="17D43F99">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rPr>
                    <w:t>390</w:t>
                  </w:r>
                </w:p>
              </w:tc>
              <w:tc>
                <w:tcPr>
                  <w:tcW w:w="2345" w:type="dxa"/>
                  <w:tcBorders>
                    <w:tl2br w:val="nil"/>
                    <w:tr2bl w:val="nil"/>
                  </w:tcBorders>
                  <w:noWrap w:val="0"/>
                  <w:vAlign w:val="center"/>
                </w:tcPr>
                <w:p w14:paraId="6DA37164">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塑料制品制造</w:t>
                  </w:r>
                </w:p>
              </w:tc>
            </w:tr>
            <w:tr w14:paraId="70F17AB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35" w:type="dxa"/>
                  <w:tcBorders>
                    <w:tl2br w:val="nil"/>
                    <w:tr2bl w:val="nil"/>
                  </w:tcBorders>
                  <w:noWrap w:val="0"/>
                  <w:vAlign w:val="center"/>
                </w:tcPr>
                <w:p w14:paraId="70D7E878">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11</w:t>
                  </w:r>
                  <w:r>
                    <w:rPr>
                      <w:rFonts w:hint="eastAsia" w:ascii="Times New Roman" w:hAnsi="Times New Roman" w:eastAsia="宋体" w:cs="Times New Roman"/>
                      <w:bCs/>
                      <w:sz w:val="21"/>
                      <w:szCs w:val="21"/>
                      <w:vertAlign w:val="baseline"/>
                      <w:lang w:val="en-US" w:eastAsia="zh-CN"/>
                    </w:rPr>
                    <w:t>#</w:t>
                  </w:r>
                </w:p>
              </w:tc>
              <w:tc>
                <w:tcPr>
                  <w:tcW w:w="3000" w:type="dxa"/>
                  <w:tcBorders>
                    <w:tl2br w:val="nil"/>
                    <w:tr2bl w:val="nil"/>
                  </w:tcBorders>
                  <w:noWrap w:val="0"/>
                  <w:vAlign w:val="center"/>
                </w:tcPr>
                <w:p w14:paraId="0E770A68">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四川宇君新型材料有限公司</w:t>
                  </w:r>
                </w:p>
              </w:tc>
              <w:tc>
                <w:tcPr>
                  <w:tcW w:w="707" w:type="dxa"/>
                  <w:vMerge w:val="continue"/>
                  <w:tcBorders>
                    <w:tl2br w:val="nil"/>
                    <w:tr2bl w:val="nil"/>
                  </w:tcBorders>
                  <w:noWrap w:val="0"/>
                  <w:vAlign w:val="center"/>
                </w:tcPr>
                <w:p w14:paraId="4DA34D92">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p>
              </w:tc>
              <w:tc>
                <w:tcPr>
                  <w:tcW w:w="1179" w:type="dxa"/>
                  <w:tcBorders>
                    <w:tl2br w:val="nil"/>
                    <w:tr2bl w:val="nil"/>
                  </w:tcBorders>
                  <w:noWrap w:val="0"/>
                  <w:vAlign w:val="center"/>
                </w:tcPr>
                <w:p w14:paraId="60AEE3AB">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rPr>
                    <w:t>455</w:t>
                  </w:r>
                </w:p>
              </w:tc>
              <w:tc>
                <w:tcPr>
                  <w:tcW w:w="2345" w:type="dxa"/>
                  <w:tcBorders>
                    <w:tl2br w:val="nil"/>
                    <w:tr2bl w:val="nil"/>
                  </w:tcBorders>
                  <w:noWrap w:val="0"/>
                  <w:vAlign w:val="center"/>
                </w:tcPr>
                <w:p w14:paraId="042D2864">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r>
                    <w:rPr>
                      <w:rFonts w:hint="eastAsia" w:cs="Times New Roman"/>
                      <w:bCs/>
                      <w:sz w:val="21"/>
                      <w:szCs w:val="21"/>
                      <w:vertAlign w:val="baseline"/>
                      <w:lang w:val="en-US" w:eastAsia="zh-CN"/>
                    </w:rPr>
                    <w:t>建材生产</w:t>
                  </w:r>
                </w:p>
              </w:tc>
            </w:tr>
            <w:tr w14:paraId="0EF283C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35" w:type="dxa"/>
                  <w:tcBorders>
                    <w:tl2br w:val="nil"/>
                    <w:tr2bl w:val="nil"/>
                  </w:tcBorders>
                  <w:noWrap w:val="0"/>
                  <w:vAlign w:val="center"/>
                </w:tcPr>
                <w:p w14:paraId="2287BCCA">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12</w:t>
                  </w:r>
                  <w:r>
                    <w:rPr>
                      <w:rFonts w:hint="eastAsia" w:ascii="Times New Roman" w:hAnsi="Times New Roman" w:eastAsia="宋体" w:cs="Times New Roman"/>
                      <w:bCs/>
                      <w:sz w:val="21"/>
                      <w:szCs w:val="21"/>
                      <w:vertAlign w:val="baseline"/>
                      <w:lang w:val="en-US" w:eastAsia="zh-CN"/>
                    </w:rPr>
                    <w:t>#</w:t>
                  </w:r>
                </w:p>
              </w:tc>
              <w:tc>
                <w:tcPr>
                  <w:tcW w:w="3000" w:type="dxa"/>
                  <w:tcBorders>
                    <w:tl2br w:val="nil"/>
                    <w:tr2bl w:val="nil"/>
                  </w:tcBorders>
                  <w:noWrap w:val="0"/>
                  <w:vAlign w:val="center"/>
                </w:tcPr>
                <w:p w14:paraId="769F05DF">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有力村散居农户</w:t>
                  </w:r>
                </w:p>
              </w:tc>
              <w:tc>
                <w:tcPr>
                  <w:tcW w:w="707" w:type="dxa"/>
                  <w:vMerge w:val="continue"/>
                  <w:tcBorders>
                    <w:tl2br w:val="nil"/>
                    <w:tr2bl w:val="nil"/>
                  </w:tcBorders>
                  <w:noWrap w:val="0"/>
                  <w:vAlign w:val="center"/>
                </w:tcPr>
                <w:p w14:paraId="13BE814F">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p>
              </w:tc>
              <w:tc>
                <w:tcPr>
                  <w:tcW w:w="1179" w:type="dxa"/>
                  <w:tcBorders>
                    <w:tl2br w:val="nil"/>
                    <w:tr2bl w:val="nil"/>
                  </w:tcBorders>
                  <w:noWrap w:val="0"/>
                  <w:vAlign w:val="center"/>
                </w:tcPr>
                <w:p w14:paraId="7CB6F37B">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rPr>
                    <w:t>410</w:t>
                  </w:r>
                </w:p>
              </w:tc>
              <w:tc>
                <w:tcPr>
                  <w:tcW w:w="2345" w:type="dxa"/>
                  <w:tcBorders>
                    <w:tl2br w:val="nil"/>
                    <w:tr2bl w:val="nil"/>
                  </w:tcBorders>
                  <w:noWrap w:val="0"/>
                  <w:vAlign w:val="center"/>
                </w:tcPr>
                <w:p w14:paraId="7CEC9A6C">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rPr>
                  </w:pPr>
                  <w:r>
                    <w:rPr>
                      <w:rFonts w:hint="eastAsia" w:cs="Times New Roman"/>
                      <w:bCs/>
                      <w:sz w:val="21"/>
                      <w:szCs w:val="21"/>
                      <w:vertAlign w:val="baseline"/>
                      <w:lang w:val="en-US" w:eastAsia="zh-CN"/>
                    </w:rPr>
                    <w:t>10户，约30人</w:t>
                  </w:r>
                </w:p>
              </w:tc>
            </w:tr>
            <w:tr w14:paraId="394C1C7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35" w:type="dxa"/>
                  <w:tcBorders>
                    <w:tl2br w:val="nil"/>
                    <w:tr2bl w:val="nil"/>
                  </w:tcBorders>
                  <w:noWrap w:val="0"/>
                  <w:vAlign w:val="center"/>
                </w:tcPr>
                <w:p w14:paraId="7877D418">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13</w:t>
                  </w:r>
                  <w:r>
                    <w:rPr>
                      <w:rFonts w:hint="eastAsia" w:ascii="Times New Roman" w:hAnsi="Times New Roman" w:eastAsia="宋体" w:cs="Times New Roman"/>
                      <w:bCs/>
                      <w:sz w:val="21"/>
                      <w:szCs w:val="21"/>
                      <w:vertAlign w:val="baseline"/>
                      <w:lang w:val="en-US" w:eastAsia="zh-CN"/>
                    </w:rPr>
                    <w:t>#</w:t>
                  </w:r>
                </w:p>
              </w:tc>
              <w:tc>
                <w:tcPr>
                  <w:tcW w:w="3000" w:type="dxa"/>
                  <w:tcBorders>
                    <w:tl2br w:val="nil"/>
                    <w:tr2bl w:val="nil"/>
                  </w:tcBorders>
                  <w:noWrap w:val="0"/>
                  <w:vAlign w:val="center"/>
                </w:tcPr>
                <w:p w14:paraId="2CA636B9">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达州市首炬新型建材有限公司</w:t>
                  </w:r>
                </w:p>
              </w:tc>
              <w:tc>
                <w:tcPr>
                  <w:tcW w:w="707" w:type="dxa"/>
                  <w:vMerge w:val="restart"/>
                  <w:tcBorders>
                    <w:tl2br w:val="nil"/>
                    <w:tr2bl w:val="nil"/>
                  </w:tcBorders>
                  <w:noWrap w:val="0"/>
                  <w:vAlign w:val="center"/>
                </w:tcPr>
                <w:p w14:paraId="1337D6E2">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eastAsia"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西</w:t>
                  </w:r>
                </w:p>
              </w:tc>
              <w:tc>
                <w:tcPr>
                  <w:tcW w:w="1179" w:type="dxa"/>
                  <w:tcBorders>
                    <w:tl2br w:val="nil"/>
                    <w:tr2bl w:val="nil"/>
                  </w:tcBorders>
                  <w:noWrap w:val="0"/>
                  <w:vAlign w:val="center"/>
                </w:tcPr>
                <w:p w14:paraId="7B5A105E">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rPr>
                    <w:t>110</w:t>
                  </w:r>
                </w:p>
              </w:tc>
              <w:tc>
                <w:tcPr>
                  <w:tcW w:w="2345" w:type="dxa"/>
                  <w:tcBorders>
                    <w:tl2br w:val="nil"/>
                    <w:tr2bl w:val="nil"/>
                  </w:tcBorders>
                  <w:noWrap w:val="0"/>
                  <w:vAlign w:val="center"/>
                </w:tcPr>
                <w:p w14:paraId="7AD33DBE">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建材生产</w:t>
                  </w:r>
                </w:p>
              </w:tc>
            </w:tr>
            <w:tr w14:paraId="424B2E7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35" w:type="dxa"/>
                  <w:tcBorders>
                    <w:tl2br w:val="nil"/>
                    <w:tr2bl w:val="nil"/>
                  </w:tcBorders>
                  <w:noWrap w:val="0"/>
                  <w:vAlign w:val="center"/>
                </w:tcPr>
                <w:p w14:paraId="1BA6C5A6">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14</w:t>
                  </w:r>
                  <w:r>
                    <w:rPr>
                      <w:rFonts w:hint="eastAsia" w:ascii="Times New Roman" w:hAnsi="Times New Roman" w:eastAsia="宋体" w:cs="Times New Roman"/>
                      <w:bCs/>
                      <w:sz w:val="21"/>
                      <w:szCs w:val="21"/>
                      <w:vertAlign w:val="baseline"/>
                      <w:lang w:val="en-US" w:eastAsia="zh-CN"/>
                    </w:rPr>
                    <w:t>#</w:t>
                  </w:r>
                </w:p>
              </w:tc>
              <w:tc>
                <w:tcPr>
                  <w:tcW w:w="3000" w:type="dxa"/>
                  <w:tcBorders>
                    <w:tl2br w:val="nil"/>
                    <w:tr2bl w:val="nil"/>
                  </w:tcBorders>
                  <w:noWrap w:val="0"/>
                  <w:vAlign w:val="center"/>
                </w:tcPr>
                <w:p w14:paraId="476DD0B5">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有力村散居农户</w:t>
                  </w:r>
                </w:p>
              </w:tc>
              <w:tc>
                <w:tcPr>
                  <w:tcW w:w="707" w:type="dxa"/>
                  <w:vMerge w:val="continue"/>
                  <w:tcBorders>
                    <w:tl2br w:val="nil"/>
                    <w:tr2bl w:val="nil"/>
                  </w:tcBorders>
                  <w:noWrap w:val="0"/>
                  <w:vAlign w:val="center"/>
                </w:tcPr>
                <w:p w14:paraId="11AFFDDE">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p>
              </w:tc>
              <w:tc>
                <w:tcPr>
                  <w:tcW w:w="1179" w:type="dxa"/>
                  <w:tcBorders>
                    <w:tl2br w:val="nil"/>
                    <w:tr2bl w:val="nil"/>
                  </w:tcBorders>
                  <w:noWrap w:val="0"/>
                  <w:vAlign w:val="center"/>
                </w:tcPr>
                <w:p w14:paraId="07A71745">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rPr>
                    <w:t>435</w:t>
                  </w:r>
                </w:p>
              </w:tc>
              <w:tc>
                <w:tcPr>
                  <w:tcW w:w="2345" w:type="dxa"/>
                  <w:tcBorders>
                    <w:tl2br w:val="nil"/>
                    <w:tr2bl w:val="nil"/>
                  </w:tcBorders>
                  <w:noWrap w:val="0"/>
                  <w:vAlign w:val="center"/>
                </w:tcPr>
                <w:p w14:paraId="00F692B3">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r>
                    <w:rPr>
                      <w:rFonts w:hint="eastAsia" w:cs="Times New Roman"/>
                      <w:bCs/>
                      <w:sz w:val="21"/>
                      <w:szCs w:val="21"/>
                      <w:vertAlign w:val="baseline"/>
                      <w:lang w:val="en-US" w:eastAsia="zh-CN"/>
                    </w:rPr>
                    <w:t>2户，约6人</w:t>
                  </w:r>
                </w:p>
              </w:tc>
            </w:tr>
            <w:tr w14:paraId="0D8AF78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35" w:type="dxa"/>
                  <w:tcBorders>
                    <w:tl2br w:val="nil"/>
                    <w:tr2bl w:val="nil"/>
                  </w:tcBorders>
                  <w:noWrap w:val="0"/>
                  <w:vAlign w:val="center"/>
                </w:tcPr>
                <w:p w14:paraId="5600E9F1">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15</w:t>
                  </w:r>
                  <w:r>
                    <w:rPr>
                      <w:rFonts w:hint="eastAsia" w:ascii="Times New Roman" w:hAnsi="Times New Roman" w:eastAsia="宋体" w:cs="Times New Roman"/>
                      <w:bCs/>
                      <w:sz w:val="21"/>
                      <w:szCs w:val="21"/>
                      <w:vertAlign w:val="baseline"/>
                      <w:lang w:val="en-US" w:eastAsia="zh-CN"/>
                    </w:rPr>
                    <w:t>#</w:t>
                  </w:r>
                </w:p>
              </w:tc>
              <w:tc>
                <w:tcPr>
                  <w:tcW w:w="3000" w:type="dxa"/>
                  <w:tcBorders>
                    <w:tl2br w:val="nil"/>
                    <w:tr2bl w:val="nil"/>
                  </w:tcBorders>
                  <w:noWrap w:val="0"/>
                  <w:vAlign w:val="center"/>
                </w:tcPr>
                <w:p w14:paraId="655446DB">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达州远大电气设备有限公司</w:t>
                  </w:r>
                </w:p>
              </w:tc>
              <w:tc>
                <w:tcPr>
                  <w:tcW w:w="707" w:type="dxa"/>
                  <w:vMerge w:val="continue"/>
                  <w:tcBorders>
                    <w:tl2br w:val="nil"/>
                    <w:tr2bl w:val="nil"/>
                  </w:tcBorders>
                  <w:noWrap w:val="0"/>
                  <w:vAlign w:val="center"/>
                </w:tcPr>
                <w:p w14:paraId="45C06C96">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p>
              </w:tc>
              <w:tc>
                <w:tcPr>
                  <w:tcW w:w="1179" w:type="dxa"/>
                  <w:tcBorders>
                    <w:tl2br w:val="nil"/>
                    <w:tr2bl w:val="nil"/>
                  </w:tcBorders>
                  <w:noWrap w:val="0"/>
                  <w:vAlign w:val="center"/>
                </w:tcPr>
                <w:p w14:paraId="55314FB9">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rPr>
                    <w:t>458</w:t>
                  </w:r>
                </w:p>
              </w:tc>
              <w:tc>
                <w:tcPr>
                  <w:tcW w:w="2345" w:type="dxa"/>
                  <w:tcBorders>
                    <w:tl2br w:val="nil"/>
                    <w:tr2bl w:val="nil"/>
                  </w:tcBorders>
                  <w:noWrap w:val="0"/>
                  <w:vAlign w:val="center"/>
                </w:tcPr>
                <w:p w14:paraId="299FD0B3">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eastAsia"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rPr>
                    <w:t>电气设备</w:t>
                  </w:r>
                  <w:r>
                    <w:rPr>
                      <w:rFonts w:hint="eastAsia" w:cs="Times New Roman"/>
                      <w:bCs/>
                      <w:sz w:val="21"/>
                      <w:szCs w:val="21"/>
                      <w:vertAlign w:val="baseline"/>
                      <w:lang w:val="en-US" w:eastAsia="zh-CN"/>
                    </w:rPr>
                    <w:t>制造</w:t>
                  </w:r>
                </w:p>
              </w:tc>
            </w:tr>
            <w:tr w14:paraId="03A6030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35" w:type="dxa"/>
                  <w:tcBorders>
                    <w:tl2br w:val="nil"/>
                    <w:tr2bl w:val="nil"/>
                  </w:tcBorders>
                  <w:noWrap w:val="0"/>
                  <w:vAlign w:val="center"/>
                </w:tcPr>
                <w:p w14:paraId="7A7E18AF">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16</w:t>
                  </w:r>
                  <w:r>
                    <w:rPr>
                      <w:rFonts w:hint="eastAsia" w:ascii="Times New Roman" w:hAnsi="Times New Roman" w:eastAsia="宋体" w:cs="Times New Roman"/>
                      <w:bCs/>
                      <w:sz w:val="21"/>
                      <w:szCs w:val="21"/>
                      <w:vertAlign w:val="baseline"/>
                      <w:lang w:val="en-US" w:eastAsia="zh-CN"/>
                    </w:rPr>
                    <w:t>#</w:t>
                  </w:r>
                </w:p>
              </w:tc>
              <w:tc>
                <w:tcPr>
                  <w:tcW w:w="3000" w:type="dxa"/>
                  <w:tcBorders>
                    <w:tl2br w:val="nil"/>
                    <w:tr2bl w:val="nil"/>
                  </w:tcBorders>
                  <w:noWrap w:val="0"/>
                  <w:vAlign w:val="center"/>
                </w:tcPr>
                <w:p w14:paraId="5EE20EE1">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有力村散居农户</w:t>
                  </w:r>
                </w:p>
              </w:tc>
              <w:tc>
                <w:tcPr>
                  <w:tcW w:w="707" w:type="dxa"/>
                  <w:vMerge w:val="continue"/>
                  <w:tcBorders>
                    <w:tl2br w:val="nil"/>
                    <w:tr2bl w:val="nil"/>
                  </w:tcBorders>
                  <w:noWrap w:val="0"/>
                  <w:vAlign w:val="center"/>
                </w:tcPr>
                <w:p w14:paraId="356560E9">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p>
              </w:tc>
              <w:tc>
                <w:tcPr>
                  <w:tcW w:w="1179" w:type="dxa"/>
                  <w:tcBorders>
                    <w:tl2br w:val="nil"/>
                    <w:tr2bl w:val="nil"/>
                  </w:tcBorders>
                  <w:noWrap w:val="0"/>
                  <w:vAlign w:val="center"/>
                </w:tcPr>
                <w:p w14:paraId="4A2A5148">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rPr>
                    <w:t>284</w:t>
                  </w:r>
                </w:p>
              </w:tc>
              <w:tc>
                <w:tcPr>
                  <w:tcW w:w="2345" w:type="dxa"/>
                  <w:tcBorders>
                    <w:tl2br w:val="nil"/>
                    <w:tr2bl w:val="nil"/>
                  </w:tcBorders>
                  <w:noWrap w:val="0"/>
                  <w:vAlign w:val="center"/>
                </w:tcPr>
                <w:p w14:paraId="58219338">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r>
                    <w:rPr>
                      <w:rFonts w:hint="eastAsia" w:cs="Times New Roman"/>
                      <w:bCs/>
                      <w:sz w:val="21"/>
                      <w:szCs w:val="21"/>
                      <w:vertAlign w:val="baseline"/>
                      <w:lang w:val="en-US" w:eastAsia="zh-CN"/>
                    </w:rPr>
                    <w:t>20户，约60人</w:t>
                  </w:r>
                </w:p>
              </w:tc>
            </w:tr>
            <w:tr w14:paraId="36F93A8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35" w:type="dxa"/>
                  <w:tcBorders>
                    <w:tl2br w:val="nil"/>
                    <w:tr2bl w:val="nil"/>
                  </w:tcBorders>
                  <w:noWrap w:val="0"/>
                  <w:vAlign w:val="center"/>
                </w:tcPr>
                <w:p w14:paraId="35671B26">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17</w:t>
                  </w:r>
                  <w:r>
                    <w:rPr>
                      <w:rFonts w:hint="eastAsia" w:ascii="Times New Roman" w:hAnsi="Times New Roman" w:eastAsia="宋体" w:cs="Times New Roman"/>
                      <w:bCs/>
                      <w:sz w:val="21"/>
                      <w:szCs w:val="21"/>
                      <w:vertAlign w:val="baseline"/>
                      <w:lang w:val="en-US" w:eastAsia="zh-CN"/>
                    </w:rPr>
                    <w:t>#</w:t>
                  </w:r>
                </w:p>
              </w:tc>
              <w:tc>
                <w:tcPr>
                  <w:tcW w:w="3000" w:type="dxa"/>
                  <w:tcBorders>
                    <w:tl2br w:val="nil"/>
                    <w:tr2bl w:val="nil"/>
                  </w:tcBorders>
                  <w:noWrap w:val="0"/>
                  <w:vAlign w:val="center"/>
                </w:tcPr>
                <w:p w14:paraId="11F3DFEC">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有力村散居农户</w:t>
                  </w:r>
                </w:p>
              </w:tc>
              <w:tc>
                <w:tcPr>
                  <w:tcW w:w="707" w:type="dxa"/>
                  <w:vMerge w:val="restart"/>
                  <w:tcBorders>
                    <w:tl2br w:val="nil"/>
                    <w:tr2bl w:val="nil"/>
                  </w:tcBorders>
                  <w:noWrap w:val="0"/>
                  <w:vAlign w:val="center"/>
                </w:tcPr>
                <w:p w14:paraId="614F6C92">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西北</w:t>
                  </w:r>
                </w:p>
              </w:tc>
              <w:tc>
                <w:tcPr>
                  <w:tcW w:w="1179" w:type="dxa"/>
                  <w:tcBorders>
                    <w:tl2br w:val="nil"/>
                    <w:tr2bl w:val="nil"/>
                  </w:tcBorders>
                  <w:noWrap w:val="0"/>
                  <w:vAlign w:val="center"/>
                </w:tcPr>
                <w:p w14:paraId="1F9ED904">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rPr>
                    <w:t>228</w:t>
                  </w:r>
                </w:p>
              </w:tc>
              <w:tc>
                <w:tcPr>
                  <w:tcW w:w="2345" w:type="dxa"/>
                  <w:tcBorders>
                    <w:tl2br w:val="nil"/>
                    <w:tr2bl w:val="nil"/>
                  </w:tcBorders>
                  <w:noWrap w:val="0"/>
                  <w:vAlign w:val="center"/>
                </w:tcPr>
                <w:p w14:paraId="6DEC34BD">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2户，约6人</w:t>
                  </w:r>
                </w:p>
              </w:tc>
            </w:tr>
            <w:tr w14:paraId="3580A83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35" w:type="dxa"/>
                  <w:tcBorders>
                    <w:tl2br w:val="nil"/>
                    <w:tr2bl w:val="nil"/>
                  </w:tcBorders>
                  <w:noWrap w:val="0"/>
                  <w:vAlign w:val="center"/>
                </w:tcPr>
                <w:p w14:paraId="76E84E76">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18</w:t>
                  </w:r>
                  <w:r>
                    <w:rPr>
                      <w:rFonts w:hint="eastAsia" w:ascii="Times New Roman" w:hAnsi="Times New Roman" w:eastAsia="宋体" w:cs="Times New Roman"/>
                      <w:bCs/>
                      <w:sz w:val="21"/>
                      <w:szCs w:val="21"/>
                      <w:vertAlign w:val="baseline"/>
                      <w:lang w:val="en-US" w:eastAsia="zh-CN"/>
                    </w:rPr>
                    <w:t>#</w:t>
                  </w:r>
                </w:p>
              </w:tc>
              <w:tc>
                <w:tcPr>
                  <w:tcW w:w="3000" w:type="dxa"/>
                  <w:tcBorders>
                    <w:tl2br w:val="nil"/>
                    <w:tr2bl w:val="nil"/>
                  </w:tcBorders>
                  <w:noWrap w:val="0"/>
                  <w:vAlign w:val="center"/>
                </w:tcPr>
                <w:p w14:paraId="22AAEE20">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有力村散居农户</w:t>
                  </w:r>
                </w:p>
              </w:tc>
              <w:tc>
                <w:tcPr>
                  <w:tcW w:w="707" w:type="dxa"/>
                  <w:vMerge w:val="continue"/>
                  <w:tcBorders>
                    <w:tl2br w:val="nil"/>
                    <w:tr2bl w:val="nil"/>
                  </w:tcBorders>
                  <w:noWrap w:val="0"/>
                  <w:vAlign w:val="center"/>
                </w:tcPr>
                <w:p w14:paraId="54106903">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p>
              </w:tc>
              <w:tc>
                <w:tcPr>
                  <w:tcW w:w="1179" w:type="dxa"/>
                  <w:tcBorders>
                    <w:tl2br w:val="nil"/>
                    <w:tr2bl w:val="nil"/>
                  </w:tcBorders>
                  <w:noWrap w:val="0"/>
                  <w:vAlign w:val="center"/>
                </w:tcPr>
                <w:p w14:paraId="063C315D">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rPr>
                    <w:t>415</w:t>
                  </w:r>
                </w:p>
              </w:tc>
              <w:tc>
                <w:tcPr>
                  <w:tcW w:w="2345" w:type="dxa"/>
                  <w:tcBorders>
                    <w:tl2br w:val="nil"/>
                    <w:tr2bl w:val="nil"/>
                  </w:tcBorders>
                  <w:noWrap w:val="0"/>
                  <w:vAlign w:val="center"/>
                </w:tcPr>
                <w:p w14:paraId="3231B665">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jc w:val="center"/>
                    <w:textAlignment w:val="auto"/>
                    <w:rPr>
                      <w:rFonts w:hint="default" w:ascii="Times New Roman" w:hAnsi="Times New Roman" w:eastAsia="宋体" w:cs="Times New Roman"/>
                      <w:bCs/>
                      <w:sz w:val="21"/>
                      <w:szCs w:val="21"/>
                      <w:vertAlign w:val="baseline"/>
                    </w:rPr>
                  </w:pPr>
                  <w:r>
                    <w:rPr>
                      <w:rFonts w:hint="eastAsia" w:cs="Times New Roman"/>
                      <w:bCs/>
                      <w:sz w:val="21"/>
                      <w:szCs w:val="21"/>
                      <w:vertAlign w:val="baseline"/>
                      <w:lang w:val="en-US" w:eastAsia="zh-CN"/>
                    </w:rPr>
                    <w:t>14户，约42人</w:t>
                  </w:r>
                </w:p>
              </w:tc>
            </w:tr>
          </w:tbl>
          <w:p w14:paraId="0D142C1D">
            <w:pPr>
              <w:keepNext w:val="0"/>
              <w:keepLines w:val="0"/>
              <w:pageBreakBefore w:val="0"/>
              <w:kinsoku/>
              <w:wordWrap w:val="0"/>
              <w:overflowPunct/>
              <w:topLinePunct w:val="0"/>
              <w:autoSpaceDE w:val="0"/>
              <w:autoSpaceDN w:val="0"/>
              <w:bidi w:val="0"/>
              <w:adjustRightInd/>
              <w:snapToGrid/>
              <w:spacing w:line="240" w:lineRule="auto"/>
              <w:ind w:left="0" w:leftChars="0" w:right="0" w:rightChars="0" w:firstLine="420" w:firstLineChars="200"/>
              <w:jc w:val="center"/>
              <w:textAlignment w:val="auto"/>
              <w:rPr>
                <w:rFonts w:hint="eastAsia"/>
                <w:b w:val="0"/>
                <w:bCs/>
                <w:sz w:val="21"/>
                <w:szCs w:val="21"/>
                <w:highlight w:val="none"/>
                <w:lang w:val="en-US" w:eastAsia="zh-CN"/>
              </w:rPr>
            </w:pPr>
          </w:p>
          <w:p w14:paraId="7F4904B9">
            <w:pPr>
              <w:keepNext w:val="0"/>
              <w:keepLines w:val="0"/>
              <w:pageBreakBefore w:val="0"/>
              <w:kinsoku/>
              <w:wordWrap w:val="0"/>
              <w:overflowPunct/>
              <w:topLinePunct w:val="0"/>
              <w:autoSpaceDE w:val="0"/>
              <w:autoSpaceDN w:val="0"/>
              <w:bidi w:val="0"/>
              <w:adjustRightInd/>
              <w:snapToGrid/>
              <w:spacing w:line="360" w:lineRule="auto"/>
              <w:ind w:left="0" w:leftChars="0" w:right="0" w:rightChars="0" w:firstLine="482" w:firstLineChars="200"/>
              <w:textAlignment w:val="auto"/>
              <w:rPr>
                <w:rFonts w:hint="eastAsia"/>
                <w:b/>
                <w:bCs w:val="0"/>
                <w:sz w:val="24"/>
                <w:szCs w:val="28"/>
                <w:highlight w:val="none"/>
              </w:rPr>
            </w:pPr>
            <w:r>
              <w:rPr>
                <w:rFonts w:hint="eastAsia"/>
                <w:b/>
                <w:bCs w:val="0"/>
                <w:sz w:val="24"/>
                <w:szCs w:val="28"/>
                <w:highlight w:val="none"/>
                <w:lang w:val="en-US" w:eastAsia="zh-CN"/>
              </w:rPr>
              <w:t>10.2</w:t>
            </w:r>
            <w:r>
              <w:rPr>
                <w:rFonts w:hint="eastAsia"/>
                <w:b/>
                <w:bCs w:val="0"/>
                <w:sz w:val="24"/>
                <w:szCs w:val="28"/>
                <w:highlight w:val="none"/>
              </w:rPr>
              <w:t>本项目对外环境的影响</w:t>
            </w:r>
          </w:p>
          <w:p w14:paraId="7C4F5039">
            <w:pPr>
              <w:keepNext w:val="0"/>
              <w:keepLines w:val="0"/>
              <w:pageBreakBefore w:val="0"/>
              <w:kinsoku/>
              <w:wordWrap w:val="0"/>
              <w:overflowPunct/>
              <w:topLinePunct w:val="0"/>
              <w:autoSpaceDE w:val="0"/>
              <w:autoSpaceDN w:val="0"/>
              <w:bidi w:val="0"/>
              <w:adjustRightInd/>
              <w:snapToGrid/>
              <w:spacing w:line="360" w:lineRule="auto"/>
              <w:ind w:left="0" w:leftChars="0" w:right="0" w:rightChars="0" w:firstLine="480" w:firstLineChars="200"/>
              <w:textAlignment w:val="auto"/>
              <w:rPr>
                <w:rFonts w:hint="eastAsia"/>
                <w:bCs/>
                <w:sz w:val="24"/>
                <w:szCs w:val="28"/>
                <w:highlight w:val="none"/>
                <w:lang w:val="en-US" w:eastAsia="zh-CN"/>
              </w:rPr>
            </w:pPr>
            <w:r>
              <w:rPr>
                <w:rFonts w:hint="eastAsia"/>
                <w:bCs/>
                <w:sz w:val="24"/>
                <w:szCs w:val="28"/>
                <w:highlight w:val="none"/>
                <w:lang w:val="en-US" w:eastAsia="zh-CN"/>
              </w:rPr>
              <w:t>本项目周边企业以生产加工、研发、办公企业为主，项目周边散居农户距离本项目较远，且位于项目侧风向，本项目建成后，产生的污染物主要为生产噪声、废气、废水、固废。噪声通过采取隔声、减振、选用低噪声设备等措施可以实现达标；车辆清洗废水、实验设备清洗废水经隔油池+三级沉淀池沉淀后循环使用不外排；生活废水（含食堂废水）经隔油池+化粪池处理后用作农肥不外排；沥青搅拌、加热、卸料废气经喷淋+干式过滤+活性炭吸附脱附+催化燃烧装置处理后由22m排气筒排放，砂石骨料运输、烘干、提升、筛分粉尘及烘干系统天然气燃烧废气经高温布袋除尘器处理后由22m排气筒排放，再生料破碎筛分粉尘经布袋除尘器处理后由15m排气筒排放，导热油炉天然气燃烧废气经低氮燃烧装置处理后由13m排气筒排放，磨煤系统粉尘及热风炉天然气燃烧废气经高温布袋除尘器处理后由15m排气筒排放，粉料筒仓粉尘及煤粉成品储罐粉尘经筒仓自带除尘器处理后在车间呈无组织排放，食堂油烟经油烟净化器处理后引至屋顶排放，厂区内无组织粉尘经封闭厂房+喷雾降尘处理；固体废弃物合理处理与处置，不造成二次污染。在严格落实上述各项污染防治措施后，本项目的建设不会对周边项目形成制约。本项目在加强自身管理前提下，污染物经措施治理后可确保达标排放，不对周边环境敏感目标产生影响，对周围外环境产生影响不明显。</w:t>
            </w:r>
          </w:p>
          <w:p w14:paraId="154ADDB2">
            <w:pPr>
              <w:keepNext w:val="0"/>
              <w:keepLines w:val="0"/>
              <w:pageBreakBefore w:val="0"/>
              <w:kinsoku/>
              <w:wordWrap w:val="0"/>
              <w:overflowPunct/>
              <w:topLinePunct w:val="0"/>
              <w:autoSpaceDE w:val="0"/>
              <w:autoSpaceDN w:val="0"/>
              <w:bidi w:val="0"/>
              <w:adjustRightInd/>
              <w:snapToGrid/>
              <w:spacing w:line="360" w:lineRule="auto"/>
              <w:ind w:left="0" w:leftChars="0" w:right="0" w:rightChars="0" w:firstLine="482" w:firstLineChars="200"/>
              <w:textAlignment w:val="auto"/>
              <w:rPr>
                <w:rFonts w:hint="eastAsia"/>
                <w:b/>
                <w:bCs w:val="0"/>
                <w:sz w:val="24"/>
                <w:szCs w:val="28"/>
                <w:highlight w:val="none"/>
                <w:lang w:val="en-US" w:eastAsia="zh-CN"/>
              </w:rPr>
            </w:pPr>
            <w:r>
              <w:rPr>
                <w:rFonts w:hint="eastAsia"/>
                <w:b/>
                <w:bCs w:val="0"/>
                <w:sz w:val="24"/>
                <w:szCs w:val="28"/>
                <w:highlight w:val="none"/>
                <w:lang w:val="en-US" w:eastAsia="zh-CN"/>
              </w:rPr>
              <w:t>10.3外环境对本项目的影响</w:t>
            </w:r>
          </w:p>
          <w:p w14:paraId="284E56CB">
            <w:pPr>
              <w:keepNext w:val="0"/>
              <w:keepLines w:val="0"/>
              <w:pageBreakBefore w:val="0"/>
              <w:kinsoku/>
              <w:wordWrap w:val="0"/>
              <w:overflowPunct/>
              <w:topLinePunct w:val="0"/>
              <w:autoSpaceDE w:val="0"/>
              <w:autoSpaceDN w:val="0"/>
              <w:bidi w:val="0"/>
              <w:adjustRightInd/>
              <w:snapToGrid/>
              <w:spacing w:line="360" w:lineRule="auto"/>
              <w:ind w:left="0" w:leftChars="0" w:right="0" w:rightChars="0" w:firstLine="480" w:firstLineChars="200"/>
              <w:textAlignment w:val="auto"/>
              <w:rPr>
                <w:rFonts w:hint="eastAsia"/>
                <w:bCs/>
                <w:sz w:val="24"/>
                <w:szCs w:val="28"/>
                <w:highlight w:val="none"/>
                <w:lang w:val="en-US" w:eastAsia="zh-CN"/>
              </w:rPr>
            </w:pPr>
            <w:r>
              <w:rPr>
                <w:rFonts w:hint="eastAsia"/>
                <w:bCs/>
                <w:sz w:val="24"/>
                <w:szCs w:val="28"/>
                <w:highlight w:val="none"/>
                <w:lang w:val="en-US" w:eastAsia="zh-CN"/>
              </w:rPr>
              <w:t>本项目周围多为生产加工、研发、办公企业，本项目设置于现有厂区范围内，对本项目无不利影响；本项目厂区出入口紧邻园区道路，本项目物料交通运输便利；周边外环境对本项目影响较小。</w:t>
            </w:r>
          </w:p>
          <w:p w14:paraId="1BCF702A">
            <w:pPr>
              <w:keepNext w:val="0"/>
              <w:keepLines w:val="0"/>
              <w:pageBreakBefore w:val="0"/>
              <w:kinsoku/>
              <w:wordWrap w:val="0"/>
              <w:overflowPunct/>
              <w:topLinePunct w:val="0"/>
              <w:autoSpaceDE w:val="0"/>
              <w:autoSpaceDN w:val="0"/>
              <w:bidi w:val="0"/>
              <w:adjustRightInd/>
              <w:snapToGrid/>
              <w:spacing w:line="360" w:lineRule="auto"/>
              <w:ind w:left="0" w:leftChars="0" w:right="0" w:rightChars="0" w:firstLine="482" w:firstLineChars="200"/>
              <w:textAlignment w:val="auto"/>
              <w:rPr>
                <w:rFonts w:hint="eastAsia" w:eastAsia="宋体"/>
                <w:b/>
                <w:bCs w:val="0"/>
                <w:sz w:val="24"/>
                <w:szCs w:val="28"/>
                <w:highlight w:val="yellow"/>
                <w:lang w:eastAsia="zh-CN"/>
              </w:rPr>
            </w:pPr>
            <w:r>
              <w:rPr>
                <w:rFonts w:hint="eastAsia"/>
                <w:b/>
                <w:bCs w:val="0"/>
                <w:sz w:val="24"/>
                <w:szCs w:val="28"/>
                <w:highlight w:val="none"/>
                <w:lang w:val="en-US" w:eastAsia="zh-CN"/>
              </w:rPr>
              <w:t>10.4</w:t>
            </w:r>
            <w:r>
              <w:rPr>
                <w:rFonts w:hint="eastAsia"/>
                <w:b/>
                <w:bCs w:val="0"/>
                <w:sz w:val="24"/>
                <w:szCs w:val="28"/>
                <w:highlight w:val="none"/>
                <w:lang w:eastAsia="zh-CN"/>
              </w:rPr>
              <w:t>公辅设施</w:t>
            </w:r>
          </w:p>
          <w:p w14:paraId="6990BAA9">
            <w:pPr>
              <w:keepNext w:val="0"/>
              <w:keepLines w:val="0"/>
              <w:pageBreakBefore w:val="0"/>
              <w:kinsoku/>
              <w:wordWrap w:val="0"/>
              <w:overflowPunct/>
              <w:topLinePunct w:val="0"/>
              <w:autoSpaceDE w:val="0"/>
              <w:autoSpaceDN w:val="0"/>
              <w:bidi w:val="0"/>
              <w:adjustRightInd/>
              <w:snapToGrid/>
              <w:spacing w:line="360" w:lineRule="auto"/>
              <w:ind w:left="0" w:leftChars="0" w:right="0" w:rightChars="0" w:firstLine="480" w:firstLineChars="200"/>
              <w:textAlignment w:val="auto"/>
              <w:rPr>
                <w:rFonts w:hint="eastAsia" w:eastAsia="宋体"/>
                <w:bCs/>
                <w:sz w:val="24"/>
                <w:szCs w:val="28"/>
                <w:lang w:eastAsia="zh-CN"/>
              </w:rPr>
            </w:pPr>
            <w:r>
              <w:rPr>
                <w:rFonts w:hint="eastAsia"/>
                <w:bCs/>
                <w:sz w:val="24"/>
                <w:szCs w:val="28"/>
              </w:rPr>
              <w:t>根据《达州市通川区东岳新型工业聚集区规划环境影响报告书》</w:t>
            </w:r>
            <w:r>
              <w:rPr>
                <w:rFonts w:hint="eastAsia"/>
                <w:bCs/>
                <w:sz w:val="24"/>
                <w:szCs w:val="28"/>
                <w:lang w:val="en-US" w:eastAsia="zh-CN"/>
              </w:rPr>
              <w:t>评价</w:t>
            </w:r>
            <w:r>
              <w:rPr>
                <w:rFonts w:hint="eastAsia"/>
                <w:bCs/>
                <w:sz w:val="24"/>
                <w:szCs w:val="28"/>
              </w:rPr>
              <w:t>内容</w:t>
            </w:r>
            <w:r>
              <w:rPr>
                <w:rFonts w:hint="eastAsia"/>
                <w:bCs/>
                <w:sz w:val="24"/>
                <w:szCs w:val="28"/>
                <w:lang w:val="en-US" w:eastAsia="zh-CN"/>
              </w:rPr>
              <w:t>及现场调查</w:t>
            </w:r>
            <w:r>
              <w:rPr>
                <w:rFonts w:hint="eastAsia"/>
                <w:bCs/>
                <w:sz w:val="24"/>
                <w:szCs w:val="28"/>
              </w:rPr>
              <w:t>，</w:t>
            </w:r>
            <w:r>
              <w:rPr>
                <w:rFonts w:hint="eastAsia"/>
                <w:bCs/>
                <w:sz w:val="24"/>
                <w:szCs w:val="28"/>
                <w:lang w:val="en-US" w:eastAsia="zh-CN"/>
              </w:rPr>
              <w:t>项目所在</w:t>
            </w:r>
            <w:r>
              <w:rPr>
                <w:rFonts w:hint="eastAsia"/>
                <w:bCs/>
                <w:sz w:val="24"/>
                <w:szCs w:val="28"/>
              </w:rPr>
              <w:t>园区供水、供电</w:t>
            </w:r>
            <w:r>
              <w:rPr>
                <w:rFonts w:hint="eastAsia"/>
                <w:bCs/>
                <w:sz w:val="24"/>
                <w:szCs w:val="28"/>
                <w:lang w:eastAsia="zh-CN"/>
              </w:rPr>
              <w:t>、</w:t>
            </w:r>
            <w:r>
              <w:rPr>
                <w:rFonts w:hint="eastAsia"/>
                <w:bCs/>
                <w:sz w:val="24"/>
                <w:szCs w:val="28"/>
                <w:lang w:val="en-US" w:eastAsia="zh-CN"/>
              </w:rPr>
              <w:t>供气</w:t>
            </w:r>
            <w:r>
              <w:rPr>
                <w:rFonts w:hint="eastAsia"/>
                <w:bCs/>
                <w:sz w:val="24"/>
                <w:szCs w:val="28"/>
              </w:rPr>
              <w:t>条件已很成熟，同时，园区已建园区道路，满足原辅材料、成品车辆出行。园区公辅设施基本满足要求</w:t>
            </w:r>
            <w:r>
              <w:rPr>
                <w:rFonts w:hint="eastAsia"/>
                <w:bCs/>
                <w:sz w:val="24"/>
                <w:szCs w:val="28"/>
                <w:lang w:eastAsia="zh-CN"/>
              </w:rPr>
              <w:t>。</w:t>
            </w:r>
          </w:p>
          <w:p w14:paraId="0E73A344">
            <w:pPr>
              <w:keepNext w:val="0"/>
              <w:keepLines w:val="0"/>
              <w:pageBreakBefore w:val="0"/>
              <w:kinsoku/>
              <w:wordWrap w:val="0"/>
              <w:overflowPunct/>
              <w:topLinePunct w:val="0"/>
              <w:autoSpaceDE w:val="0"/>
              <w:autoSpaceDN w:val="0"/>
              <w:bidi w:val="0"/>
              <w:adjustRightInd/>
              <w:snapToGrid/>
              <w:spacing w:line="360" w:lineRule="auto"/>
              <w:ind w:left="0" w:leftChars="0" w:right="0" w:rightChars="0" w:firstLine="480" w:firstLineChars="200"/>
              <w:textAlignment w:val="auto"/>
              <w:rPr>
                <w:rFonts w:ascii="Times New Roman" w:hAnsi="Times New Roman" w:eastAsia="黑体"/>
                <w:snapToGrid w:val="0"/>
                <w:color w:val="auto"/>
                <w:sz w:val="30"/>
                <w:szCs w:val="30"/>
                <w:highlight w:val="none"/>
              </w:rPr>
            </w:pPr>
            <w:r>
              <w:rPr>
                <w:rFonts w:hint="eastAsia"/>
                <w:bCs/>
                <w:sz w:val="24"/>
                <w:szCs w:val="28"/>
              </w:rPr>
              <w:t>综上所述，本项目选址符合规划，无明显环境制约因素，公辅设施基本满足要求，交通便捷，项目建成后对区域环境质量影响可接受，且项目所在地不涉及生态保护区、自然保护区、风景名胜区等环境敏感区，本项目从环保角度选址可行。</w:t>
            </w:r>
          </w:p>
        </w:tc>
      </w:tr>
    </w:tbl>
    <w:p w14:paraId="6D38FCDF">
      <w:pPr>
        <w:pStyle w:val="22"/>
        <w:wordWrap w:val="0"/>
        <w:spacing w:before="0" w:beforeAutospacing="0" w:after="0" w:afterAutospacing="0"/>
        <w:jc w:val="both"/>
        <w:outlineLvl w:val="0"/>
        <w:rPr>
          <w:rFonts w:ascii="Times New Roman" w:hAnsi="Times New Roman" w:eastAsia="黑体"/>
          <w:snapToGrid w:val="0"/>
          <w:sz w:val="30"/>
          <w:szCs w:val="30"/>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5B5745E">
      <w:pPr>
        <w:pStyle w:val="22"/>
        <w:wordWrap w:val="0"/>
        <w:spacing w:before="0" w:beforeAutospacing="0" w:after="0" w:afterAutospacing="0"/>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二、建设项目工程分析</w:t>
      </w:r>
    </w:p>
    <w:tbl>
      <w:tblPr>
        <w:tblStyle w:val="26"/>
        <w:tblW w:w="890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 w:type="dxa"/>
          <w:bottom w:w="0" w:type="dxa"/>
          <w:right w:w="1" w:type="dxa"/>
        </w:tblCellMar>
      </w:tblPr>
      <w:tblGrid>
        <w:gridCol w:w="764"/>
        <w:gridCol w:w="8141"/>
      </w:tblGrid>
      <w:tr w14:paraId="4BEC9C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 w:type="dxa"/>
            <w:bottom w:w="0" w:type="dxa"/>
            <w:right w:w="1" w:type="dxa"/>
          </w:tblCellMar>
        </w:tblPrEx>
        <w:trPr>
          <w:trHeight w:val="1093" w:hRule="atLeast"/>
          <w:jc w:val="center"/>
        </w:trPr>
        <w:tc>
          <w:tcPr>
            <w:tcW w:w="764" w:type="dxa"/>
            <w:noWrap w:val="0"/>
            <w:vAlign w:val="center"/>
          </w:tcPr>
          <w:p w14:paraId="6F1054F0">
            <w:pPr>
              <w:pStyle w:val="22"/>
              <w:wordWrap w:val="0"/>
              <w:spacing w:before="0" w:beforeAutospacing="0" w:after="0" w:afterAutospacing="0"/>
              <w:jc w:val="center"/>
              <w:outlineLvl w:val="0"/>
              <w:rPr>
                <w:rFonts w:cs="Times New Roman"/>
                <w:b/>
                <w:lang w:val="en-US" w:eastAsia="zh-CN" w:bidi="ar-SA"/>
              </w:rPr>
            </w:pPr>
            <w:r>
              <w:rPr>
                <w:rFonts w:ascii="Times New Roman" w:hAnsi="Times New Roman" w:cs="Times New Roman"/>
                <w:b/>
                <w:lang w:val="en-US" w:eastAsia="zh-CN" w:bidi="ar-SA"/>
              </w:rPr>
              <w:t>建设内容</w:t>
            </w:r>
          </w:p>
        </w:tc>
        <w:tc>
          <w:tcPr>
            <w:tcW w:w="8141" w:type="dxa"/>
            <w:tcBorders>
              <w:bottom w:val="single" w:color="auto" w:sz="2" w:space="0"/>
            </w:tcBorders>
            <w:noWrap w:val="0"/>
            <w:vAlign w:val="top"/>
          </w:tcPr>
          <w:p w14:paraId="6B931F1E">
            <w:pPr>
              <w:wordWrap w:val="0"/>
              <w:autoSpaceDE w:val="0"/>
              <w:autoSpaceDN w:val="0"/>
              <w:spacing w:line="360" w:lineRule="auto"/>
              <w:ind w:left="42" w:leftChars="20" w:right="42" w:rightChars="20" w:firstLine="482" w:firstLineChars="200"/>
              <w:rPr>
                <w:rFonts w:hint="eastAsia"/>
                <w:bCs/>
                <w:sz w:val="24"/>
                <w:highlight w:val="none"/>
              </w:rPr>
            </w:pPr>
            <w:r>
              <w:rPr>
                <w:rFonts w:hint="eastAsia"/>
                <w:b/>
                <w:sz w:val="24"/>
                <w:szCs w:val="28"/>
                <w:highlight w:val="none"/>
              </w:rPr>
              <w:t>1</w:t>
            </w:r>
            <w:r>
              <w:rPr>
                <w:b/>
                <w:sz w:val="24"/>
                <w:szCs w:val="28"/>
                <w:highlight w:val="none"/>
              </w:rPr>
              <w:t>、项目</w:t>
            </w:r>
            <w:r>
              <w:rPr>
                <w:rFonts w:hint="eastAsia"/>
                <w:b/>
                <w:sz w:val="24"/>
                <w:szCs w:val="28"/>
                <w:highlight w:val="none"/>
              </w:rPr>
              <w:t>由来</w:t>
            </w:r>
          </w:p>
          <w:p w14:paraId="58F5D610">
            <w:pPr>
              <w:wordWrap w:val="0"/>
              <w:spacing w:line="360" w:lineRule="auto"/>
              <w:ind w:left="42" w:leftChars="20" w:right="42" w:rightChars="20" w:firstLine="480" w:firstLineChars="200"/>
              <w:rPr>
                <w:rFonts w:hint="eastAsia"/>
                <w:bCs/>
                <w:sz w:val="24"/>
                <w:lang w:val="en-US" w:eastAsia="zh-CN"/>
              </w:rPr>
            </w:pPr>
            <w:r>
              <w:rPr>
                <w:rFonts w:hint="eastAsia"/>
                <w:bCs/>
                <w:sz w:val="24"/>
                <w:lang w:val="en-US" w:eastAsia="zh-CN"/>
              </w:rPr>
              <w:t>四川省达州市瑞欣路面材料有限责任公司</w:t>
            </w:r>
            <w:r>
              <w:rPr>
                <w:rFonts w:hint="eastAsia"/>
                <w:bCs/>
                <w:sz w:val="24"/>
              </w:rPr>
              <w:t>成立于</w:t>
            </w:r>
            <w:r>
              <w:rPr>
                <w:rFonts w:hint="eastAsia"/>
                <w:bCs/>
                <w:sz w:val="24"/>
                <w:lang w:val="en-US" w:eastAsia="zh-CN"/>
              </w:rPr>
              <w:t>2020</w:t>
            </w:r>
            <w:r>
              <w:rPr>
                <w:rFonts w:hint="eastAsia"/>
                <w:bCs/>
                <w:sz w:val="24"/>
              </w:rPr>
              <w:t>年</w:t>
            </w:r>
            <w:r>
              <w:rPr>
                <w:rFonts w:hint="eastAsia"/>
                <w:bCs/>
                <w:sz w:val="24"/>
                <w:lang w:val="en-US" w:eastAsia="zh-CN"/>
              </w:rPr>
              <w:t>12</w:t>
            </w:r>
            <w:r>
              <w:rPr>
                <w:rFonts w:hint="eastAsia"/>
                <w:bCs/>
                <w:sz w:val="24"/>
              </w:rPr>
              <w:t>月</w:t>
            </w:r>
            <w:r>
              <w:rPr>
                <w:rFonts w:hint="eastAsia"/>
                <w:bCs/>
                <w:sz w:val="24"/>
                <w:lang w:val="en-US" w:eastAsia="zh-CN"/>
              </w:rPr>
              <w:t>8</w:t>
            </w:r>
            <w:r>
              <w:rPr>
                <w:rFonts w:hint="eastAsia"/>
                <w:bCs/>
                <w:sz w:val="24"/>
              </w:rPr>
              <w:t>日，</w:t>
            </w:r>
            <w:r>
              <w:rPr>
                <w:rFonts w:hint="eastAsia"/>
                <w:bCs/>
                <w:sz w:val="24"/>
                <w:lang w:val="en-US" w:eastAsia="zh-CN"/>
              </w:rPr>
              <w:t>主要经营范围：新型建筑材料制造（不含危险化学品），非金属矿及制品销售，新材料技术推广服务，建筑材料销售，建筑工程机械与设备租赁，工程管理服务，水泥制品制造，再生资源销售，资源再生利用技术研发，再生资源工。（除依法须经批准的项目外，凭营业执照依法自主开展经营活动）</w:t>
            </w:r>
          </w:p>
          <w:p w14:paraId="2233B091">
            <w:pPr>
              <w:spacing w:line="360" w:lineRule="auto"/>
              <w:ind w:firstLine="480" w:firstLineChars="200"/>
              <w:rPr>
                <w:bCs/>
                <w:sz w:val="24"/>
              </w:rPr>
            </w:pPr>
            <w:r>
              <w:rPr>
                <w:rFonts w:hint="eastAsia"/>
                <w:bCs/>
                <w:sz w:val="24"/>
              </w:rPr>
              <w:t>20</w:t>
            </w:r>
            <w:r>
              <w:rPr>
                <w:rFonts w:hint="eastAsia"/>
                <w:bCs/>
                <w:sz w:val="24"/>
                <w:lang w:val="en-US" w:eastAsia="zh-CN"/>
              </w:rPr>
              <w:t>21</w:t>
            </w:r>
            <w:r>
              <w:rPr>
                <w:rFonts w:hint="eastAsia"/>
                <w:bCs/>
                <w:sz w:val="24"/>
              </w:rPr>
              <w:t>年</w:t>
            </w:r>
            <w:r>
              <w:rPr>
                <w:rFonts w:hint="eastAsia"/>
                <w:bCs/>
                <w:sz w:val="24"/>
                <w:lang w:val="en-US" w:eastAsia="zh-CN"/>
              </w:rPr>
              <w:t>7</w:t>
            </w:r>
            <w:r>
              <w:rPr>
                <w:rFonts w:hint="eastAsia"/>
                <w:bCs/>
                <w:sz w:val="24"/>
              </w:rPr>
              <w:t>月，四川省达州市瑞欣路面材料有限责任公司委托</w:t>
            </w:r>
            <w:r>
              <w:rPr>
                <w:rFonts w:hint="eastAsia"/>
                <w:bCs/>
                <w:sz w:val="24"/>
                <w:lang w:val="en-US" w:eastAsia="zh-CN"/>
              </w:rPr>
              <w:t>四川仁欣环境咨询工程有限公司</w:t>
            </w:r>
            <w:r>
              <w:rPr>
                <w:rFonts w:hint="eastAsia"/>
                <w:bCs/>
                <w:sz w:val="24"/>
              </w:rPr>
              <w:t>编制完成了《</w:t>
            </w:r>
            <w:r>
              <w:rPr>
                <w:rFonts w:hint="eastAsia"/>
                <w:bCs/>
                <w:sz w:val="24"/>
                <w:lang w:val="en-US" w:eastAsia="zh-CN"/>
              </w:rPr>
              <w:t>环保节能沥青混凝土生产项目</w:t>
            </w:r>
            <w:r>
              <w:rPr>
                <w:rFonts w:hint="eastAsia"/>
                <w:bCs/>
                <w:sz w:val="24"/>
              </w:rPr>
              <w:t>环境影响报告表》，并于20</w:t>
            </w:r>
            <w:r>
              <w:rPr>
                <w:rFonts w:hint="eastAsia"/>
                <w:bCs/>
                <w:sz w:val="24"/>
                <w:lang w:val="en-US" w:eastAsia="zh-CN"/>
              </w:rPr>
              <w:t>22</w:t>
            </w:r>
            <w:r>
              <w:rPr>
                <w:rFonts w:hint="eastAsia"/>
                <w:bCs/>
                <w:sz w:val="24"/>
              </w:rPr>
              <w:t>年</w:t>
            </w:r>
            <w:r>
              <w:rPr>
                <w:rFonts w:hint="eastAsia"/>
                <w:bCs/>
                <w:sz w:val="24"/>
                <w:lang w:val="en-US" w:eastAsia="zh-CN"/>
              </w:rPr>
              <w:t>4</w:t>
            </w:r>
            <w:r>
              <w:rPr>
                <w:rFonts w:hint="eastAsia"/>
                <w:bCs/>
                <w:sz w:val="24"/>
              </w:rPr>
              <w:t>月</w:t>
            </w:r>
            <w:r>
              <w:rPr>
                <w:rFonts w:hint="eastAsia"/>
                <w:bCs/>
                <w:sz w:val="24"/>
                <w:lang w:val="en-US" w:eastAsia="zh-CN"/>
              </w:rPr>
              <w:t>7</w:t>
            </w:r>
            <w:r>
              <w:rPr>
                <w:rFonts w:hint="eastAsia"/>
                <w:bCs/>
                <w:sz w:val="24"/>
              </w:rPr>
              <w:t>日取得了</w:t>
            </w:r>
            <w:r>
              <w:rPr>
                <w:rFonts w:hint="eastAsia"/>
                <w:bCs/>
                <w:sz w:val="24"/>
                <w:lang w:val="en-US" w:eastAsia="zh-CN"/>
              </w:rPr>
              <w:t>达州市通川</w:t>
            </w:r>
            <w:r>
              <w:rPr>
                <w:rFonts w:hint="eastAsia"/>
                <w:bCs/>
                <w:sz w:val="24"/>
              </w:rPr>
              <w:t>生态环境局下发的关于《环保节能沥青混凝土生产项目环境影响报告表的批复》（</w:t>
            </w:r>
            <w:r>
              <w:rPr>
                <w:rFonts w:hint="eastAsia"/>
                <w:bCs/>
                <w:sz w:val="24"/>
                <w:lang w:val="en-US" w:eastAsia="zh-CN"/>
              </w:rPr>
              <w:t>通环审批【2022】08号</w:t>
            </w:r>
            <w:r>
              <w:rPr>
                <w:rFonts w:hint="eastAsia"/>
                <w:bCs/>
                <w:sz w:val="24"/>
              </w:rPr>
              <w:t>）。</w:t>
            </w:r>
          </w:p>
          <w:p w14:paraId="66B78D91">
            <w:pPr>
              <w:spacing w:line="360" w:lineRule="auto"/>
              <w:ind w:firstLine="480" w:firstLineChars="200"/>
              <w:rPr>
                <w:rFonts w:hint="eastAsia"/>
                <w:bCs/>
                <w:sz w:val="24"/>
              </w:rPr>
            </w:pPr>
            <w:r>
              <w:rPr>
                <w:rFonts w:hint="eastAsia"/>
                <w:bCs/>
                <w:sz w:val="24"/>
              </w:rPr>
              <w:t>20</w:t>
            </w:r>
            <w:r>
              <w:rPr>
                <w:rFonts w:hint="eastAsia"/>
                <w:bCs/>
                <w:sz w:val="24"/>
                <w:lang w:val="en-US" w:eastAsia="zh-CN"/>
              </w:rPr>
              <w:t>22</w:t>
            </w:r>
            <w:r>
              <w:rPr>
                <w:rFonts w:hint="eastAsia"/>
                <w:bCs/>
                <w:sz w:val="24"/>
              </w:rPr>
              <w:t>年</w:t>
            </w:r>
            <w:r>
              <w:rPr>
                <w:rFonts w:hint="eastAsia"/>
                <w:bCs/>
                <w:sz w:val="24"/>
                <w:lang w:val="en-US" w:eastAsia="zh-CN"/>
              </w:rPr>
              <w:t>9</w:t>
            </w:r>
            <w:r>
              <w:rPr>
                <w:rFonts w:hint="eastAsia"/>
                <w:bCs/>
                <w:sz w:val="24"/>
              </w:rPr>
              <w:t>月</w:t>
            </w:r>
            <w:r>
              <w:rPr>
                <w:rFonts w:hint="eastAsia"/>
                <w:bCs/>
                <w:sz w:val="24"/>
                <w:lang w:val="en-US" w:eastAsia="zh-CN"/>
              </w:rPr>
              <w:t>18</w:t>
            </w:r>
            <w:r>
              <w:rPr>
                <w:rFonts w:hint="eastAsia"/>
                <w:bCs/>
                <w:sz w:val="24"/>
              </w:rPr>
              <w:t>日，四川省达州市瑞欣路面材料有限责任公司组织进行了环保节能沥青混凝土生产项目（以下简称“原项目”）竣工环境保护验收并验收通过</w:t>
            </w:r>
            <w:r>
              <w:rPr>
                <w:rFonts w:hint="eastAsia"/>
                <w:bCs/>
                <w:sz w:val="24"/>
                <w:lang w:eastAsia="zh-CN"/>
              </w:rPr>
              <w:t>（</w:t>
            </w:r>
            <w:r>
              <w:rPr>
                <w:rFonts w:hint="eastAsia"/>
                <w:bCs/>
                <w:sz w:val="24"/>
                <w:lang w:val="en-US" w:eastAsia="zh-CN"/>
              </w:rPr>
              <w:t>验收意见详见附件</w:t>
            </w:r>
            <w:r>
              <w:rPr>
                <w:rFonts w:hint="eastAsia"/>
                <w:bCs/>
                <w:sz w:val="24"/>
                <w:lang w:eastAsia="zh-CN"/>
              </w:rPr>
              <w:t>）</w:t>
            </w:r>
            <w:r>
              <w:rPr>
                <w:rFonts w:hint="eastAsia"/>
                <w:bCs/>
                <w:sz w:val="24"/>
              </w:rPr>
              <w:t>，</w:t>
            </w:r>
            <w:r>
              <w:rPr>
                <w:rFonts w:hint="eastAsia"/>
                <w:b/>
                <w:sz w:val="24"/>
              </w:rPr>
              <w:t>原项目正常生产情况下可达到年生产</w:t>
            </w:r>
            <w:r>
              <w:rPr>
                <w:rFonts w:hint="eastAsia"/>
                <w:b/>
                <w:sz w:val="24"/>
                <w:lang w:val="en-US" w:eastAsia="zh-CN"/>
              </w:rPr>
              <w:t>普通混凝土20万吨/a</w:t>
            </w:r>
            <w:r>
              <w:rPr>
                <w:rFonts w:hint="eastAsia"/>
                <w:b/>
                <w:sz w:val="24"/>
              </w:rPr>
              <w:t>的生产能力</w:t>
            </w:r>
            <w:r>
              <w:rPr>
                <w:rFonts w:hint="eastAsia"/>
                <w:bCs/>
                <w:sz w:val="24"/>
              </w:rPr>
              <w:t>。</w:t>
            </w:r>
          </w:p>
          <w:p w14:paraId="239A9112">
            <w:pPr>
              <w:spacing w:line="360" w:lineRule="auto"/>
              <w:ind w:firstLine="482" w:firstLineChars="200"/>
              <w:rPr>
                <w:rFonts w:hint="default" w:eastAsia="宋体"/>
                <w:bCs/>
                <w:sz w:val="24"/>
                <w:lang w:val="en-US" w:eastAsia="zh-CN"/>
              </w:rPr>
            </w:pPr>
            <w:r>
              <w:rPr>
                <w:rFonts w:hint="eastAsia"/>
                <w:b/>
                <w:bCs w:val="0"/>
                <w:sz w:val="24"/>
                <w:lang w:val="en-US" w:eastAsia="zh-CN"/>
              </w:rPr>
              <w:t>备注：根据现场与建设单位核实，原项目已评价的年产15万吨水泥稳定土、150万吨碎石、砂生产线不再实施，年产10万吨热再生沥青混凝土生产线在本次改扩建过程同步实施。</w:t>
            </w:r>
          </w:p>
          <w:p w14:paraId="329014FC">
            <w:pPr>
              <w:wordWrap w:val="0"/>
              <w:spacing w:line="360" w:lineRule="auto"/>
              <w:ind w:left="42" w:leftChars="20" w:right="42" w:rightChars="20" w:firstLine="480" w:firstLineChars="200"/>
              <w:rPr>
                <w:rFonts w:hint="eastAsia"/>
                <w:bCs/>
                <w:sz w:val="24"/>
              </w:rPr>
            </w:pPr>
            <w:r>
              <w:rPr>
                <w:rFonts w:hint="eastAsia"/>
                <w:bCs/>
                <w:sz w:val="24"/>
                <w:lang w:val="en-US" w:eastAsia="zh-CN"/>
              </w:rPr>
              <w:t>煤粉作为燃料被广泛应用于各类化工和冶金企业中，主要用于燃烧加热和蒸汽发生等工艺，与传统的燃料相比，煤粉具有能量含量高、污染低等优势，同时煤粉可以用作多种生产工艺的原料，例如在水泥生产中，使用煤粉比使用石灰石和粘土更节约成本，煤粉还可以用于制造粘土和火砖等。随着社会经济不断发展，煤粉市场需求份额逐渐增大，‌‌为满足煤粉市场日益增长的供需要求及公司发展需要，四川省达州市瑞欣路面材料有限责任公司拟投资8000万元，在原项目基础上进行改扩建，新增1条年产10万吨煤粉生产线，新增1条年产6000吨乳化沥青生产线，对原项目普通沥青混凝土生产设备进行更新换代，增加普通沥青混凝土10万t/a的产能，</w:t>
            </w:r>
            <w:r>
              <w:rPr>
                <w:rFonts w:hint="eastAsia"/>
                <w:bCs/>
                <w:sz w:val="24"/>
              </w:rPr>
              <w:t>建设四川省达州市瑞欣路面材料有限责任公司2025年环保节能沥青混凝土生产技改扩能项目（以下简称“本项目”或“项目”），</w:t>
            </w:r>
            <w:r>
              <w:rPr>
                <w:rFonts w:hint="eastAsia"/>
                <w:bCs/>
                <w:sz w:val="24"/>
                <w:lang w:val="en-US" w:eastAsia="zh-CN"/>
              </w:rPr>
              <w:t>本次扩建后全厂可形成</w:t>
            </w:r>
            <w:r>
              <w:rPr>
                <w:rFonts w:hint="eastAsia"/>
                <w:b w:val="0"/>
                <w:bCs/>
                <w:sz w:val="24"/>
              </w:rPr>
              <w:t>生产</w:t>
            </w:r>
            <w:r>
              <w:rPr>
                <w:rFonts w:hint="eastAsia"/>
                <w:b w:val="0"/>
                <w:bCs/>
                <w:sz w:val="24"/>
                <w:lang w:val="en-US" w:eastAsia="zh-CN"/>
              </w:rPr>
              <w:t>普通沥青混凝土30万t</w:t>
            </w:r>
            <w:r>
              <w:rPr>
                <w:rFonts w:hint="eastAsia"/>
                <w:b w:val="0"/>
                <w:bCs/>
                <w:sz w:val="24"/>
              </w:rPr>
              <w:t>/a、</w:t>
            </w:r>
            <w:r>
              <w:rPr>
                <w:rFonts w:hint="eastAsia"/>
                <w:b w:val="0"/>
                <w:bCs/>
                <w:sz w:val="24"/>
                <w:lang w:val="en-US" w:eastAsia="zh-CN"/>
              </w:rPr>
              <w:t>热再生沥青混凝土10万t</w:t>
            </w:r>
            <w:r>
              <w:rPr>
                <w:rFonts w:hint="eastAsia"/>
                <w:b w:val="0"/>
                <w:bCs/>
                <w:sz w:val="24"/>
              </w:rPr>
              <w:t>/a、</w:t>
            </w:r>
            <w:r>
              <w:rPr>
                <w:rFonts w:hint="eastAsia"/>
                <w:b w:val="0"/>
                <w:bCs/>
                <w:sz w:val="24"/>
                <w:lang w:val="en-US" w:eastAsia="zh-CN"/>
              </w:rPr>
              <w:t>乳化沥青6000t</w:t>
            </w:r>
            <w:r>
              <w:rPr>
                <w:rFonts w:hint="eastAsia"/>
                <w:b w:val="0"/>
                <w:bCs/>
                <w:sz w:val="24"/>
              </w:rPr>
              <w:t>/a、</w:t>
            </w:r>
            <w:r>
              <w:rPr>
                <w:rFonts w:hint="eastAsia"/>
                <w:b w:val="0"/>
                <w:bCs/>
                <w:sz w:val="24"/>
                <w:lang w:val="en-US" w:eastAsia="zh-CN"/>
              </w:rPr>
              <w:t>煤粉10万t/a</w:t>
            </w:r>
            <w:r>
              <w:rPr>
                <w:rFonts w:hint="eastAsia"/>
                <w:b w:val="0"/>
                <w:bCs/>
                <w:sz w:val="24"/>
              </w:rPr>
              <w:t>的生产能力</w:t>
            </w:r>
            <w:r>
              <w:rPr>
                <w:rFonts w:hint="eastAsia"/>
                <w:bCs/>
                <w:sz w:val="24"/>
              </w:rPr>
              <w:t>，</w:t>
            </w:r>
            <w:r>
              <w:rPr>
                <w:rFonts w:hint="eastAsia"/>
                <w:bCs/>
                <w:sz w:val="24"/>
                <w:highlight w:val="none"/>
              </w:rPr>
              <w:t>该项目于202</w:t>
            </w:r>
            <w:r>
              <w:rPr>
                <w:rFonts w:hint="eastAsia"/>
                <w:bCs/>
                <w:sz w:val="24"/>
                <w:highlight w:val="none"/>
                <w:lang w:val="en-US" w:eastAsia="zh-CN"/>
              </w:rPr>
              <w:t>5</w:t>
            </w:r>
            <w:r>
              <w:rPr>
                <w:rFonts w:hint="eastAsia"/>
                <w:bCs/>
                <w:sz w:val="24"/>
                <w:highlight w:val="none"/>
              </w:rPr>
              <w:t>年</w:t>
            </w:r>
            <w:r>
              <w:rPr>
                <w:rFonts w:hint="eastAsia"/>
                <w:bCs/>
                <w:sz w:val="24"/>
                <w:highlight w:val="none"/>
                <w:lang w:val="en-US" w:eastAsia="zh-CN"/>
              </w:rPr>
              <w:t>4</w:t>
            </w:r>
            <w:r>
              <w:rPr>
                <w:rFonts w:hint="eastAsia"/>
                <w:bCs/>
                <w:sz w:val="24"/>
                <w:highlight w:val="none"/>
              </w:rPr>
              <w:t>月</w:t>
            </w:r>
            <w:r>
              <w:rPr>
                <w:rFonts w:hint="eastAsia"/>
                <w:bCs/>
                <w:sz w:val="24"/>
                <w:highlight w:val="none"/>
                <w:lang w:val="en-US" w:eastAsia="zh-CN"/>
              </w:rPr>
              <w:t>2</w:t>
            </w:r>
            <w:r>
              <w:rPr>
                <w:rFonts w:hint="eastAsia"/>
                <w:bCs/>
                <w:sz w:val="24"/>
                <w:highlight w:val="none"/>
              </w:rPr>
              <w:t>日取得备案，备案号：川投资备【2504-511702-07-02-139290】JXQB-0206号。</w:t>
            </w:r>
          </w:p>
          <w:p w14:paraId="4500369A">
            <w:pPr>
              <w:wordWrap w:val="0"/>
              <w:spacing w:line="360" w:lineRule="auto"/>
              <w:ind w:left="42" w:leftChars="20" w:right="42" w:rightChars="20" w:firstLine="480" w:firstLineChars="200"/>
              <w:rPr>
                <w:rFonts w:hint="eastAsia"/>
                <w:sz w:val="24"/>
              </w:rPr>
            </w:pPr>
            <w:r>
              <w:rPr>
                <w:rFonts w:hint="eastAsia"/>
                <w:sz w:val="24"/>
              </w:rPr>
              <w:t>根据《中华人民共和国环境保护法》《中华人民共和国环境影响评价法》以及国务院令第682号《建设项目环境保护管理条例》的相关内容，依照建设项目环境影响评价制度，为了加强建设项目环境保护管理条例，严格控制新的污染，保护和改善环境，项目建设前必须进行环境影响评价。根据</w:t>
            </w:r>
            <w:r>
              <w:rPr>
                <w:rFonts w:hint="eastAsia"/>
                <w:sz w:val="24"/>
                <w:lang w:eastAsia="zh-CN"/>
              </w:rPr>
              <w:t>生态环境部</w:t>
            </w:r>
            <w:r>
              <w:rPr>
                <w:rFonts w:hint="eastAsia"/>
                <w:sz w:val="24"/>
              </w:rPr>
              <w:t>第16号令《建设项目环境影响评价分类管理名录（2021年版）》规定（具体分析见下表2-1），本项目应编制环境影响报告表。</w:t>
            </w:r>
          </w:p>
          <w:p w14:paraId="3E7ED5F1">
            <w:pPr>
              <w:wordWrap w:val="0"/>
              <w:spacing w:line="360" w:lineRule="auto"/>
              <w:ind w:left="42" w:leftChars="20" w:right="42" w:rightChars="20" w:firstLine="480" w:firstLineChars="200"/>
              <w:rPr>
                <w:sz w:val="24"/>
              </w:rPr>
            </w:pPr>
            <w:r>
              <w:rPr>
                <w:sz w:val="24"/>
              </w:rPr>
              <w:t>为此，</w:t>
            </w:r>
            <w:r>
              <w:rPr>
                <w:rFonts w:hint="eastAsia"/>
                <w:sz w:val="24"/>
              </w:rPr>
              <w:t>四川省达州市瑞欣路面材料有限责任公司</w:t>
            </w:r>
            <w:r>
              <w:rPr>
                <w:sz w:val="24"/>
              </w:rPr>
              <w:t>委托</w:t>
            </w:r>
            <w:r>
              <w:rPr>
                <w:rFonts w:hint="eastAsia"/>
                <w:sz w:val="24"/>
                <w:lang w:val="en-US" w:eastAsia="zh-CN"/>
              </w:rPr>
              <w:t>我</w:t>
            </w:r>
            <w:r>
              <w:rPr>
                <w:rFonts w:hint="eastAsia"/>
                <w:sz w:val="24"/>
              </w:rPr>
              <w:t>公司</w:t>
            </w:r>
            <w:r>
              <w:rPr>
                <w:sz w:val="24"/>
              </w:rPr>
              <w:t>编制本项目环境影响报告表。在接受委托后，我公司即派工程技术人员进行了现场踏勘、资料收集。并根据收集的资料、相关法律法规和技术规范，</w:t>
            </w:r>
            <w:r>
              <w:rPr>
                <w:rFonts w:hint="eastAsia"/>
                <w:sz w:val="24"/>
                <w:lang w:val="en-US" w:eastAsia="zh-CN"/>
              </w:rPr>
              <w:t>对四川省达州市瑞欣路面材料有限责任公司2025年环保节能沥青混凝土生产技改扩能项目所有建设内容进行评价，</w:t>
            </w:r>
            <w:r>
              <w:rPr>
                <w:sz w:val="24"/>
              </w:rPr>
              <w:t>编制完成了《</w:t>
            </w:r>
            <w:r>
              <w:rPr>
                <w:rFonts w:hint="eastAsia"/>
                <w:sz w:val="24"/>
              </w:rPr>
              <w:t>四川省达州市瑞欣路面材料有限责任公司2025年环保节能沥青混凝土生产技改扩能项目</w:t>
            </w:r>
            <w:r>
              <w:rPr>
                <w:sz w:val="24"/>
              </w:rPr>
              <w:t>环境影响报告表》，为环境保护行政主管部门的环保决策、环境监管以及项目环境管理提供依据。</w:t>
            </w:r>
          </w:p>
          <w:p w14:paraId="5CBC09ED">
            <w:pPr>
              <w:numPr>
                <w:ilvl w:val="0"/>
                <w:numId w:val="4"/>
              </w:numPr>
              <w:tabs>
                <w:tab w:val="left" w:pos="0"/>
              </w:tabs>
              <w:jc w:val="center"/>
              <w:rPr>
                <w:rFonts w:hint="eastAsia"/>
                <w:b/>
                <w:szCs w:val="21"/>
              </w:rPr>
            </w:pPr>
            <w:r>
              <w:rPr>
                <w:rFonts w:hint="eastAsia"/>
                <w:b/>
                <w:szCs w:val="21"/>
              </w:rPr>
              <w:t>环境影响评价报告类型分析表</w:t>
            </w:r>
          </w:p>
          <w:tbl>
            <w:tblPr>
              <w:tblStyle w:val="26"/>
              <w:tblW w:w="7998"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2326"/>
              <w:gridCol w:w="1823"/>
              <w:gridCol w:w="1998"/>
              <w:gridCol w:w="785"/>
              <w:gridCol w:w="1066"/>
            </w:tblGrid>
            <w:tr w14:paraId="6553005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90" w:hRule="atLeast"/>
                <w:jc w:val="center"/>
              </w:trPr>
              <w:tc>
                <w:tcPr>
                  <w:tcW w:w="2326" w:type="dxa"/>
                  <w:noWrap w:val="0"/>
                  <w:tcMar>
                    <w:top w:w="15" w:type="dxa"/>
                    <w:left w:w="15" w:type="dxa"/>
                    <w:bottom w:w="0" w:type="dxa"/>
                    <w:right w:w="15" w:type="dxa"/>
                  </w:tcMar>
                  <w:vAlign w:val="center"/>
                </w:tcPr>
                <w:p w14:paraId="2F5F65ED">
                  <w:pPr>
                    <w:spacing w:line="240" w:lineRule="exact"/>
                    <w:jc w:val="center"/>
                    <w:rPr>
                      <w:b/>
                      <w:szCs w:val="21"/>
                    </w:rPr>
                  </w:pPr>
                  <w:r>
                    <w:rPr>
                      <w:b/>
                      <w:szCs w:val="21"/>
                    </w:rPr>
                    <w:t>项目</w:t>
                  </w:r>
                </w:p>
              </w:tc>
              <w:tc>
                <w:tcPr>
                  <w:tcW w:w="1823" w:type="dxa"/>
                  <w:noWrap w:val="0"/>
                  <w:vAlign w:val="center"/>
                </w:tcPr>
                <w:p w14:paraId="44CC030F">
                  <w:pPr>
                    <w:spacing w:line="240" w:lineRule="exact"/>
                    <w:jc w:val="center"/>
                    <w:rPr>
                      <w:b/>
                      <w:szCs w:val="21"/>
                    </w:rPr>
                  </w:pPr>
                  <w:r>
                    <w:rPr>
                      <w:b/>
                      <w:szCs w:val="21"/>
                    </w:rPr>
                    <w:t>报告书</w:t>
                  </w:r>
                </w:p>
              </w:tc>
              <w:tc>
                <w:tcPr>
                  <w:tcW w:w="1998" w:type="dxa"/>
                  <w:noWrap w:val="0"/>
                  <w:tcMar>
                    <w:top w:w="15" w:type="dxa"/>
                    <w:left w:w="15" w:type="dxa"/>
                    <w:bottom w:w="0" w:type="dxa"/>
                    <w:right w:w="15" w:type="dxa"/>
                  </w:tcMar>
                  <w:vAlign w:val="center"/>
                </w:tcPr>
                <w:p w14:paraId="212F196F">
                  <w:pPr>
                    <w:pStyle w:val="68"/>
                    <w:widowControl w:val="0"/>
                    <w:spacing w:before="0" w:after="0" w:line="240" w:lineRule="exact"/>
                    <w:rPr>
                      <w:rFonts w:ascii="Times New Roman" w:hAnsi="Times New Roman"/>
                      <w:b/>
                      <w:kern w:val="2"/>
                      <w:sz w:val="21"/>
                      <w:szCs w:val="21"/>
                    </w:rPr>
                  </w:pPr>
                  <w:r>
                    <w:rPr>
                      <w:rFonts w:ascii="Times New Roman" w:hAnsi="Times New Roman"/>
                      <w:b/>
                      <w:kern w:val="2"/>
                      <w:sz w:val="21"/>
                      <w:szCs w:val="21"/>
                    </w:rPr>
                    <w:t>报告表</w:t>
                  </w:r>
                </w:p>
              </w:tc>
              <w:tc>
                <w:tcPr>
                  <w:tcW w:w="785" w:type="dxa"/>
                  <w:noWrap w:val="0"/>
                  <w:vAlign w:val="center"/>
                </w:tcPr>
                <w:p w14:paraId="13645ABE">
                  <w:pPr>
                    <w:pStyle w:val="68"/>
                    <w:widowControl w:val="0"/>
                    <w:spacing w:before="0" w:after="0" w:line="240" w:lineRule="exact"/>
                    <w:rPr>
                      <w:rFonts w:ascii="Times New Roman" w:hAnsi="Times New Roman"/>
                      <w:b/>
                      <w:kern w:val="2"/>
                      <w:sz w:val="21"/>
                      <w:szCs w:val="21"/>
                    </w:rPr>
                  </w:pPr>
                  <w:r>
                    <w:rPr>
                      <w:rFonts w:ascii="Times New Roman" w:hAnsi="Times New Roman"/>
                      <w:b/>
                      <w:kern w:val="2"/>
                      <w:sz w:val="21"/>
                      <w:szCs w:val="21"/>
                    </w:rPr>
                    <w:t>登记表</w:t>
                  </w:r>
                </w:p>
              </w:tc>
              <w:tc>
                <w:tcPr>
                  <w:tcW w:w="1066" w:type="dxa"/>
                  <w:noWrap w:val="0"/>
                  <w:vAlign w:val="center"/>
                </w:tcPr>
                <w:p w14:paraId="753994C8">
                  <w:pPr>
                    <w:pStyle w:val="68"/>
                    <w:widowControl w:val="0"/>
                    <w:spacing w:before="0" w:after="0" w:line="240" w:lineRule="exact"/>
                    <w:rPr>
                      <w:rFonts w:ascii="Times New Roman" w:hAnsi="Times New Roman"/>
                      <w:b/>
                      <w:kern w:val="2"/>
                      <w:sz w:val="21"/>
                      <w:szCs w:val="21"/>
                    </w:rPr>
                  </w:pPr>
                  <w:r>
                    <w:rPr>
                      <w:rFonts w:ascii="Times New Roman" w:hAnsi="Times New Roman"/>
                      <w:b/>
                      <w:kern w:val="2"/>
                      <w:sz w:val="21"/>
                      <w:szCs w:val="21"/>
                    </w:rPr>
                    <w:t>环境敏感区</w:t>
                  </w:r>
                </w:p>
              </w:tc>
            </w:tr>
            <w:tr w14:paraId="42CCDC2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90" w:hRule="atLeast"/>
                <w:jc w:val="center"/>
              </w:trPr>
              <w:tc>
                <w:tcPr>
                  <w:tcW w:w="2326" w:type="dxa"/>
                  <w:noWrap w:val="0"/>
                  <w:tcMar>
                    <w:top w:w="15" w:type="dxa"/>
                    <w:left w:w="15" w:type="dxa"/>
                    <w:bottom w:w="0" w:type="dxa"/>
                    <w:right w:w="15" w:type="dxa"/>
                  </w:tcMar>
                  <w:vAlign w:val="center"/>
                </w:tcPr>
                <w:p w14:paraId="44B6E629">
                  <w:pPr>
                    <w:spacing w:line="240" w:lineRule="exact"/>
                    <w:jc w:val="center"/>
                    <w:rPr>
                      <w:rFonts w:hint="default" w:eastAsia="宋体"/>
                      <w:szCs w:val="21"/>
                      <w:lang w:val="en-US" w:eastAsia="zh-CN"/>
                    </w:rPr>
                  </w:pPr>
                  <w:r>
                    <w:rPr>
                      <w:rFonts w:hint="default" w:eastAsia="宋体"/>
                      <w:b/>
                      <w:bCs/>
                      <w:szCs w:val="21"/>
                      <w:lang w:val="en-US" w:eastAsia="zh-CN"/>
                    </w:rPr>
                    <w:t>二十二、石油、煤炭及其他燃料加工业25</w:t>
                  </w:r>
                </w:p>
              </w:tc>
              <w:tc>
                <w:tcPr>
                  <w:tcW w:w="1823" w:type="dxa"/>
                  <w:vMerge w:val="restart"/>
                  <w:noWrap w:val="0"/>
                  <w:vAlign w:val="center"/>
                </w:tcPr>
                <w:p w14:paraId="36CA5054">
                  <w:pPr>
                    <w:spacing w:line="240" w:lineRule="exact"/>
                    <w:jc w:val="center"/>
                    <w:rPr>
                      <w:rFonts w:hint="default" w:eastAsia="宋体"/>
                      <w:b/>
                      <w:szCs w:val="21"/>
                      <w:lang w:val="en-US" w:eastAsia="zh-CN"/>
                    </w:rPr>
                  </w:pPr>
                  <w:r>
                    <w:rPr>
                      <w:rFonts w:hint="eastAsia"/>
                      <w:b w:val="0"/>
                      <w:bCs/>
                      <w:szCs w:val="21"/>
                      <w:lang w:val="en-US" w:eastAsia="zh-CN"/>
                    </w:rPr>
                    <w:t>全部（单纯物理分离、物理提纯、混合、分装的除外；煤制品制造除外；其他煤炭加工除外）</w:t>
                  </w:r>
                </w:p>
              </w:tc>
              <w:tc>
                <w:tcPr>
                  <w:tcW w:w="1998" w:type="dxa"/>
                  <w:vMerge w:val="restart"/>
                  <w:noWrap w:val="0"/>
                  <w:tcMar>
                    <w:top w:w="15" w:type="dxa"/>
                    <w:left w:w="15" w:type="dxa"/>
                    <w:bottom w:w="0" w:type="dxa"/>
                    <w:right w:w="15" w:type="dxa"/>
                  </w:tcMar>
                  <w:vAlign w:val="center"/>
                </w:tcPr>
                <w:p w14:paraId="21955408">
                  <w:pPr>
                    <w:spacing w:line="240" w:lineRule="exact"/>
                    <w:jc w:val="center"/>
                    <w:rPr>
                      <w:rFonts w:hint="default" w:eastAsia="宋体"/>
                      <w:bCs/>
                      <w:szCs w:val="21"/>
                      <w:lang w:val="en-US" w:eastAsia="zh-CN"/>
                    </w:rPr>
                  </w:pPr>
                  <w:r>
                    <w:rPr>
                      <w:rFonts w:hint="eastAsia"/>
                      <w:b w:val="0"/>
                      <w:bCs/>
                      <w:szCs w:val="21"/>
                      <w:lang w:val="en-US" w:eastAsia="zh-CN"/>
                    </w:rPr>
                    <w:t>单纯物理分离、物理提纯、混合、分装的（不产生废水和挥发性有机物的除外）；煤制品制造；其他煤炭加工</w:t>
                  </w:r>
                </w:p>
              </w:tc>
              <w:tc>
                <w:tcPr>
                  <w:tcW w:w="785" w:type="dxa"/>
                  <w:vMerge w:val="restart"/>
                  <w:noWrap w:val="0"/>
                  <w:vAlign w:val="center"/>
                </w:tcPr>
                <w:p w14:paraId="274422A6">
                  <w:pPr>
                    <w:pStyle w:val="68"/>
                    <w:widowControl w:val="0"/>
                    <w:spacing w:before="0" w:after="0" w:line="240" w:lineRule="exact"/>
                    <w:rPr>
                      <w:rFonts w:hint="eastAsia" w:ascii="Times New Roman" w:hAnsi="Times New Roman"/>
                      <w:b/>
                      <w:sz w:val="21"/>
                      <w:szCs w:val="21"/>
                    </w:rPr>
                  </w:pPr>
                  <w:r>
                    <w:rPr>
                      <w:rFonts w:hint="eastAsia" w:ascii="Times New Roman" w:hAnsi="Times New Roman"/>
                      <w:b/>
                      <w:sz w:val="21"/>
                      <w:szCs w:val="21"/>
                    </w:rPr>
                    <w:t>/</w:t>
                  </w:r>
                </w:p>
              </w:tc>
              <w:tc>
                <w:tcPr>
                  <w:tcW w:w="1066" w:type="dxa"/>
                  <w:vMerge w:val="restart"/>
                  <w:noWrap w:val="0"/>
                  <w:vAlign w:val="center"/>
                </w:tcPr>
                <w:p w14:paraId="39365043">
                  <w:pPr>
                    <w:pStyle w:val="68"/>
                    <w:widowControl w:val="0"/>
                    <w:spacing w:before="0" w:after="0" w:line="240" w:lineRule="exact"/>
                    <w:rPr>
                      <w:rFonts w:hint="eastAsia" w:ascii="Times New Roman" w:hAnsi="Times New Roman"/>
                      <w:sz w:val="21"/>
                      <w:szCs w:val="21"/>
                    </w:rPr>
                  </w:pPr>
                  <w:r>
                    <w:rPr>
                      <w:rFonts w:hint="eastAsia" w:ascii="Times New Roman" w:hAnsi="Times New Roman"/>
                      <w:sz w:val="21"/>
                      <w:szCs w:val="21"/>
                    </w:rPr>
                    <w:t>/</w:t>
                  </w:r>
                </w:p>
              </w:tc>
            </w:tr>
            <w:tr w14:paraId="7ECEA89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90" w:hRule="atLeast"/>
                <w:jc w:val="center"/>
              </w:trPr>
              <w:tc>
                <w:tcPr>
                  <w:tcW w:w="2326" w:type="dxa"/>
                  <w:noWrap w:val="0"/>
                  <w:tcMar>
                    <w:top w:w="15" w:type="dxa"/>
                    <w:left w:w="15" w:type="dxa"/>
                    <w:bottom w:w="0" w:type="dxa"/>
                    <w:right w:w="15" w:type="dxa"/>
                  </w:tcMar>
                  <w:vAlign w:val="center"/>
                </w:tcPr>
                <w:p w14:paraId="072F509C">
                  <w:pPr>
                    <w:spacing w:line="240" w:lineRule="exact"/>
                    <w:jc w:val="center"/>
                    <w:rPr>
                      <w:rFonts w:hint="default" w:eastAsia="宋体"/>
                      <w:szCs w:val="21"/>
                      <w:lang w:val="en-US" w:eastAsia="zh-CN"/>
                    </w:rPr>
                  </w:pPr>
                  <w:r>
                    <w:rPr>
                      <w:rFonts w:hint="default" w:eastAsia="宋体"/>
                      <w:szCs w:val="21"/>
                      <w:lang w:val="en-US" w:eastAsia="zh-CN"/>
                    </w:rPr>
                    <w:t>42</w:t>
                  </w:r>
                  <w:r>
                    <w:rPr>
                      <w:rFonts w:hint="eastAsia"/>
                      <w:szCs w:val="21"/>
                      <w:lang w:val="en-US" w:eastAsia="zh-CN"/>
                    </w:rPr>
                    <w:t>、</w:t>
                  </w:r>
                  <w:r>
                    <w:rPr>
                      <w:rFonts w:hint="default" w:eastAsia="宋体"/>
                      <w:szCs w:val="21"/>
                      <w:lang w:val="en-US" w:eastAsia="zh-CN"/>
                    </w:rPr>
                    <w:t>精炼石油产品制造251；煤炭加工252</w:t>
                  </w:r>
                </w:p>
              </w:tc>
              <w:tc>
                <w:tcPr>
                  <w:tcW w:w="1823" w:type="dxa"/>
                  <w:vMerge w:val="continue"/>
                  <w:noWrap w:val="0"/>
                  <w:vAlign w:val="center"/>
                </w:tcPr>
                <w:p w14:paraId="743C6A00">
                  <w:pPr>
                    <w:spacing w:line="240" w:lineRule="exact"/>
                    <w:jc w:val="center"/>
                    <w:rPr>
                      <w:b/>
                      <w:szCs w:val="21"/>
                    </w:rPr>
                  </w:pPr>
                </w:p>
              </w:tc>
              <w:tc>
                <w:tcPr>
                  <w:tcW w:w="1998" w:type="dxa"/>
                  <w:vMerge w:val="continue"/>
                  <w:noWrap w:val="0"/>
                  <w:tcMar>
                    <w:top w:w="15" w:type="dxa"/>
                    <w:left w:w="15" w:type="dxa"/>
                    <w:bottom w:w="0" w:type="dxa"/>
                    <w:right w:w="15" w:type="dxa"/>
                  </w:tcMar>
                  <w:vAlign w:val="center"/>
                </w:tcPr>
                <w:p w14:paraId="1B7C6F47">
                  <w:pPr>
                    <w:spacing w:line="240" w:lineRule="exact"/>
                    <w:jc w:val="center"/>
                    <w:rPr>
                      <w:bCs/>
                      <w:szCs w:val="21"/>
                    </w:rPr>
                  </w:pPr>
                </w:p>
              </w:tc>
              <w:tc>
                <w:tcPr>
                  <w:tcW w:w="785" w:type="dxa"/>
                  <w:vMerge w:val="continue"/>
                  <w:noWrap w:val="0"/>
                  <w:vAlign w:val="center"/>
                </w:tcPr>
                <w:p w14:paraId="322985E7">
                  <w:pPr>
                    <w:pStyle w:val="68"/>
                    <w:widowControl w:val="0"/>
                    <w:spacing w:before="0" w:after="0" w:line="240" w:lineRule="exact"/>
                    <w:rPr>
                      <w:rFonts w:ascii="Times New Roman" w:hAnsi="Times New Roman"/>
                      <w:b/>
                      <w:sz w:val="21"/>
                      <w:szCs w:val="21"/>
                    </w:rPr>
                  </w:pPr>
                </w:p>
              </w:tc>
              <w:tc>
                <w:tcPr>
                  <w:tcW w:w="1066" w:type="dxa"/>
                  <w:vMerge w:val="continue"/>
                  <w:noWrap w:val="0"/>
                  <w:vAlign w:val="center"/>
                </w:tcPr>
                <w:p w14:paraId="30684704">
                  <w:pPr>
                    <w:pStyle w:val="68"/>
                    <w:widowControl w:val="0"/>
                    <w:spacing w:before="0" w:after="0" w:line="240" w:lineRule="exact"/>
                    <w:rPr>
                      <w:rFonts w:ascii="Times New Roman" w:hAnsi="Times New Roman"/>
                      <w:sz w:val="21"/>
                      <w:szCs w:val="21"/>
                    </w:rPr>
                  </w:pPr>
                </w:p>
              </w:tc>
            </w:tr>
            <w:tr w14:paraId="30022D0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90" w:hRule="atLeast"/>
                <w:jc w:val="center"/>
              </w:trPr>
              <w:tc>
                <w:tcPr>
                  <w:tcW w:w="2326" w:type="dxa"/>
                  <w:noWrap w:val="0"/>
                  <w:tcMar>
                    <w:top w:w="15" w:type="dxa"/>
                    <w:left w:w="15" w:type="dxa"/>
                    <w:bottom w:w="0" w:type="dxa"/>
                    <w:right w:w="15" w:type="dxa"/>
                  </w:tcMar>
                  <w:vAlign w:val="center"/>
                </w:tcPr>
                <w:p w14:paraId="6CD45EC8">
                  <w:pPr>
                    <w:spacing w:line="240" w:lineRule="exact"/>
                    <w:jc w:val="center"/>
                    <w:rPr>
                      <w:rFonts w:hint="eastAsia"/>
                      <w:b/>
                      <w:bCs/>
                      <w:szCs w:val="21"/>
                    </w:rPr>
                  </w:pPr>
                  <w:r>
                    <w:rPr>
                      <w:szCs w:val="21"/>
                    </w:rPr>
                    <w:t>本项目建设情况</w:t>
                  </w:r>
                </w:p>
              </w:tc>
              <w:tc>
                <w:tcPr>
                  <w:tcW w:w="1823" w:type="dxa"/>
                  <w:noWrap w:val="0"/>
                  <w:vAlign w:val="center"/>
                </w:tcPr>
                <w:p w14:paraId="4AD02497">
                  <w:pPr>
                    <w:spacing w:line="240" w:lineRule="exact"/>
                    <w:jc w:val="center"/>
                    <w:rPr>
                      <w:rFonts w:hint="default"/>
                      <w:b/>
                      <w:szCs w:val="21"/>
                      <w:lang w:val="en-US"/>
                    </w:rPr>
                  </w:pPr>
                  <w:r>
                    <w:rPr>
                      <w:rFonts w:hint="eastAsia"/>
                      <w:b w:val="0"/>
                      <w:bCs/>
                      <w:szCs w:val="21"/>
                      <w:lang w:val="en-US" w:eastAsia="zh-CN"/>
                    </w:rPr>
                    <w:t>本项目属于煤制品制造</w:t>
                  </w:r>
                  <w:r>
                    <w:rPr>
                      <w:rFonts w:hint="eastAsia" w:eastAsia="宋体"/>
                      <w:b w:val="0"/>
                      <w:bCs/>
                      <w:szCs w:val="21"/>
                      <w:lang w:val="en-US" w:eastAsia="zh-CN"/>
                    </w:rPr>
                    <w:t>，</w:t>
                  </w:r>
                  <w:r>
                    <w:rPr>
                      <w:rFonts w:hint="eastAsia" w:eastAsia="宋体"/>
                      <w:b/>
                      <w:bCs w:val="0"/>
                      <w:szCs w:val="21"/>
                      <w:lang w:val="en-US" w:eastAsia="zh-CN"/>
                    </w:rPr>
                    <w:t>不符合</w:t>
                  </w:r>
                </w:p>
              </w:tc>
              <w:tc>
                <w:tcPr>
                  <w:tcW w:w="1998" w:type="dxa"/>
                  <w:noWrap w:val="0"/>
                  <w:tcMar>
                    <w:top w:w="15" w:type="dxa"/>
                    <w:left w:w="15" w:type="dxa"/>
                    <w:bottom w:w="0" w:type="dxa"/>
                    <w:right w:w="15" w:type="dxa"/>
                  </w:tcMar>
                  <w:vAlign w:val="center"/>
                </w:tcPr>
                <w:p w14:paraId="331E164B">
                  <w:pPr>
                    <w:spacing w:line="240" w:lineRule="exact"/>
                    <w:jc w:val="center"/>
                    <w:rPr>
                      <w:bCs/>
                      <w:szCs w:val="21"/>
                    </w:rPr>
                  </w:pPr>
                  <w:r>
                    <w:rPr>
                      <w:rFonts w:hint="eastAsia"/>
                      <w:szCs w:val="21"/>
                    </w:rPr>
                    <w:t>本项目属于煤制品制造，</w:t>
                  </w:r>
                  <w:r>
                    <w:rPr>
                      <w:b/>
                      <w:szCs w:val="21"/>
                    </w:rPr>
                    <w:t>符合</w:t>
                  </w:r>
                </w:p>
              </w:tc>
              <w:tc>
                <w:tcPr>
                  <w:tcW w:w="785" w:type="dxa"/>
                  <w:noWrap w:val="0"/>
                  <w:vAlign w:val="center"/>
                </w:tcPr>
                <w:p w14:paraId="42812294">
                  <w:pPr>
                    <w:pStyle w:val="68"/>
                    <w:widowControl w:val="0"/>
                    <w:spacing w:before="0" w:after="0" w:line="240" w:lineRule="exact"/>
                    <w:rPr>
                      <w:rFonts w:hint="eastAsia" w:ascii="Times New Roman" w:hAnsi="Times New Roman" w:eastAsia="宋体"/>
                      <w:b/>
                      <w:sz w:val="21"/>
                      <w:szCs w:val="21"/>
                      <w:lang w:val="en-US" w:eastAsia="zh-CN"/>
                    </w:rPr>
                  </w:pPr>
                  <w:r>
                    <w:rPr>
                      <w:rFonts w:hint="eastAsia" w:ascii="Times New Roman" w:hAnsi="Times New Roman"/>
                      <w:b/>
                      <w:sz w:val="21"/>
                      <w:szCs w:val="21"/>
                      <w:lang w:val="en-US" w:eastAsia="zh-CN"/>
                    </w:rPr>
                    <w:t>/</w:t>
                  </w:r>
                </w:p>
              </w:tc>
              <w:tc>
                <w:tcPr>
                  <w:tcW w:w="1066" w:type="dxa"/>
                  <w:noWrap w:val="0"/>
                  <w:vAlign w:val="center"/>
                </w:tcPr>
                <w:p w14:paraId="11F72AFE">
                  <w:pPr>
                    <w:pStyle w:val="68"/>
                    <w:widowControl w:val="0"/>
                    <w:spacing w:before="0" w:after="0" w:line="240" w:lineRule="exact"/>
                    <w:rPr>
                      <w:rFonts w:hint="eastAsia" w:ascii="Times New Roman" w:hAnsi="Times New Roman" w:eastAsia="宋体"/>
                      <w:sz w:val="21"/>
                      <w:szCs w:val="21"/>
                      <w:lang w:eastAsia="zh-CN"/>
                    </w:rPr>
                  </w:pPr>
                  <w:r>
                    <w:rPr>
                      <w:rFonts w:hint="eastAsia" w:ascii="Times New Roman" w:hAnsi="Times New Roman"/>
                      <w:sz w:val="21"/>
                      <w:szCs w:val="21"/>
                      <w:lang w:val="en-US" w:eastAsia="zh-CN"/>
                    </w:rPr>
                    <w:t>/</w:t>
                  </w:r>
                </w:p>
              </w:tc>
            </w:tr>
            <w:tr w14:paraId="0CE2FBC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90" w:hRule="atLeast"/>
                <w:jc w:val="center"/>
              </w:trPr>
              <w:tc>
                <w:tcPr>
                  <w:tcW w:w="2326" w:type="dxa"/>
                  <w:noWrap w:val="0"/>
                  <w:tcMar>
                    <w:top w:w="15" w:type="dxa"/>
                    <w:left w:w="15" w:type="dxa"/>
                    <w:bottom w:w="0" w:type="dxa"/>
                    <w:right w:w="15" w:type="dxa"/>
                  </w:tcMar>
                  <w:vAlign w:val="center"/>
                </w:tcPr>
                <w:p w14:paraId="7BD3A48F">
                  <w:pPr>
                    <w:spacing w:line="240" w:lineRule="exact"/>
                    <w:jc w:val="center"/>
                    <w:rPr>
                      <w:rFonts w:hint="default" w:eastAsia="宋体"/>
                      <w:szCs w:val="21"/>
                      <w:lang w:val="en-US" w:eastAsia="zh-CN"/>
                    </w:rPr>
                  </w:pPr>
                  <w:r>
                    <w:rPr>
                      <w:rFonts w:hint="eastAsia"/>
                      <w:b/>
                      <w:bCs/>
                      <w:szCs w:val="21"/>
                      <w:lang w:val="en-US" w:eastAsia="zh-CN"/>
                    </w:rPr>
                    <w:t>二十七</w:t>
                  </w:r>
                  <w:r>
                    <w:rPr>
                      <w:rFonts w:hint="eastAsia" w:eastAsia="宋体"/>
                      <w:b/>
                      <w:bCs/>
                      <w:szCs w:val="21"/>
                      <w:lang w:val="en-US" w:eastAsia="zh-CN"/>
                    </w:rPr>
                    <w:t>、</w:t>
                  </w:r>
                  <w:r>
                    <w:rPr>
                      <w:rFonts w:hint="eastAsia"/>
                      <w:b/>
                      <w:bCs/>
                      <w:szCs w:val="21"/>
                      <w:lang w:val="en-US" w:eastAsia="zh-CN"/>
                    </w:rPr>
                    <w:t>非金属矿物制品业30</w:t>
                  </w:r>
                </w:p>
              </w:tc>
              <w:tc>
                <w:tcPr>
                  <w:tcW w:w="1823" w:type="dxa"/>
                  <w:vMerge w:val="restart"/>
                  <w:noWrap w:val="0"/>
                  <w:vAlign w:val="center"/>
                </w:tcPr>
                <w:p w14:paraId="4C0C26CE">
                  <w:pPr>
                    <w:spacing w:line="240" w:lineRule="exact"/>
                    <w:jc w:val="center"/>
                    <w:rPr>
                      <w:rFonts w:hint="default"/>
                      <w:b w:val="0"/>
                      <w:bCs/>
                      <w:szCs w:val="21"/>
                      <w:lang w:val="en-US" w:eastAsia="zh-CN"/>
                    </w:rPr>
                  </w:pPr>
                  <w:r>
                    <w:rPr>
                      <w:rFonts w:hint="eastAsia"/>
                      <w:b w:val="0"/>
                      <w:bCs/>
                      <w:szCs w:val="21"/>
                      <w:lang w:val="en-US" w:eastAsia="zh-CN"/>
                    </w:rPr>
                    <w:t>石棉制品</w:t>
                  </w:r>
                  <w:r>
                    <w:rPr>
                      <w:rFonts w:hint="eastAsia" w:eastAsia="宋体"/>
                      <w:b w:val="0"/>
                      <w:bCs/>
                      <w:szCs w:val="21"/>
                      <w:lang w:val="en-US" w:eastAsia="zh-CN"/>
                    </w:rPr>
                    <w:t>；</w:t>
                  </w:r>
                  <w:r>
                    <w:rPr>
                      <w:rFonts w:hint="eastAsia"/>
                      <w:b w:val="0"/>
                      <w:bCs/>
                      <w:szCs w:val="21"/>
                      <w:lang w:val="en-US" w:eastAsia="zh-CN"/>
                    </w:rPr>
                    <w:t>含焙烧的石墨、碳素制品</w:t>
                  </w:r>
                </w:p>
              </w:tc>
              <w:tc>
                <w:tcPr>
                  <w:tcW w:w="1998" w:type="dxa"/>
                  <w:vMerge w:val="restart"/>
                  <w:noWrap w:val="0"/>
                  <w:tcMar>
                    <w:top w:w="15" w:type="dxa"/>
                    <w:left w:w="15" w:type="dxa"/>
                    <w:bottom w:w="0" w:type="dxa"/>
                    <w:right w:w="15" w:type="dxa"/>
                  </w:tcMar>
                  <w:vAlign w:val="center"/>
                </w:tcPr>
                <w:p w14:paraId="01A7A71B">
                  <w:pPr>
                    <w:spacing w:line="240" w:lineRule="exact"/>
                    <w:jc w:val="center"/>
                    <w:rPr>
                      <w:rFonts w:hint="default" w:eastAsia="宋体"/>
                      <w:bCs/>
                      <w:szCs w:val="21"/>
                      <w:lang w:val="en-US" w:eastAsia="zh-CN"/>
                    </w:rPr>
                  </w:pPr>
                  <w:r>
                    <w:rPr>
                      <w:rFonts w:hint="eastAsia"/>
                      <w:bCs/>
                      <w:szCs w:val="21"/>
                      <w:lang w:val="en-US" w:eastAsia="zh-CN"/>
                    </w:rPr>
                    <w:t>其他</w:t>
                  </w:r>
                </w:p>
              </w:tc>
              <w:tc>
                <w:tcPr>
                  <w:tcW w:w="785" w:type="dxa"/>
                  <w:vMerge w:val="restart"/>
                  <w:noWrap w:val="0"/>
                  <w:vAlign w:val="center"/>
                </w:tcPr>
                <w:p w14:paraId="24141615">
                  <w:pPr>
                    <w:pStyle w:val="68"/>
                    <w:widowControl w:val="0"/>
                    <w:spacing w:before="0" w:after="0" w:line="240" w:lineRule="exact"/>
                    <w:rPr>
                      <w:rFonts w:hint="default" w:ascii="Times New Roman" w:hAnsi="Times New Roman"/>
                      <w:b/>
                      <w:sz w:val="21"/>
                      <w:szCs w:val="21"/>
                      <w:lang w:val="en-US" w:eastAsia="zh-CN"/>
                    </w:rPr>
                  </w:pPr>
                  <w:r>
                    <w:rPr>
                      <w:rFonts w:hint="eastAsia" w:ascii="Times New Roman" w:hAnsi="Times New Roman"/>
                      <w:b/>
                      <w:sz w:val="21"/>
                      <w:szCs w:val="21"/>
                      <w:lang w:val="en-US" w:eastAsia="zh-CN"/>
                    </w:rPr>
                    <w:t>/</w:t>
                  </w:r>
                </w:p>
              </w:tc>
              <w:tc>
                <w:tcPr>
                  <w:tcW w:w="1066" w:type="dxa"/>
                  <w:vMerge w:val="restart"/>
                  <w:noWrap w:val="0"/>
                  <w:vAlign w:val="center"/>
                </w:tcPr>
                <w:p w14:paraId="05D61AE4">
                  <w:pPr>
                    <w:pStyle w:val="68"/>
                    <w:widowControl w:val="0"/>
                    <w:spacing w:before="0" w:after="0" w:line="240" w:lineRule="exact"/>
                    <w:rPr>
                      <w:rFonts w:hint="default" w:ascii="Times New Roman" w:hAnsi="Times New Roman"/>
                      <w:sz w:val="21"/>
                      <w:szCs w:val="21"/>
                      <w:lang w:val="en-US" w:eastAsia="zh-CN"/>
                    </w:rPr>
                  </w:pPr>
                  <w:r>
                    <w:rPr>
                      <w:rFonts w:hint="eastAsia" w:ascii="Times New Roman" w:hAnsi="Times New Roman"/>
                      <w:sz w:val="21"/>
                      <w:szCs w:val="21"/>
                      <w:lang w:val="en-US" w:eastAsia="zh-CN"/>
                    </w:rPr>
                    <w:t>/</w:t>
                  </w:r>
                </w:p>
              </w:tc>
            </w:tr>
            <w:tr w14:paraId="213BBAA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90" w:hRule="atLeast"/>
                <w:jc w:val="center"/>
              </w:trPr>
              <w:tc>
                <w:tcPr>
                  <w:tcW w:w="2326" w:type="dxa"/>
                  <w:noWrap w:val="0"/>
                  <w:tcMar>
                    <w:top w:w="15" w:type="dxa"/>
                    <w:left w:w="15" w:type="dxa"/>
                    <w:bottom w:w="0" w:type="dxa"/>
                    <w:right w:w="15" w:type="dxa"/>
                  </w:tcMar>
                  <w:vAlign w:val="center"/>
                </w:tcPr>
                <w:p w14:paraId="301AFF00">
                  <w:pPr>
                    <w:spacing w:line="240" w:lineRule="exact"/>
                    <w:jc w:val="center"/>
                    <w:rPr>
                      <w:rFonts w:hint="default"/>
                      <w:szCs w:val="21"/>
                      <w:lang w:val="en-US" w:eastAsia="zh-CN"/>
                    </w:rPr>
                  </w:pPr>
                  <w:r>
                    <w:rPr>
                      <w:rFonts w:hint="eastAsia"/>
                      <w:szCs w:val="21"/>
                      <w:lang w:val="en-US" w:eastAsia="zh-CN"/>
                    </w:rPr>
                    <w:t>60</w:t>
                  </w:r>
                  <w:r>
                    <w:rPr>
                      <w:rFonts w:hint="eastAsia"/>
                      <w:szCs w:val="21"/>
                      <w:lang w:eastAsia="zh-CN"/>
                    </w:rPr>
                    <w:t>、</w:t>
                  </w:r>
                  <w:r>
                    <w:rPr>
                      <w:rFonts w:hint="eastAsia"/>
                      <w:szCs w:val="21"/>
                      <w:lang w:val="en-US" w:eastAsia="zh-CN"/>
                    </w:rPr>
                    <w:t>耐火材料制品制造308；石墨及其他非金属矿物制品制造309</w:t>
                  </w:r>
                </w:p>
              </w:tc>
              <w:tc>
                <w:tcPr>
                  <w:tcW w:w="1823" w:type="dxa"/>
                  <w:vMerge w:val="continue"/>
                  <w:noWrap w:val="0"/>
                  <w:vAlign w:val="center"/>
                </w:tcPr>
                <w:p w14:paraId="7E1C74F3">
                  <w:pPr>
                    <w:spacing w:line="240" w:lineRule="exact"/>
                    <w:jc w:val="center"/>
                    <w:rPr>
                      <w:rFonts w:hint="eastAsia"/>
                      <w:b w:val="0"/>
                      <w:bCs/>
                      <w:szCs w:val="21"/>
                      <w:lang w:val="en-US" w:eastAsia="zh-CN"/>
                    </w:rPr>
                  </w:pPr>
                </w:p>
              </w:tc>
              <w:tc>
                <w:tcPr>
                  <w:tcW w:w="1998" w:type="dxa"/>
                  <w:vMerge w:val="continue"/>
                  <w:noWrap w:val="0"/>
                  <w:tcMar>
                    <w:top w:w="15" w:type="dxa"/>
                    <w:left w:w="15" w:type="dxa"/>
                    <w:bottom w:w="0" w:type="dxa"/>
                    <w:right w:w="15" w:type="dxa"/>
                  </w:tcMar>
                  <w:vAlign w:val="center"/>
                </w:tcPr>
                <w:p w14:paraId="0D13E8B6">
                  <w:pPr>
                    <w:spacing w:line="240" w:lineRule="exact"/>
                    <w:jc w:val="center"/>
                    <w:rPr>
                      <w:bCs/>
                      <w:szCs w:val="21"/>
                    </w:rPr>
                  </w:pPr>
                </w:p>
              </w:tc>
              <w:tc>
                <w:tcPr>
                  <w:tcW w:w="785" w:type="dxa"/>
                  <w:vMerge w:val="continue"/>
                  <w:noWrap w:val="0"/>
                  <w:vAlign w:val="center"/>
                </w:tcPr>
                <w:p w14:paraId="065B9A14">
                  <w:pPr>
                    <w:pStyle w:val="68"/>
                    <w:widowControl w:val="0"/>
                    <w:spacing w:before="0" w:after="0" w:line="240" w:lineRule="exact"/>
                    <w:rPr>
                      <w:rFonts w:hint="eastAsia" w:ascii="Times New Roman" w:hAnsi="Times New Roman"/>
                      <w:b/>
                      <w:sz w:val="21"/>
                      <w:szCs w:val="21"/>
                      <w:lang w:val="en-US" w:eastAsia="zh-CN"/>
                    </w:rPr>
                  </w:pPr>
                </w:p>
              </w:tc>
              <w:tc>
                <w:tcPr>
                  <w:tcW w:w="1066" w:type="dxa"/>
                  <w:vMerge w:val="continue"/>
                  <w:noWrap w:val="0"/>
                  <w:vAlign w:val="center"/>
                </w:tcPr>
                <w:p w14:paraId="38657C8E">
                  <w:pPr>
                    <w:pStyle w:val="68"/>
                    <w:widowControl w:val="0"/>
                    <w:spacing w:before="0" w:after="0" w:line="240" w:lineRule="exact"/>
                    <w:rPr>
                      <w:rFonts w:hint="eastAsia" w:ascii="Times New Roman" w:hAnsi="Times New Roman"/>
                      <w:sz w:val="21"/>
                      <w:szCs w:val="21"/>
                      <w:lang w:val="en-US" w:eastAsia="zh-CN"/>
                    </w:rPr>
                  </w:pPr>
                </w:p>
              </w:tc>
            </w:tr>
            <w:tr w14:paraId="7E36DA4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90" w:hRule="atLeast"/>
                <w:jc w:val="center"/>
              </w:trPr>
              <w:tc>
                <w:tcPr>
                  <w:tcW w:w="2326" w:type="dxa"/>
                  <w:noWrap w:val="0"/>
                  <w:tcMar>
                    <w:top w:w="15" w:type="dxa"/>
                    <w:left w:w="15" w:type="dxa"/>
                    <w:bottom w:w="0" w:type="dxa"/>
                    <w:right w:w="15" w:type="dxa"/>
                  </w:tcMar>
                  <w:vAlign w:val="center"/>
                </w:tcPr>
                <w:p w14:paraId="2FCC4BD4">
                  <w:pPr>
                    <w:spacing w:line="240" w:lineRule="exact"/>
                    <w:jc w:val="center"/>
                    <w:rPr>
                      <w:rFonts w:hint="eastAsia"/>
                      <w:szCs w:val="21"/>
                      <w:lang w:val="en-US" w:eastAsia="zh-CN"/>
                    </w:rPr>
                  </w:pPr>
                  <w:r>
                    <w:rPr>
                      <w:szCs w:val="21"/>
                    </w:rPr>
                    <w:t>本项目建设情况</w:t>
                  </w:r>
                </w:p>
              </w:tc>
              <w:tc>
                <w:tcPr>
                  <w:tcW w:w="1823" w:type="dxa"/>
                  <w:noWrap w:val="0"/>
                  <w:vAlign w:val="center"/>
                </w:tcPr>
                <w:p w14:paraId="44469081">
                  <w:pPr>
                    <w:spacing w:line="240" w:lineRule="exact"/>
                    <w:jc w:val="center"/>
                    <w:rPr>
                      <w:rFonts w:hint="default"/>
                      <w:b w:val="0"/>
                      <w:bCs/>
                      <w:szCs w:val="21"/>
                      <w:lang w:val="en-US" w:eastAsia="zh-CN"/>
                    </w:rPr>
                  </w:pPr>
                  <w:r>
                    <w:rPr>
                      <w:rFonts w:hint="eastAsia"/>
                      <w:b w:val="0"/>
                      <w:bCs/>
                      <w:szCs w:val="21"/>
                      <w:lang w:val="en-US" w:eastAsia="zh-CN"/>
                    </w:rPr>
                    <w:t>本项目不属于石棉、石墨、碳素制品</w:t>
                  </w:r>
                  <w:r>
                    <w:rPr>
                      <w:rFonts w:hint="eastAsia" w:eastAsia="宋体"/>
                      <w:b w:val="0"/>
                      <w:bCs/>
                      <w:szCs w:val="21"/>
                      <w:lang w:val="en-US" w:eastAsia="zh-CN"/>
                    </w:rPr>
                    <w:t>，</w:t>
                  </w:r>
                  <w:r>
                    <w:rPr>
                      <w:rFonts w:hint="eastAsia" w:eastAsia="宋体"/>
                      <w:b/>
                      <w:bCs w:val="0"/>
                      <w:szCs w:val="21"/>
                      <w:lang w:val="en-US" w:eastAsia="zh-CN"/>
                    </w:rPr>
                    <w:t>不符合</w:t>
                  </w:r>
                </w:p>
              </w:tc>
              <w:tc>
                <w:tcPr>
                  <w:tcW w:w="1998" w:type="dxa"/>
                  <w:noWrap w:val="0"/>
                  <w:tcMar>
                    <w:top w:w="15" w:type="dxa"/>
                    <w:left w:w="15" w:type="dxa"/>
                    <w:bottom w:w="0" w:type="dxa"/>
                    <w:right w:w="15" w:type="dxa"/>
                  </w:tcMar>
                  <w:vAlign w:val="center"/>
                </w:tcPr>
                <w:p w14:paraId="4A7ABECF">
                  <w:pPr>
                    <w:spacing w:line="240" w:lineRule="exact"/>
                    <w:jc w:val="center"/>
                    <w:rPr>
                      <w:rFonts w:hint="default" w:eastAsia="宋体"/>
                      <w:bCs/>
                      <w:szCs w:val="21"/>
                      <w:lang w:val="en-US" w:eastAsia="zh-CN"/>
                    </w:rPr>
                  </w:pPr>
                  <w:r>
                    <w:rPr>
                      <w:bCs/>
                      <w:szCs w:val="21"/>
                    </w:rPr>
                    <w:t>本项目</w:t>
                  </w:r>
                  <w:r>
                    <w:rPr>
                      <w:rFonts w:hint="eastAsia"/>
                      <w:bCs/>
                      <w:szCs w:val="21"/>
                      <w:lang w:val="en-US" w:eastAsia="zh-CN"/>
                    </w:rPr>
                    <w:t>为沥青混凝土生产</w:t>
                  </w:r>
                  <w:r>
                    <w:rPr>
                      <w:rFonts w:hint="eastAsia"/>
                      <w:szCs w:val="21"/>
                    </w:rPr>
                    <w:t>，</w:t>
                  </w:r>
                  <w:r>
                    <w:rPr>
                      <w:b/>
                      <w:szCs w:val="21"/>
                    </w:rPr>
                    <w:t>符合</w:t>
                  </w:r>
                </w:p>
              </w:tc>
              <w:tc>
                <w:tcPr>
                  <w:tcW w:w="785" w:type="dxa"/>
                  <w:noWrap w:val="0"/>
                  <w:vAlign w:val="center"/>
                </w:tcPr>
                <w:p w14:paraId="57A736F0">
                  <w:pPr>
                    <w:pStyle w:val="68"/>
                    <w:widowControl w:val="0"/>
                    <w:spacing w:before="0" w:after="0" w:line="240" w:lineRule="exact"/>
                    <w:rPr>
                      <w:rFonts w:hint="default" w:ascii="Times New Roman" w:hAnsi="Times New Roman"/>
                      <w:b/>
                      <w:sz w:val="21"/>
                      <w:szCs w:val="21"/>
                      <w:lang w:val="en-US" w:eastAsia="zh-CN"/>
                    </w:rPr>
                  </w:pPr>
                  <w:r>
                    <w:rPr>
                      <w:rFonts w:hint="eastAsia" w:ascii="Times New Roman" w:hAnsi="Times New Roman"/>
                      <w:b/>
                      <w:sz w:val="21"/>
                      <w:szCs w:val="21"/>
                      <w:lang w:val="en-US" w:eastAsia="zh-CN"/>
                    </w:rPr>
                    <w:t>/</w:t>
                  </w:r>
                </w:p>
              </w:tc>
              <w:tc>
                <w:tcPr>
                  <w:tcW w:w="1066" w:type="dxa"/>
                  <w:noWrap w:val="0"/>
                  <w:vAlign w:val="center"/>
                </w:tcPr>
                <w:p w14:paraId="42596416">
                  <w:pPr>
                    <w:pStyle w:val="68"/>
                    <w:widowControl w:val="0"/>
                    <w:spacing w:before="0" w:after="0" w:line="240" w:lineRule="exact"/>
                    <w:rPr>
                      <w:rFonts w:hint="default" w:ascii="Times New Roman" w:hAnsi="Times New Roman"/>
                      <w:sz w:val="21"/>
                      <w:szCs w:val="21"/>
                      <w:lang w:val="en-US" w:eastAsia="zh-CN"/>
                    </w:rPr>
                  </w:pPr>
                  <w:r>
                    <w:rPr>
                      <w:rFonts w:hint="eastAsia" w:ascii="Times New Roman" w:hAnsi="Times New Roman"/>
                      <w:sz w:val="21"/>
                      <w:szCs w:val="21"/>
                      <w:lang w:val="en-US" w:eastAsia="zh-CN"/>
                    </w:rPr>
                    <w:t>/</w:t>
                  </w:r>
                </w:p>
              </w:tc>
            </w:tr>
          </w:tbl>
          <w:p w14:paraId="1F0005ED">
            <w:pPr>
              <w:ind w:firstLine="420" w:firstLineChars="200"/>
              <w:jc w:val="center"/>
              <w:rPr>
                <w:szCs w:val="21"/>
              </w:rPr>
            </w:pPr>
          </w:p>
          <w:p w14:paraId="6AF1E455">
            <w:pPr>
              <w:wordWrap w:val="0"/>
              <w:spacing w:line="360" w:lineRule="auto"/>
              <w:ind w:firstLine="482" w:firstLineChars="200"/>
              <w:rPr>
                <w:b/>
                <w:bCs/>
                <w:sz w:val="24"/>
              </w:rPr>
            </w:pPr>
            <w:r>
              <w:rPr>
                <w:rFonts w:hint="eastAsia"/>
                <w:b/>
                <w:bCs/>
                <w:sz w:val="24"/>
              </w:rPr>
              <w:t>2</w:t>
            </w:r>
            <w:r>
              <w:rPr>
                <w:b/>
                <w:bCs/>
                <w:sz w:val="24"/>
              </w:rPr>
              <w:t>、项目名称、地点、建设单位及性质</w:t>
            </w:r>
          </w:p>
          <w:p w14:paraId="079EECC6">
            <w:pPr>
              <w:tabs>
                <w:tab w:val="left" w:pos="676"/>
              </w:tabs>
              <w:wordWrap w:val="0"/>
              <w:spacing w:line="360" w:lineRule="auto"/>
              <w:ind w:firstLine="482" w:firstLineChars="200"/>
              <w:rPr>
                <w:kern w:val="0"/>
                <w:sz w:val="24"/>
              </w:rPr>
            </w:pPr>
            <w:r>
              <w:rPr>
                <w:b/>
                <w:bCs/>
                <w:sz w:val="24"/>
              </w:rPr>
              <w:t>项目名称：</w:t>
            </w:r>
            <w:r>
              <w:rPr>
                <w:rFonts w:hint="eastAsia"/>
                <w:sz w:val="24"/>
              </w:rPr>
              <w:t>四川省达州市瑞欣路面材料有限责任公司2025年环保节能沥青混凝土生产技改扩能项目</w:t>
            </w:r>
            <w:r>
              <w:rPr>
                <w:sz w:val="24"/>
              </w:rPr>
              <w:t>；</w:t>
            </w:r>
          </w:p>
          <w:p w14:paraId="3A2B1260">
            <w:pPr>
              <w:tabs>
                <w:tab w:val="left" w:pos="676"/>
              </w:tabs>
              <w:wordWrap w:val="0"/>
              <w:spacing w:line="360" w:lineRule="auto"/>
              <w:ind w:firstLine="482" w:firstLineChars="200"/>
              <w:rPr>
                <w:sz w:val="24"/>
              </w:rPr>
            </w:pPr>
            <w:r>
              <w:rPr>
                <w:b/>
                <w:bCs/>
                <w:sz w:val="24"/>
              </w:rPr>
              <w:t>建设单位：</w:t>
            </w:r>
            <w:r>
              <w:rPr>
                <w:rFonts w:hint="eastAsia"/>
                <w:sz w:val="24"/>
              </w:rPr>
              <w:t>四川省达州市瑞欣路面材料有限责任公司</w:t>
            </w:r>
            <w:r>
              <w:rPr>
                <w:sz w:val="24"/>
              </w:rPr>
              <w:t>；</w:t>
            </w:r>
          </w:p>
          <w:p w14:paraId="4F5A0ABC">
            <w:pPr>
              <w:tabs>
                <w:tab w:val="left" w:pos="676"/>
              </w:tabs>
              <w:wordWrap w:val="0"/>
              <w:spacing w:line="360" w:lineRule="auto"/>
              <w:ind w:firstLine="482" w:firstLineChars="200"/>
              <w:rPr>
                <w:rFonts w:hint="eastAsia" w:ascii="Times New Roman" w:hAnsi="Times New Roman" w:eastAsia="宋体" w:cs="Times New Roman"/>
                <w:b w:val="0"/>
                <w:bCs w:val="0"/>
                <w:sz w:val="24"/>
              </w:rPr>
            </w:pPr>
            <w:r>
              <w:rPr>
                <w:b/>
                <w:bCs/>
                <w:sz w:val="24"/>
              </w:rPr>
              <w:t>建设地点：</w:t>
            </w:r>
            <w:r>
              <w:rPr>
                <w:rFonts w:hint="eastAsia"/>
                <w:b w:val="0"/>
                <w:bCs w:val="0"/>
                <w:sz w:val="24"/>
              </w:rPr>
              <w:t>四川省达州市通川区东岳镇有力村九组</w:t>
            </w:r>
            <w:r>
              <w:rPr>
                <w:rFonts w:hint="eastAsia" w:ascii="Times New Roman" w:hAnsi="Times New Roman" w:eastAsia="宋体" w:cs="Times New Roman"/>
                <w:b w:val="0"/>
                <w:bCs w:val="0"/>
                <w:sz w:val="24"/>
              </w:rPr>
              <w:t>；</w:t>
            </w:r>
          </w:p>
          <w:p w14:paraId="1874B0D4">
            <w:pPr>
              <w:wordWrap w:val="0"/>
              <w:spacing w:line="360" w:lineRule="auto"/>
              <w:ind w:firstLine="482" w:firstLineChars="200"/>
              <w:textAlignment w:val="baseline"/>
              <w:rPr>
                <w:sz w:val="24"/>
              </w:rPr>
            </w:pPr>
            <w:r>
              <w:rPr>
                <w:b/>
                <w:bCs/>
                <w:sz w:val="24"/>
              </w:rPr>
              <w:t>建设性质：</w:t>
            </w:r>
            <w:r>
              <w:rPr>
                <w:rFonts w:hint="eastAsia"/>
                <w:b w:val="0"/>
                <w:bCs w:val="0"/>
                <w:sz w:val="24"/>
                <w:lang w:val="en-US" w:eastAsia="zh-CN"/>
              </w:rPr>
              <w:t>改</w:t>
            </w:r>
            <w:r>
              <w:rPr>
                <w:rFonts w:hint="eastAsia"/>
                <w:sz w:val="24"/>
                <w:lang w:val="en-US" w:eastAsia="zh-CN"/>
              </w:rPr>
              <w:t>扩建</w:t>
            </w:r>
            <w:r>
              <w:rPr>
                <w:sz w:val="24"/>
              </w:rPr>
              <w:t>；</w:t>
            </w:r>
          </w:p>
          <w:p w14:paraId="3691F0E2">
            <w:pPr>
              <w:wordWrap w:val="0"/>
              <w:spacing w:line="360" w:lineRule="auto"/>
              <w:ind w:firstLine="482" w:firstLineChars="200"/>
              <w:textAlignment w:val="baseline"/>
              <w:rPr>
                <w:sz w:val="24"/>
                <w:highlight w:val="yellow"/>
              </w:rPr>
            </w:pPr>
            <w:r>
              <w:rPr>
                <w:rFonts w:hint="eastAsia"/>
                <w:b/>
                <w:bCs/>
                <w:sz w:val="24"/>
                <w:highlight w:val="none"/>
                <w:lang w:val="en-US" w:eastAsia="zh-CN"/>
              </w:rPr>
              <w:t>占地</w:t>
            </w:r>
            <w:r>
              <w:rPr>
                <w:b/>
                <w:bCs/>
                <w:sz w:val="24"/>
                <w:highlight w:val="none"/>
              </w:rPr>
              <w:t>面积：</w:t>
            </w:r>
            <w:r>
              <w:rPr>
                <w:rFonts w:hint="eastAsia"/>
                <w:sz w:val="24"/>
                <w:highlight w:val="none"/>
                <w:lang w:val="en-US" w:eastAsia="zh-CN"/>
              </w:rPr>
              <w:t>20576</w:t>
            </w:r>
            <w:r>
              <w:rPr>
                <w:rFonts w:hint="eastAsia"/>
                <w:sz w:val="24"/>
                <w:highlight w:val="none"/>
              </w:rPr>
              <w:t>m</w:t>
            </w:r>
            <w:r>
              <w:rPr>
                <w:rFonts w:hint="eastAsia"/>
                <w:sz w:val="24"/>
                <w:highlight w:val="none"/>
                <w:vertAlign w:val="superscript"/>
              </w:rPr>
              <w:t>2</w:t>
            </w:r>
            <w:r>
              <w:rPr>
                <w:rFonts w:hint="eastAsia"/>
                <w:sz w:val="24"/>
                <w:highlight w:val="none"/>
                <w:vertAlign w:val="baseline"/>
                <w:lang w:eastAsia="zh-CN"/>
              </w:rPr>
              <w:t>（</w:t>
            </w:r>
            <w:r>
              <w:rPr>
                <w:rFonts w:hint="eastAsia"/>
                <w:sz w:val="24"/>
                <w:highlight w:val="none"/>
                <w:vertAlign w:val="baseline"/>
                <w:lang w:val="en-US" w:eastAsia="zh-CN"/>
              </w:rPr>
              <w:t>注：建设单位已取得32672</w:t>
            </w:r>
            <w:r>
              <w:rPr>
                <w:rFonts w:hint="eastAsia"/>
                <w:sz w:val="24"/>
                <w:highlight w:val="none"/>
              </w:rPr>
              <w:t>m</w:t>
            </w:r>
            <w:r>
              <w:rPr>
                <w:rFonts w:hint="eastAsia"/>
                <w:sz w:val="24"/>
                <w:highlight w:val="none"/>
                <w:vertAlign w:val="superscript"/>
              </w:rPr>
              <w:t>2</w:t>
            </w:r>
            <w:r>
              <w:rPr>
                <w:rFonts w:hint="eastAsia"/>
                <w:sz w:val="24"/>
                <w:highlight w:val="none"/>
                <w:vertAlign w:val="baseline"/>
                <w:lang w:val="en-US" w:eastAsia="zh-CN"/>
              </w:rPr>
              <w:t>使用权，本次改扩建完成后全厂使用面积为</w:t>
            </w:r>
            <w:r>
              <w:rPr>
                <w:rFonts w:hint="eastAsia"/>
                <w:sz w:val="24"/>
                <w:highlight w:val="none"/>
                <w:lang w:val="en-US" w:eastAsia="zh-CN"/>
              </w:rPr>
              <w:t>20576</w:t>
            </w:r>
            <w:r>
              <w:rPr>
                <w:rFonts w:hint="eastAsia"/>
                <w:sz w:val="24"/>
                <w:highlight w:val="none"/>
              </w:rPr>
              <w:t>m</w:t>
            </w:r>
            <w:r>
              <w:rPr>
                <w:rFonts w:hint="eastAsia"/>
                <w:sz w:val="24"/>
                <w:highlight w:val="none"/>
                <w:vertAlign w:val="superscript"/>
              </w:rPr>
              <w:t>2</w:t>
            </w:r>
            <w:r>
              <w:rPr>
                <w:rFonts w:hint="eastAsia"/>
                <w:sz w:val="24"/>
                <w:highlight w:val="none"/>
                <w:vertAlign w:val="baseline"/>
                <w:lang w:eastAsia="zh-CN"/>
              </w:rPr>
              <w:t>）</w:t>
            </w:r>
            <w:r>
              <w:rPr>
                <w:rFonts w:hint="eastAsia"/>
                <w:sz w:val="24"/>
                <w:highlight w:val="none"/>
              </w:rPr>
              <w:t>；</w:t>
            </w:r>
          </w:p>
          <w:p w14:paraId="4596455B">
            <w:pPr>
              <w:tabs>
                <w:tab w:val="left" w:pos="676"/>
              </w:tabs>
              <w:wordWrap w:val="0"/>
              <w:spacing w:line="360" w:lineRule="auto"/>
              <w:ind w:firstLine="482" w:firstLineChars="200"/>
              <w:rPr>
                <w:rFonts w:hint="eastAsia"/>
                <w:sz w:val="24"/>
              </w:rPr>
            </w:pPr>
            <w:r>
              <w:rPr>
                <w:b/>
                <w:bCs/>
                <w:sz w:val="24"/>
              </w:rPr>
              <w:t>项目投资：</w:t>
            </w:r>
            <w:r>
              <w:rPr>
                <w:sz w:val="24"/>
              </w:rPr>
              <w:t>项目总投资</w:t>
            </w:r>
            <w:r>
              <w:rPr>
                <w:rFonts w:hint="eastAsia"/>
                <w:sz w:val="24"/>
                <w:lang w:val="en-US" w:eastAsia="zh-CN"/>
              </w:rPr>
              <w:t>8000</w:t>
            </w:r>
            <w:r>
              <w:rPr>
                <w:sz w:val="24"/>
              </w:rPr>
              <w:t>万元</w:t>
            </w:r>
            <w:r>
              <w:rPr>
                <w:rFonts w:hint="eastAsia"/>
                <w:sz w:val="24"/>
              </w:rPr>
              <w:t>；</w:t>
            </w:r>
          </w:p>
          <w:p w14:paraId="02ACC2C7">
            <w:pPr>
              <w:tabs>
                <w:tab w:val="left" w:pos="676"/>
              </w:tabs>
              <w:wordWrap w:val="0"/>
              <w:spacing w:line="360" w:lineRule="auto"/>
              <w:ind w:left="42" w:leftChars="20" w:right="42" w:rightChars="20" w:firstLine="482" w:firstLineChars="200"/>
              <w:rPr>
                <w:b w:val="0"/>
                <w:bCs/>
                <w:sz w:val="24"/>
              </w:rPr>
            </w:pPr>
            <w:r>
              <w:rPr>
                <w:b/>
                <w:sz w:val="24"/>
              </w:rPr>
              <w:t>建设内容及规模：</w:t>
            </w:r>
            <w:r>
              <w:rPr>
                <w:rFonts w:hint="eastAsia"/>
                <w:b w:val="0"/>
                <w:bCs/>
                <w:sz w:val="24"/>
              </w:rPr>
              <w:t>在原项目用地红线范围内进行改扩建，不新增占地，主要建设内容包括：①利用厂区内北侧未利用空地新建1个煤粉生产车间，建筑面积约为3000平方米，购置安装原料收料斗、原料提升机、中速磨煤机、煤粉炉、成品仓等设备，建设1条年产10万吨煤粉生产线；②对原项目普通沥青混凝土生产线进行设备升级改造，增加年产普通沥青混凝土10万吨的产能；③在原项目沥青车间内新增1套乳化沥青混合搅拌设备，2个乳化沥青成品罐，建设1条年产6000吨乳化沥青生产线。项目</w:t>
            </w:r>
            <w:r>
              <w:rPr>
                <w:rFonts w:hint="eastAsia"/>
                <w:b w:val="0"/>
                <w:bCs/>
                <w:sz w:val="24"/>
                <w:lang w:val="en-US" w:eastAsia="zh-CN"/>
              </w:rPr>
              <w:t>扩建</w:t>
            </w:r>
            <w:r>
              <w:rPr>
                <w:rFonts w:hint="eastAsia"/>
                <w:b w:val="0"/>
                <w:bCs/>
                <w:sz w:val="24"/>
              </w:rPr>
              <w:t>完成后全厂可实现年产普通沥青混凝土30万吨，热再生沥青混凝土10万吨，乳化沥青6000吨，煤粉10万吨的生产能力。</w:t>
            </w:r>
          </w:p>
          <w:p w14:paraId="0CA67AFE">
            <w:pPr>
              <w:tabs>
                <w:tab w:val="left" w:pos="676"/>
              </w:tabs>
              <w:wordWrap w:val="0"/>
              <w:spacing w:line="360" w:lineRule="auto"/>
              <w:ind w:left="42" w:leftChars="20" w:right="42" w:rightChars="20" w:firstLine="482" w:firstLineChars="200"/>
              <w:rPr>
                <w:rFonts w:hint="eastAsia"/>
                <w:b w:val="0"/>
                <w:bCs w:val="0"/>
                <w:sz w:val="24"/>
                <w:szCs w:val="22"/>
                <w:lang w:val="en-US" w:eastAsia="zh-CN"/>
              </w:rPr>
            </w:pPr>
            <w:r>
              <w:rPr>
                <w:rFonts w:hint="eastAsia"/>
                <w:b/>
                <w:bCs/>
                <w:sz w:val="24"/>
                <w:szCs w:val="22"/>
                <w:lang w:val="en-US" w:eastAsia="zh-CN"/>
              </w:rPr>
              <w:t>工作制度及劳动定员：</w:t>
            </w:r>
            <w:r>
              <w:rPr>
                <w:b w:val="0"/>
                <w:bCs w:val="0"/>
                <w:sz w:val="24"/>
              </w:rPr>
              <w:t>本</w:t>
            </w:r>
            <w:r>
              <w:rPr>
                <w:rFonts w:hint="eastAsia"/>
                <w:b w:val="0"/>
                <w:bCs w:val="0"/>
                <w:sz w:val="24"/>
                <w:lang w:val="en-US" w:eastAsia="zh-CN"/>
              </w:rPr>
              <w:t>次改扩建</w:t>
            </w:r>
            <w:r>
              <w:rPr>
                <w:rFonts w:hint="eastAsia"/>
                <w:b w:val="0"/>
                <w:bCs w:val="0"/>
                <w:sz w:val="24"/>
              </w:rPr>
              <w:t>新增</w:t>
            </w:r>
            <w:r>
              <w:rPr>
                <w:b w:val="0"/>
                <w:bCs w:val="0"/>
                <w:sz w:val="24"/>
              </w:rPr>
              <w:t>员工</w:t>
            </w:r>
            <w:r>
              <w:rPr>
                <w:rFonts w:hint="eastAsia"/>
                <w:b w:val="0"/>
                <w:bCs w:val="0"/>
                <w:sz w:val="24"/>
                <w:lang w:val="en-US" w:eastAsia="zh-CN"/>
              </w:rPr>
              <w:t>10</w:t>
            </w:r>
            <w:r>
              <w:rPr>
                <w:rFonts w:hint="eastAsia"/>
                <w:b w:val="0"/>
                <w:bCs w:val="0"/>
                <w:sz w:val="24"/>
              </w:rPr>
              <w:t>人</w:t>
            </w:r>
            <w:r>
              <w:rPr>
                <w:b w:val="0"/>
                <w:bCs w:val="0"/>
                <w:sz w:val="24"/>
              </w:rPr>
              <w:t>，</w:t>
            </w:r>
            <w:r>
              <w:rPr>
                <w:rFonts w:hint="eastAsia"/>
                <w:b w:val="0"/>
                <w:bCs w:val="0"/>
                <w:sz w:val="24"/>
                <w:lang w:val="en-US" w:eastAsia="zh-CN"/>
              </w:rPr>
              <w:t>改扩建完成后全厂劳动定员40人</w:t>
            </w:r>
            <w:r>
              <w:rPr>
                <w:rFonts w:hint="eastAsia"/>
                <w:b w:val="0"/>
                <w:bCs w:val="0"/>
                <w:sz w:val="24"/>
                <w:szCs w:val="22"/>
                <w:lang w:val="en-US" w:eastAsia="zh-CN"/>
              </w:rPr>
              <w:t>，年工作日330天，采取1班10小时制。厂区内提供员工休息室及员工食堂。</w:t>
            </w:r>
          </w:p>
          <w:p w14:paraId="7063E335">
            <w:pPr>
              <w:tabs>
                <w:tab w:val="left" w:pos="676"/>
              </w:tabs>
              <w:spacing w:line="360" w:lineRule="auto"/>
              <w:ind w:firstLine="482" w:firstLineChars="200"/>
              <w:rPr>
                <w:sz w:val="24"/>
              </w:rPr>
            </w:pPr>
            <w:r>
              <w:rPr>
                <w:rFonts w:hint="eastAsia"/>
                <w:b/>
                <w:bCs/>
                <w:sz w:val="24"/>
              </w:rPr>
              <w:t>3</w:t>
            </w:r>
            <w:r>
              <w:rPr>
                <w:b/>
                <w:bCs/>
                <w:sz w:val="24"/>
              </w:rPr>
              <w:t>、产品方案</w:t>
            </w:r>
          </w:p>
          <w:p w14:paraId="21CCEBC9">
            <w:pPr>
              <w:numPr>
                <w:ilvl w:val="0"/>
                <w:numId w:val="4"/>
              </w:numPr>
              <w:tabs>
                <w:tab w:val="left" w:pos="0"/>
              </w:tabs>
              <w:jc w:val="center"/>
              <w:rPr>
                <w:rFonts w:hint="eastAsia" w:ascii="Times New Roman" w:hAnsi="Times New Roman" w:eastAsia="宋体" w:cs="Times New Roman"/>
                <w:b/>
                <w:szCs w:val="21"/>
                <w:lang w:val="en-US" w:eastAsia="zh-CN"/>
              </w:rPr>
            </w:pPr>
            <w:r>
              <w:rPr>
                <w:rFonts w:hint="eastAsia" w:cs="Times New Roman"/>
                <w:b/>
                <w:szCs w:val="21"/>
                <w:lang w:val="en-US" w:eastAsia="zh-CN"/>
              </w:rPr>
              <w:t>改扩</w:t>
            </w:r>
            <w:r>
              <w:rPr>
                <w:rFonts w:hint="eastAsia" w:ascii="Times New Roman" w:hAnsi="Times New Roman" w:eastAsia="宋体" w:cs="Times New Roman"/>
                <w:b/>
                <w:szCs w:val="21"/>
                <w:lang w:val="en-US" w:eastAsia="zh-CN"/>
              </w:rPr>
              <w:t>建前后产品方案一览表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3046"/>
              <w:gridCol w:w="1388"/>
              <w:gridCol w:w="1831"/>
              <w:gridCol w:w="1796"/>
            </w:tblGrid>
            <w:tr w14:paraId="6E7616D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046" w:type="dxa"/>
                  <w:vMerge w:val="restart"/>
                  <w:tcBorders>
                    <w:tl2br w:val="nil"/>
                    <w:tr2bl w:val="nil"/>
                  </w:tcBorders>
                  <w:noWrap w:val="0"/>
                  <w:vAlign w:val="center"/>
                </w:tcPr>
                <w:p w14:paraId="02CDF246">
                  <w:pPr>
                    <w:keepNext w:val="0"/>
                    <w:keepLines w:val="0"/>
                    <w:pageBreakBefore w:val="0"/>
                    <w:widowControl w:val="0"/>
                    <w:tabs>
                      <w:tab w:val="left" w:pos="676"/>
                    </w:tabs>
                    <w:kinsoku/>
                    <w:wordWrap w:val="0"/>
                    <w:overflowPunct/>
                    <w:topLinePunct w:val="0"/>
                    <w:autoSpaceDE/>
                    <w:autoSpaceDN/>
                    <w:bidi w:val="0"/>
                    <w:adjustRightInd/>
                    <w:snapToGrid/>
                    <w:spacing w:line="240" w:lineRule="exact"/>
                    <w:ind w:right="0" w:right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名称</w:t>
                  </w:r>
                </w:p>
              </w:tc>
              <w:tc>
                <w:tcPr>
                  <w:tcW w:w="5015" w:type="dxa"/>
                  <w:gridSpan w:val="3"/>
                  <w:tcBorders>
                    <w:tl2br w:val="nil"/>
                    <w:tr2bl w:val="nil"/>
                  </w:tcBorders>
                  <w:noWrap w:val="0"/>
                  <w:vAlign w:val="center"/>
                </w:tcPr>
                <w:p w14:paraId="1ACCA9A7">
                  <w:pPr>
                    <w:keepNext w:val="0"/>
                    <w:keepLines w:val="0"/>
                    <w:pageBreakBefore w:val="0"/>
                    <w:widowControl w:val="0"/>
                    <w:tabs>
                      <w:tab w:val="left" w:pos="676"/>
                    </w:tabs>
                    <w:kinsoku/>
                    <w:wordWrap w:val="0"/>
                    <w:overflowPunct/>
                    <w:topLinePunct w:val="0"/>
                    <w:autoSpaceDE/>
                    <w:autoSpaceDN/>
                    <w:bidi w:val="0"/>
                    <w:adjustRightInd/>
                    <w:snapToGrid/>
                    <w:spacing w:line="240" w:lineRule="exact"/>
                    <w:ind w:right="0" w:right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年产量（</w:t>
                  </w:r>
                  <w:r>
                    <w:rPr>
                      <w:rFonts w:hint="eastAsia" w:cs="Times New Roman"/>
                      <w:b w:val="0"/>
                      <w:bCs w:val="0"/>
                      <w:sz w:val="21"/>
                      <w:szCs w:val="21"/>
                      <w:highlight w:val="none"/>
                      <w:vertAlign w:val="baseline"/>
                      <w:lang w:val="en-US" w:eastAsia="zh-CN"/>
                    </w:rPr>
                    <w:t>t</w:t>
                  </w:r>
                  <w:r>
                    <w:rPr>
                      <w:rFonts w:hint="default" w:ascii="Times New Roman" w:hAnsi="Times New Roman" w:cs="Times New Roman"/>
                      <w:b w:val="0"/>
                      <w:bCs w:val="0"/>
                      <w:sz w:val="21"/>
                      <w:szCs w:val="21"/>
                      <w:highlight w:val="none"/>
                      <w:vertAlign w:val="baseline"/>
                      <w:lang w:val="en-US" w:eastAsia="zh-CN"/>
                    </w:rPr>
                    <w:t>/a）</w:t>
                  </w:r>
                </w:p>
              </w:tc>
            </w:tr>
            <w:tr w14:paraId="0C84A8F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046" w:type="dxa"/>
                  <w:vMerge w:val="continue"/>
                  <w:tcBorders>
                    <w:tl2br w:val="nil"/>
                    <w:tr2bl w:val="nil"/>
                  </w:tcBorders>
                  <w:noWrap w:val="0"/>
                  <w:vAlign w:val="center"/>
                </w:tcPr>
                <w:p w14:paraId="604E639A">
                  <w:pPr>
                    <w:keepNext w:val="0"/>
                    <w:keepLines w:val="0"/>
                    <w:pageBreakBefore w:val="0"/>
                    <w:widowControl w:val="0"/>
                    <w:tabs>
                      <w:tab w:val="left" w:pos="676"/>
                    </w:tabs>
                    <w:kinsoku/>
                    <w:wordWrap w:val="0"/>
                    <w:overflowPunct/>
                    <w:topLinePunct w:val="0"/>
                    <w:autoSpaceDE/>
                    <w:autoSpaceDN/>
                    <w:bidi w:val="0"/>
                    <w:adjustRightInd/>
                    <w:snapToGrid/>
                    <w:spacing w:line="240" w:lineRule="exact"/>
                    <w:ind w:right="0" w:rightChars="0"/>
                    <w:jc w:val="center"/>
                    <w:textAlignment w:val="auto"/>
                    <w:rPr>
                      <w:rFonts w:hint="default" w:ascii="Times New Roman" w:hAnsi="Times New Roman" w:cs="Times New Roman"/>
                      <w:b w:val="0"/>
                      <w:bCs w:val="0"/>
                      <w:sz w:val="21"/>
                      <w:szCs w:val="21"/>
                      <w:highlight w:val="none"/>
                      <w:vertAlign w:val="baseline"/>
                      <w:lang w:val="en-US" w:eastAsia="zh-CN"/>
                    </w:rPr>
                  </w:pPr>
                </w:p>
              </w:tc>
              <w:tc>
                <w:tcPr>
                  <w:tcW w:w="1388" w:type="dxa"/>
                  <w:tcBorders>
                    <w:tl2br w:val="nil"/>
                    <w:tr2bl w:val="nil"/>
                  </w:tcBorders>
                  <w:noWrap w:val="0"/>
                  <w:vAlign w:val="center"/>
                </w:tcPr>
                <w:p w14:paraId="146A59D2">
                  <w:pPr>
                    <w:keepNext w:val="0"/>
                    <w:keepLines w:val="0"/>
                    <w:pageBreakBefore w:val="0"/>
                    <w:widowControl w:val="0"/>
                    <w:tabs>
                      <w:tab w:val="left" w:pos="676"/>
                    </w:tabs>
                    <w:kinsoku/>
                    <w:wordWrap w:val="0"/>
                    <w:overflowPunct/>
                    <w:topLinePunct w:val="0"/>
                    <w:autoSpaceDE/>
                    <w:autoSpaceDN/>
                    <w:bidi w:val="0"/>
                    <w:adjustRightInd/>
                    <w:snapToGrid/>
                    <w:spacing w:line="240" w:lineRule="exact"/>
                    <w:ind w:right="0" w:right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原项目</w:t>
                  </w:r>
                </w:p>
              </w:tc>
              <w:tc>
                <w:tcPr>
                  <w:tcW w:w="1831" w:type="dxa"/>
                  <w:tcBorders>
                    <w:tl2br w:val="nil"/>
                    <w:tr2bl w:val="nil"/>
                  </w:tcBorders>
                  <w:noWrap w:val="0"/>
                  <w:vAlign w:val="center"/>
                </w:tcPr>
                <w:p w14:paraId="350E4B51">
                  <w:pPr>
                    <w:keepNext w:val="0"/>
                    <w:keepLines w:val="0"/>
                    <w:pageBreakBefore w:val="0"/>
                    <w:widowControl w:val="0"/>
                    <w:tabs>
                      <w:tab w:val="left" w:pos="676"/>
                    </w:tabs>
                    <w:kinsoku/>
                    <w:wordWrap w:val="0"/>
                    <w:overflowPunct/>
                    <w:topLinePunct w:val="0"/>
                    <w:autoSpaceDE/>
                    <w:autoSpaceDN/>
                    <w:bidi w:val="0"/>
                    <w:adjustRightInd/>
                    <w:snapToGrid/>
                    <w:spacing w:line="240" w:lineRule="exact"/>
                    <w:ind w:right="0" w:right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本次</w:t>
                  </w:r>
                  <w:r>
                    <w:rPr>
                      <w:rFonts w:hint="eastAsia" w:cs="Times New Roman"/>
                      <w:b w:val="0"/>
                      <w:bCs w:val="0"/>
                      <w:sz w:val="21"/>
                      <w:szCs w:val="21"/>
                      <w:highlight w:val="none"/>
                      <w:vertAlign w:val="baseline"/>
                      <w:lang w:val="en-US" w:eastAsia="zh-CN"/>
                    </w:rPr>
                    <w:t>改扩建新增</w:t>
                  </w:r>
                </w:p>
              </w:tc>
              <w:tc>
                <w:tcPr>
                  <w:tcW w:w="1796" w:type="dxa"/>
                  <w:tcBorders>
                    <w:tl2br w:val="nil"/>
                    <w:tr2bl w:val="nil"/>
                  </w:tcBorders>
                  <w:noWrap w:val="0"/>
                  <w:vAlign w:val="center"/>
                </w:tcPr>
                <w:p w14:paraId="0D43C92F">
                  <w:pPr>
                    <w:keepNext w:val="0"/>
                    <w:keepLines w:val="0"/>
                    <w:pageBreakBefore w:val="0"/>
                    <w:widowControl w:val="0"/>
                    <w:tabs>
                      <w:tab w:val="left" w:pos="676"/>
                    </w:tabs>
                    <w:kinsoku/>
                    <w:wordWrap w:val="0"/>
                    <w:overflowPunct/>
                    <w:topLinePunct w:val="0"/>
                    <w:autoSpaceDE/>
                    <w:autoSpaceDN/>
                    <w:bidi w:val="0"/>
                    <w:adjustRightInd/>
                    <w:snapToGrid/>
                    <w:spacing w:line="240" w:lineRule="exact"/>
                    <w:ind w:right="0" w:right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改扩建</w:t>
                  </w:r>
                  <w:r>
                    <w:rPr>
                      <w:rFonts w:hint="default" w:ascii="Times New Roman" w:hAnsi="Times New Roman" w:cs="Times New Roman"/>
                      <w:b w:val="0"/>
                      <w:bCs w:val="0"/>
                      <w:sz w:val="21"/>
                      <w:szCs w:val="21"/>
                      <w:highlight w:val="none"/>
                      <w:vertAlign w:val="baseline"/>
                      <w:lang w:val="en-US" w:eastAsia="zh-CN"/>
                    </w:rPr>
                    <w:t>后全厂</w:t>
                  </w:r>
                </w:p>
              </w:tc>
            </w:tr>
            <w:tr w14:paraId="01281A2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046" w:type="dxa"/>
                  <w:tcBorders>
                    <w:tl2br w:val="nil"/>
                    <w:tr2bl w:val="nil"/>
                  </w:tcBorders>
                  <w:noWrap w:val="0"/>
                  <w:vAlign w:val="center"/>
                </w:tcPr>
                <w:p w14:paraId="3A31E168">
                  <w:pPr>
                    <w:spacing w:line="24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普通沥青混凝土</w:t>
                  </w:r>
                </w:p>
              </w:tc>
              <w:tc>
                <w:tcPr>
                  <w:tcW w:w="1388" w:type="dxa"/>
                  <w:tcBorders>
                    <w:tl2br w:val="nil"/>
                    <w:tr2bl w:val="nil"/>
                  </w:tcBorders>
                  <w:noWrap w:val="0"/>
                  <w:vAlign w:val="center"/>
                </w:tcPr>
                <w:p w14:paraId="58BA5866">
                  <w:pPr>
                    <w:keepNext w:val="0"/>
                    <w:keepLines w:val="0"/>
                    <w:pageBreakBefore w:val="0"/>
                    <w:widowControl w:val="0"/>
                    <w:tabs>
                      <w:tab w:val="left" w:pos="676"/>
                    </w:tabs>
                    <w:kinsoku/>
                    <w:wordWrap w:val="0"/>
                    <w:overflowPunct/>
                    <w:topLinePunct w:val="0"/>
                    <w:autoSpaceDE/>
                    <w:autoSpaceDN/>
                    <w:bidi w:val="0"/>
                    <w:adjustRightInd/>
                    <w:snapToGrid/>
                    <w:spacing w:line="240" w:lineRule="exact"/>
                    <w:ind w:right="0" w:rightChars="0"/>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cs="Times New Roman"/>
                      <w:b w:val="0"/>
                      <w:bCs/>
                      <w:kern w:val="2"/>
                      <w:sz w:val="21"/>
                      <w:szCs w:val="21"/>
                      <w:vertAlign w:val="baseline"/>
                      <w:lang w:val="en-US" w:eastAsia="zh-CN" w:bidi="ar-SA"/>
                    </w:rPr>
                    <w:t>20万</w:t>
                  </w:r>
                </w:p>
              </w:tc>
              <w:tc>
                <w:tcPr>
                  <w:tcW w:w="1831" w:type="dxa"/>
                  <w:tcBorders>
                    <w:tl2br w:val="nil"/>
                    <w:tr2bl w:val="nil"/>
                  </w:tcBorders>
                  <w:noWrap w:val="0"/>
                  <w:vAlign w:val="center"/>
                </w:tcPr>
                <w:p w14:paraId="353D5381">
                  <w:pPr>
                    <w:spacing w:line="240" w:lineRule="exact"/>
                    <w:jc w:val="center"/>
                    <w:rPr>
                      <w:rFonts w:hint="default" w:ascii="Times New Roman" w:hAnsi="Times New Roman" w:eastAsia="宋体" w:cs="Times New Roman"/>
                      <w:b w:val="0"/>
                      <w:bCs/>
                      <w:kern w:val="2"/>
                      <w:sz w:val="21"/>
                      <w:szCs w:val="21"/>
                      <w:vertAlign w:val="baseline"/>
                      <w:lang w:val="en-US" w:eastAsia="zh-CN" w:bidi="ar-SA"/>
                    </w:rPr>
                  </w:pPr>
                  <w:r>
                    <w:rPr>
                      <w:rFonts w:hint="eastAsia" w:cs="Times New Roman"/>
                      <w:b w:val="0"/>
                      <w:bCs/>
                      <w:kern w:val="2"/>
                      <w:sz w:val="21"/>
                      <w:szCs w:val="21"/>
                      <w:vertAlign w:val="baseline"/>
                      <w:lang w:val="en-US" w:eastAsia="zh-CN" w:bidi="ar-SA"/>
                    </w:rPr>
                    <w:t>10万</w:t>
                  </w:r>
                </w:p>
              </w:tc>
              <w:tc>
                <w:tcPr>
                  <w:tcW w:w="1796" w:type="dxa"/>
                  <w:tcBorders>
                    <w:tl2br w:val="nil"/>
                    <w:tr2bl w:val="nil"/>
                  </w:tcBorders>
                  <w:noWrap w:val="0"/>
                  <w:vAlign w:val="center"/>
                </w:tcPr>
                <w:p w14:paraId="314A9D8D">
                  <w:pPr>
                    <w:spacing w:line="240" w:lineRule="exact"/>
                    <w:jc w:val="center"/>
                    <w:rPr>
                      <w:rFonts w:hint="default" w:ascii="Times New Roman" w:hAnsi="Times New Roman" w:eastAsia="宋体" w:cs="Times New Roman"/>
                      <w:b w:val="0"/>
                      <w:bCs/>
                      <w:kern w:val="2"/>
                      <w:sz w:val="21"/>
                      <w:szCs w:val="21"/>
                      <w:vertAlign w:val="baseline"/>
                      <w:lang w:val="en-US" w:eastAsia="zh-CN" w:bidi="ar-SA"/>
                    </w:rPr>
                  </w:pPr>
                  <w:r>
                    <w:rPr>
                      <w:rFonts w:hint="eastAsia" w:cs="Times New Roman"/>
                      <w:b w:val="0"/>
                      <w:bCs/>
                      <w:kern w:val="2"/>
                      <w:sz w:val="21"/>
                      <w:szCs w:val="21"/>
                      <w:vertAlign w:val="baseline"/>
                      <w:lang w:val="en-US" w:eastAsia="zh-CN" w:bidi="ar-SA"/>
                    </w:rPr>
                    <w:t>30万</w:t>
                  </w:r>
                </w:p>
              </w:tc>
            </w:tr>
            <w:tr w14:paraId="2927039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046" w:type="dxa"/>
                  <w:tcBorders>
                    <w:tl2br w:val="nil"/>
                    <w:tr2bl w:val="nil"/>
                  </w:tcBorders>
                  <w:noWrap w:val="0"/>
                  <w:vAlign w:val="center"/>
                </w:tcPr>
                <w:p w14:paraId="5FD95BA2">
                  <w:pPr>
                    <w:spacing w:line="240" w:lineRule="exact"/>
                    <w:jc w:val="center"/>
                    <w:rPr>
                      <w:rFonts w:hint="default" w:ascii="Times New Roman" w:hAnsi="Times New Roman"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热再生沥青混凝土</w:t>
                  </w:r>
                </w:p>
              </w:tc>
              <w:tc>
                <w:tcPr>
                  <w:tcW w:w="1388" w:type="dxa"/>
                  <w:tcBorders>
                    <w:tl2br w:val="nil"/>
                    <w:tr2bl w:val="nil"/>
                  </w:tcBorders>
                  <w:noWrap w:val="0"/>
                  <w:vAlign w:val="center"/>
                </w:tcPr>
                <w:p w14:paraId="04A85A23">
                  <w:pPr>
                    <w:spacing w:line="240" w:lineRule="exact"/>
                    <w:jc w:val="center"/>
                    <w:rPr>
                      <w:rFonts w:hint="default" w:ascii="Times New Roman" w:hAnsi="Times New Roman" w:eastAsia="宋体" w:cs="Times New Roman"/>
                      <w:b w:val="0"/>
                      <w:bCs/>
                      <w:kern w:val="2"/>
                      <w:sz w:val="21"/>
                      <w:szCs w:val="21"/>
                      <w:vertAlign w:val="baseline"/>
                      <w:lang w:val="en-US" w:eastAsia="zh-CN" w:bidi="ar-SA"/>
                    </w:rPr>
                  </w:pPr>
                  <w:r>
                    <w:rPr>
                      <w:rFonts w:hint="eastAsia" w:cs="Times New Roman"/>
                      <w:b w:val="0"/>
                      <w:bCs/>
                      <w:kern w:val="2"/>
                      <w:sz w:val="21"/>
                      <w:szCs w:val="21"/>
                      <w:vertAlign w:val="baseline"/>
                      <w:lang w:val="en-US" w:eastAsia="zh-CN" w:bidi="ar-SA"/>
                    </w:rPr>
                    <w:t>10万</w:t>
                  </w:r>
                </w:p>
              </w:tc>
              <w:tc>
                <w:tcPr>
                  <w:tcW w:w="1831" w:type="dxa"/>
                  <w:tcBorders>
                    <w:tl2br w:val="nil"/>
                    <w:tr2bl w:val="nil"/>
                  </w:tcBorders>
                  <w:noWrap w:val="0"/>
                  <w:vAlign w:val="center"/>
                </w:tcPr>
                <w:p w14:paraId="0ABE4814">
                  <w:pPr>
                    <w:spacing w:line="240" w:lineRule="exact"/>
                    <w:jc w:val="center"/>
                    <w:rPr>
                      <w:rFonts w:hint="default" w:ascii="Times New Roman" w:hAnsi="Times New Roman" w:eastAsia="宋体" w:cs="Times New Roman"/>
                      <w:b w:val="0"/>
                      <w:bCs/>
                      <w:kern w:val="2"/>
                      <w:sz w:val="21"/>
                      <w:szCs w:val="21"/>
                      <w:vertAlign w:val="baseline"/>
                      <w:lang w:val="en-US" w:eastAsia="zh-CN" w:bidi="ar-SA"/>
                    </w:rPr>
                  </w:pPr>
                  <w:r>
                    <w:rPr>
                      <w:rFonts w:hint="eastAsia" w:cs="Times New Roman"/>
                      <w:b w:val="0"/>
                      <w:bCs/>
                      <w:kern w:val="2"/>
                      <w:sz w:val="21"/>
                      <w:szCs w:val="21"/>
                      <w:vertAlign w:val="baseline"/>
                      <w:lang w:val="en-US" w:eastAsia="zh-CN" w:bidi="ar-SA"/>
                    </w:rPr>
                    <w:t>0</w:t>
                  </w:r>
                </w:p>
              </w:tc>
              <w:tc>
                <w:tcPr>
                  <w:tcW w:w="1796" w:type="dxa"/>
                  <w:tcBorders>
                    <w:tl2br w:val="nil"/>
                    <w:tr2bl w:val="nil"/>
                  </w:tcBorders>
                  <w:noWrap w:val="0"/>
                  <w:vAlign w:val="center"/>
                </w:tcPr>
                <w:p w14:paraId="533F616A">
                  <w:pPr>
                    <w:spacing w:line="240" w:lineRule="exact"/>
                    <w:jc w:val="center"/>
                    <w:rPr>
                      <w:rFonts w:hint="default" w:ascii="Times New Roman" w:hAnsi="Times New Roman" w:eastAsia="宋体" w:cs="Times New Roman"/>
                      <w:b w:val="0"/>
                      <w:bCs/>
                      <w:kern w:val="2"/>
                      <w:sz w:val="21"/>
                      <w:szCs w:val="21"/>
                      <w:vertAlign w:val="baseline"/>
                      <w:lang w:val="en-US" w:eastAsia="zh-CN" w:bidi="ar-SA"/>
                    </w:rPr>
                  </w:pPr>
                  <w:r>
                    <w:rPr>
                      <w:rFonts w:hint="eastAsia" w:cs="Times New Roman"/>
                      <w:b w:val="0"/>
                      <w:bCs/>
                      <w:kern w:val="2"/>
                      <w:sz w:val="21"/>
                      <w:szCs w:val="21"/>
                      <w:vertAlign w:val="baseline"/>
                      <w:lang w:val="en-US" w:eastAsia="zh-CN" w:bidi="ar-SA"/>
                    </w:rPr>
                    <w:t>10万</w:t>
                  </w:r>
                </w:p>
              </w:tc>
            </w:tr>
            <w:tr w14:paraId="7F375C5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046" w:type="dxa"/>
                  <w:tcBorders>
                    <w:tl2br w:val="nil"/>
                    <w:tr2bl w:val="nil"/>
                  </w:tcBorders>
                  <w:noWrap w:val="0"/>
                  <w:vAlign w:val="center"/>
                </w:tcPr>
                <w:p w14:paraId="3A28D9C8">
                  <w:pPr>
                    <w:spacing w:line="240" w:lineRule="exact"/>
                    <w:jc w:val="center"/>
                    <w:rPr>
                      <w:rFonts w:hint="default" w:ascii="Times New Roman" w:hAnsi="Times New Roman"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乳化沥青</w:t>
                  </w:r>
                </w:p>
              </w:tc>
              <w:tc>
                <w:tcPr>
                  <w:tcW w:w="1388" w:type="dxa"/>
                  <w:tcBorders>
                    <w:tl2br w:val="nil"/>
                    <w:tr2bl w:val="nil"/>
                  </w:tcBorders>
                  <w:noWrap w:val="0"/>
                  <w:vAlign w:val="center"/>
                </w:tcPr>
                <w:p w14:paraId="3C46E5F7">
                  <w:pPr>
                    <w:spacing w:line="240" w:lineRule="exact"/>
                    <w:jc w:val="center"/>
                    <w:rPr>
                      <w:rFonts w:hint="default" w:ascii="Times New Roman" w:hAnsi="Times New Roman" w:eastAsia="宋体" w:cs="Times New Roman"/>
                      <w:b w:val="0"/>
                      <w:bCs/>
                      <w:kern w:val="2"/>
                      <w:sz w:val="21"/>
                      <w:szCs w:val="21"/>
                      <w:vertAlign w:val="baseline"/>
                      <w:lang w:val="en-US" w:eastAsia="zh-CN" w:bidi="ar-SA"/>
                    </w:rPr>
                  </w:pPr>
                  <w:r>
                    <w:rPr>
                      <w:rFonts w:hint="eastAsia" w:cs="Times New Roman"/>
                      <w:b w:val="0"/>
                      <w:bCs/>
                      <w:kern w:val="2"/>
                      <w:sz w:val="21"/>
                      <w:szCs w:val="21"/>
                      <w:vertAlign w:val="baseline"/>
                      <w:lang w:val="en-US" w:eastAsia="zh-CN" w:bidi="ar-SA"/>
                    </w:rPr>
                    <w:t>0</w:t>
                  </w:r>
                </w:p>
              </w:tc>
              <w:tc>
                <w:tcPr>
                  <w:tcW w:w="1831" w:type="dxa"/>
                  <w:tcBorders>
                    <w:tl2br w:val="nil"/>
                    <w:tr2bl w:val="nil"/>
                  </w:tcBorders>
                  <w:noWrap w:val="0"/>
                  <w:vAlign w:val="center"/>
                </w:tcPr>
                <w:p w14:paraId="2C00BD2A">
                  <w:pPr>
                    <w:spacing w:line="240" w:lineRule="exact"/>
                    <w:jc w:val="center"/>
                    <w:rPr>
                      <w:rFonts w:hint="default" w:ascii="Times New Roman" w:hAnsi="Times New Roman" w:eastAsia="宋体" w:cs="Times New Roman"/>
                      <w:b w:val="0"/>
                      <w:bCs/>
                      <w:kern w:val="2"/>
                      <w:sz w:val="21"/>
                      <w:szCs w:val="21"/>
                      <w:vertAlign w:val="baseline"/>
                      <w:lang w:val="en-US" w:eastAsia="zh-CN" w:bidi="ar-SA"/>
                    </w:rPr>
                  </w:pPr>
                  <w:r>
                    <w:rPr>
                      <w:rFonts w:hint="eastAsia" w:cs="Times New Roman"/>
                      <w:b w:val="0"/>
                      <w:bCs/>
                      <w:kern w:val="2"/>
                      <w:sz w:val="21"/>
                      <w:szCs w:val="21"/>
                      <w:vertAlign w:val="baseline"/>
                      <w:lang w:val="en-US" w:eastAsia="zh-CN" w:bidi="ar-SA"/>
                    </w:rPr>
                    <w:t>6000</w:t>
                  </w:r>
                </w:p>
              </w:tc>
              <w:tc>
                <w:tcPr>
                  <w:tcW w:w="1796" w:type="dxa"/>
                  <w:tcBorders>
                    <w:tl2br w:val="nil"/>
                    <w:tr2bl w:val="nil"/>
                  </w:tcBorders>
                  <w:noWrap w:val="0"/>
                  <w:vAlign w:val="center"/>
                </w:tcPr>
                <w:p w14:paraId="38B26C2E">
                  <w:pPr>
                    <w:spacing w:line="240" w:lineRule="exact"/>
                    <w:jc w:val="center"/>
                    <w:rPr>
                      <w:rFonts w:hint="default" w:ascii="Times New Roman" w:hAnsi="Times New Roman" w:eastAsia="宋体" w:cs="Times New Roman"/>
                      <w:b w:val="0"/>
                      <w:bCs/>
                      <w:kern w:val="2"/>
                      <w:sz w:val="21"/>
                      <w:szCs w:val="21"/>
                      <w:vertAlign w:val="baseline"/>
                      <w:lang w:val="en-US" w:eastAsia="zh-CN" w:bidi="ar-SA"/>
                    </w:rPr>
                  </w:pPr>
                  <w:r>
                    <w:rPr>
                      <w:rFonts w:hint="eastAsia" w:cs="Times New Roman"/>
                      <w:b w:val="0"/>
                      <w:bCs/>
                      <w:kern w:val="2"/>
                      <w:sz w:val="21"/>
                      <w:szCs w:val="21"/>
                      <w:vertAlign w:val="baseline"/>
                      <w:lang w:val="en-US" w:eastAsia="zh-CN" w:bidi="ar-SA"/>
                    </w:rPr>
                    <w:t>6000</w:t>
                  </w:r>
                </w:p>
              </w:tc>
            </w:tr>
            <w:tr w14:paraId="0AEFAB3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046" w:type="dxa"/>
                  <w:tcBorders>
                    <w:tl2br w:val="nil"/>
                    <w:tr2bl w:val="nil"/>
                  </w:tcBorders>
                  <w:noWrap w:val="0"/>
                  <w:vAlign w:val="center"/>
                </w:tcPr>
                <w:p w14:paraId="53696751">
                  <w:pPr>
                    <w:spacing w:line="240" w:lineRule="exact"/>
                    <w:jc w:val="center"/>
                    <w:rPr>
                      <w:rFonts w:hint="default" w:ascii="Times New Roman" w:hAnsi="Times New Roman"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煤粉</w:t>
                  </w:r>
                </w:p>
              </w:tc>
              <w:tc>
                <w:tcPr>
                  <w:tcW w:w="1388" w:type="dxa"/>
                  <w:tcBorders>
                    <w:tl2br w:val="nil"/>
                    <w:tr2bl w:val="nil"/>
                  </w:tcBorders>
                  <w:noWrap w:val="0"/>
                  <w:vAlign w:val="center"/>
                </w:tcPr>
                <w:p w14:paraId="7E1B9B6D">
                  <w:pPr>
                    <w:spacing w:line="240" w:lineRule="exact"/>
                    <w:jc w:val="center"/>
                    <w:rPr>
                      <w:rFonts w:hint="default" w:ascii="Times New Roman" w:hAnsi="Times New Roman" w:eastAsia="宋体" w:cs="Times New Roman"/>
                      <w:b w:val="0"/>
                      <w:bCs/>
                      <w:kern w:val="2"/>
                      <w:sz w:val="21"/>
                      <w:szCs w:val="21"/>
                      <w:vertAlign w:val="baseline"/>
                      <w:lang w:val="en-US" w:eastAsia="zh-CN" w:bidi="ar-SA"/>
                    </w:rPr>
                  </w:pPr>
                  <w:r>
                    <w:rPr>
                      <w:rFonts w:hint="eastAsia" w:cs="Times New Roman"/>
                      <w:b w:val="0"/>
                      <w:bCs/>
                      <w:kern w:val="2"/>
                      <w:sz w:val="21"/>
                      <w:szCs w:val="21"/>
                      <w:vertAlign w:val="baseline"/>
                      <w:lang w:val="en-US" w:eastAsia="zh-CN" w:bidi="ar-SA"/>
                    </w:rPr>
                    <w:t>0</w:t>
                  </w:r>
                </w:p>
              </w:tc>
              <w:tc>
                <w:tcPr>
                  <w:tcW w:w="1831" w:type="dxa"/>
                  <w:tcBorders>
                    <w:tl2br w:val="nil"/>
                    <w:tr2bl w:val="nil"/>
                  </w:tcBorders>
                  <w:noWrap w:val="0"/>
                  <w:vAlign w:val="center"/>
                </w:tcPr>
                <w:p w14:paraId="183D5E15">
                  <w:pPr>
                    <w:spacing w:line="240" w:lineRule="exact"/>
                    <w:jc w:val="center"/>
                    <w:rPr>
                      <w:rFonts w:hint="default" w:ascii="Times New Roman" w:hAnsi="Times New Roman" w:eastAsia="宋体" w:cs="Times New Roman"/>
                      <w:b w:val="0"/>
                      <w:bCs/>
                      <w:kern w:val="2"/>
                      <w:sz w:val="21"/>
                      <w:szCs w:val="21"/>
                      <w:vertAlign w:val="baseline"/>
                      <w:lang w:val="en-US" w:eastAsia="zh-CN" w:bidi="ar-SA"/>
                    </w:rPr>
                  </w:pPr>
                  <w:r>
                    <w:rPr>
                      <w:rFonts w:hint="eastAsia" w:cs="Times New Roman"/>
                      <w:b w:val="0"/>
                      <w:bCs/>
                      <w:kern w:val="2"/>
                      <w:sz w:val="21"/>
                      <w:szCs w:val="21"/>
                      <w:vertAlign w:val="baseline"/>
                      <w:lang w:val="en-US" w:eastAsia="zh-CN" w:bidi="ar-SA"/>
                    </w:rPr>
                    <w:t>10万</w:t>
                  </w:r>
                </w:p>
              </w:tc>
              <w:tc>
                <w:tcPr>
                  <w:tcW w:w="1796" w:type="dxa"/>
                  <w:tcBorders>
                    <w:tl2br w:val="nil"/>
                    <w:tr2bl w:val="nil"/>
                  </w:tcBorders>
                  <w:noWrap w:val="0"/>
                  <w:vAlign w:val="center"/>
                </w:tcPr>
                <w:p w14:paraId="00D80A54">
                  <w:pPr>
                    <w:spacing w:line="240" w:lineRule="exact"/>
                    <w:jc w:val="center"/>
                    <w:rPr>
                      <w:rFonts w:hint="default" w:ascii="Times New Roman" w:hAnsi="Times New Roman" w:eastAsia="宋体" w:cs="Times New Roman"/>
                      <w:b w:val="0"/>
                      <w:bCs/>
                      <w:kern w:val="2"/>
                      <w:sz w:val="21"/>
                      <w:szCs w:val="21"/>
                      <w:vertAlign w:val="baseline"/>
                      <w:lang w:val="en-US" w:eastAsia="zh-CN" w:bidi="ar-SA"/>
                    </w:rPr>
                  </w:pPr>
                  <w:r>
                    <w:rPr>
                      <w:rFonts w:hint="eastAsia" w:cs="Times New Roman"/>
                      <w:b w:val="0"/>
                      <w:bCs/>
                      <w:kern w:val="2"/>
                      <w:sz w:val="21"/>
                      <w:szCs w:val="21"/>
                      <w:vertAlign w:val="baseline"/>
                      <w:lang w:val="en-US" w:eastAsia="zh-CN" w:bidi="ar-SA"/>
                    </w:rPr>
                    <w:t>10万</w:t>
                  </w:r>
                </w:p>
              </w:tc>
            </w:tr>
          </w:tbl>
          <w:p w14:paraId="374A04A0">
            <w:pPr>
              <w:tabs>
                <w:tab w:val="left" w:pos="676"/>
              </w:tabs>
              <w:wordWrap w:val="0"/>
              <w:spacing w:line="240" w:lineRule="auto"/>
              <w:ind w:left="42" w:leftChars="20" w:right="42" w:rightChars="20" w:firstLine="420" w:firstLineChars="200"/>
              <w:jc w:val="center"/>
              <w:rPr>
                <w:rFonts w:hint="default" w:ascii="Times New Roman" w:hAnsi="Times New Roman" w:cs="Times New Roman"/>
                <w:b w:val="0"/>
                <w:bCs w:val="0"/>
                <w:sz w:val="21"/>
                <w:szCs w:val="21"/>
                <w:highlight w:val="none"/>
                <w:lang w:val="en-US" w:eastAsia="zh-CN"/>
              </w:rPr>
            </w:pPr>
          </w:p>
          <w:p w14:paraId="3C80B0C4">
            <w:pPr>
              <w:tabs>
                <w:tab w:val="left" w:pos="676"/>
              </w:tabs>
              <w:wordWrap w:val="0"/>
              <w:spacing w:line="360" w:lineRule="auto"/>
              <w:ind w:left="42" w:leftChars="20" w:right="42" w:rightChars="20" w:firstLine="482" w:firstLineChars="200"/>
              <w:rPr>
                <w:b/>
                <w:bCs/>
                <w:sz w:val="24"/>
                <w:szCs w:val="22"/>
                <w:highlight w:val="none"/>
              </w:rPr>
            </w:pPr>
            <w:r>
              <w:rPr>
                <w:rFonts w:hint="eastAsia"/>
                <w:b/>
                <w:bCs/>
                <w:sz w:val="24"/>
                <w:szCs w:val="22"/>
                <w:highlight w:val="none"/>
                <w:lang w:val="en-US" w:eastAsia="zh-CN"/>
              </w:rPr>
              <w:t>4</w:t>
            </w:r>
            <w:r>
              <w:rPr>
                <w:rFonts w:hint="eastAsia"/>
                <w:b/>
                <w:bCs/>
                <w:sz w:val="24"/>
                <w:szCs w:val="22"/>
                <w:highlight w:val="none"/>
              </w:rPr>
              <w:t>、项目组成及主要环境问题</w:t>
            </w:r>
          </w:p>
          <w:p w14:paraId="693857CA">
            <w:pPr>
              <w:wordWrap w:val="0"/>
              <w:spacing w:line="360" w:lineRule="auto"/>
              <w:ind w:left="42" w:leftChars="20" w:right="42" w:rightChars="20" w:firstLine="480" w:firstLineChars="200"/>
              <w:rPr>
                <w:rFonts w:hint="eastAsia"/>
                <w:sz w:val="24"/>
                <w:highlight w:val="none"/>
              </w:rPr>
            </w:pPr>
            <w:r>
              <w:rPr>
                <w:rFonts w:hint="eastAsia"/>
                <w:sz w:val="24"/>
                <w:highlight w:val="none"/>
              </w:rPr>
              <w:t>结合项目实际情况，本次评价的具体项目组成及主要环境问题详见下表</w:t>
            </w:r>
            <w:r>
              <w:rPr>
                <w:sz w:val="24"/>
                <w:highlight w:val="none"/>
              </w:rPr>
              <w:t>：</w:t>
            </w:r>
          </w:p>
          <w:p w14:paraId="5D83E0A8">
            <w:pPr>
              <w:numPr>
                <w:ilvl w:val="0"/>
                <w:numId w:val="4"/>
              </w:numPr>
              <w:tabs>
                <w:tab w:val="left" w:pos="0"/>
              </w:tabs>
              <w:wordWrap w:val="0"/>
              <w:ind w:left="0" w:firstLine="0"/>
              <w:jc w:val="center"/>
              <w:rPr>
                <w:rFonts w:hint="eastAsia"/>
                <w:b/>
                <w:szCs w:val="21"/>
              </w:rPr>
            </w:pPr>
            <w:r>
              <w:rPr>
                <w:rFonts w:hint="eastAsia"/>
                <w:b/>
                <w:szCs w:val="21"/>
              </w:rPr>
              <w:t>本项目组成及主要环境问题</w:t>
            </w:r>
          </w:p>
          <w:tbl>
            <w:tblPr>
              <w:tblStyle w:val="26"/>
              <w:tblW w:w="8090"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92"/>
              <w:gridCol w:w="795"/>
              <w:gridCol w:w="3976"/>
              <w:gridCol w:w="920"/>
              <w:gridCol w:w="910"/>
              <w:gridCol w:w="797"/>
            </w:tblGrid>
            <w:tr w14:paraId="3F13047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restart"/>
                  <w:noWrap w:val="0"/>
                  <w:vAlign w:val="center"/>
                </w:tcPr>
                <w:p w14:paraId="4C6BF789">
                  <w:pPr>
                    <w:spacing w:line="240" w:lineRule="exact"/>
                    <w:jc w:val="center"/>
                    <w:rPr>
                      <w:szCs w:val="21"/>
                    </w:rPr>
                  </w:pPr>
                  <w:r>
                    <w:rPr>
                      <w:szCs w:val="21"/>
                    </w:rPr>
                    <w:t>工程</w:t>
                  </w:r>
                </w:p>
                <w:p w14:paraId="1603D128">
                  <w:pPr>
                    <w:spacing w:line="240" w:lineRule="exact"/>
                    <w:jc w:val="center"/>
                    <w:rPr>
                      <w:szCs w:val="21"/>
                    </w:rPr>
                  </w:pPr>
                  <w:r>
                    <w:rPr>
                      <w:szCs w:val="21"/>
                    </w:rPr>
                    <w:t>分类</w:t>
                  </w:r>
                </w:p>
              </w:tc>
              <w:tc>
                <w:tcPr>
                  <w:tcW w:w="795" w:type="dxa"/>
                  <w:vMerge w:val="restart"/>
                  <w:noWrap w:val="0"/>
                  <w:vAlign w:val="center"/>
                </w:tcPr>
                <w:p w14:paraId="482E4261">
                  <w:pPr>
                    <w:spacing w:line="240" w:lineRule="exact"/>
                    <w:jc w:val="center"/>
                    <w:rPr>
                      <w:szCs w:val="21"/>
                    </w:rPr>
                  </w:pPr>
                  <w:r>
                    <w:rPr>
                      <w:szCs w:val="21"/>
                    </w:rPr>
                    <w:t>项目名称</w:t>
                  </w:r>
                </w:p>
              </w:tc>
              <w:tc>
                <w:tcPr>
                  <w:tcW w:w="3976" w:type="dxa"/>
                  <w:vMerge w:val="restart"/>
                  <w:noWrap w:val="0"/>
                  <w:vAlign w:val="center"/>
                </w:tcPr>
                <w:p w14:paraId="53CA271C">
                  <w:pPr>
                    <w:spacing w:line="240" w:lineRule="exact"/>
                    <w:jc w:val="center"/>
                    <w:rPr>
                      <w:szCs w:val="21"/>
                    </w:rPr>
                  </w:pPr>
                  <w:r>
                    <w:rPr>
                      <w:szCs w:val="21"/>
                    </w:rPr>
                    <w:t>建设内容及规模</w:t>
                  </w:r>
                </w:p>
              </w:tc>
              <w:tc>
                <w:tcPr>
                  <w:tcW w:w="1830" w:type="dxa"/>
                  <w:gridSpan w:val="2"/>
                  <w:noWrap w:val="0"/>
                  <w:vAlign w:val="center"/>
                </w:tcPr>
                <w:p w14:paraId="443C4771">
                  <w:pPr>
                    <w:spacing w:line="240" w:lineRule="exact"/>
                    <w:jc w:val="center"/>
                    <w:rPr>
                      <w:szCs w:val="21"/>
                    </w:rPr>
                  </w:pPr>
                  <w:r>
                    <w:rPr>
                      <w:szCs w:val="21"/>
                    </w:rPr>
                    <w:t>主要环境问题</w:t>
                  </w:r>
                </w:p>
              </w:tc>
              <w:tc>
                <w:tcPr>
                  <w:tcW w:w="797" w:type="dxa"/>
                  <w:vMerge w:val="restart"/>
                  <w:noWrap w:val="0"/>
                  <w:vAlign w:val="center"/>
                </w:tcPr>
                <w:p w14:paraId="5D3D492A">
                  <w:pPr>
                    <w:spacing w:line="240" w:lineRule="exact"/>
                    <w:jc w:val="center"/>
                    <w:rPr>
                      <w:szCs w:val="21"/>
                    </w:rPr>
                  </w:pPr>
                  <w:r>
                    <w:rPr>
                      <w:szCs w:val="21"/>
                    </w:rPr>
                    <w:t>备注</w:t>
                  </w:r>
                </w:p>
              </w:tc>
            </w:tr>
            <w:tr w14:paraId="13F4773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continue"/>
                  <w:noWrap w:val="0"/>
                  <w:vAlign w:val="center"/>
                </w:tcPr>
                <w:p w14:paraId="7659A722">
                  <w:pPr>
                    <w:spacing w:line="240" w:lineRule="exact"/>
                    <w:jc w:val="center"/>
                    <w:rPr>
                      <w:szCs w:val="21"/>
                    </w:rPr>
                  </w:pPr>
                </w:p>
              </w:tc>
              <w:tc>
                <w:tcPr>
                  <w:tcW w:w="795" w:type="dxa"/>
                  <w:vMerge w:val="continue"/>
                  <w:noWrap w:val="0"/>
                  <w:vAlign w:val="center"/>
                </w:tcPr>
                <w:p w14:paraId="505513B7">
                  <w:pPr>
                    <w:spacing w:line="240" w:lineRule="exact"/>
                    <w:jc w:val="center"/>
                    <w:rPr>
                      <w:szCs w:val="21"/>
                    </w:rPr>
                  </w:pPr>
                </w:p>
              </w:tc>
              <w:tc>
                <w:tcPr>
                  <w:tcW w:w="3976" w:type="dxa"/>
                  <w:vMerge w:val="continue"/>
                  <w:noWrap w:val="0"/>
                  <w:vAlign w:val="center"/>
                </w:tcPr>
                <w:p w14:paraId="50E494D3">
                  <w:pPr>
                    <w:spacing w:line="240" w:lineRule="exact"/>
                    <w:jc w:val="center"/>
                    <w:rPr>
                      <w:szCs w:val="21"/>
                    </w:rPr>
                  </w:pPr>
                </w:p>
              </w:tc>
              <w:tc>
                <w:tcPr>
                  <w:tcW w:w="920" w:type="dxa"/>
                  <w:noWrap w:val="0"/>
                  <w:vAlign w:val="center"/>
                </w:tcPr>
                <w:p w14:paraId="352CC008">
                  <w:pPr>
                    <w:spacing w:line="240" w:lineRule="exact"/>
                    <w:jc w:val="center"/>
                    <w:rPr>
                      <w:szCs w:val="21"/>
                    </w:rPr>
                  </w:pPr>
                  <w:r>
                    <w:rPr>
                      <w:szCs w:val="21"/>
                    </w:rPr>
                    <w:t>施工期</w:t>
                  </w:r>
                </w:p>
              </w:tc>
              <w:tc>
                <w:tcPr>
                  <w:tcW w:w="910" w:type="dxa"/>
                  <w:noWrap w:val="0"/>
                  <w:vAlign w:val="center"/>
                </w:tcPr>
                <w:p w14:paraId="7BC9118B">
                  <w:pPr>
                    <w:spacing w:line="240" w:lineRule="exact"/>
                    <w:jc w:val="center"/>
                    <w:rPr>
                      <w:szCs w:val="21"/>
                    </w:rPr>
                  </w:pPr>
                  <w:r>
                    <w:rPr>
                      <w:szCs w:val="21"/>
                    </w:rPr>
                    <w:t>营运期</w:t>
                  </w:r>
                </w:p>
              </w:tc>
              <w:tc>
                <w:tcPr>
                  <w:tcW w:w="797" w:type="dxa"/>
                  <w:vMerge w:val="continue"/>
                  <w:noWrap w:val="0"/>
                  <w:vAlign w:val="center"/>
                </w:tcPr>
                <w:p w14:paraId="1B53A6E5">
                  <w:pPr>
                    <w:spacing w:line="240" w:lineRule="exact"/>
                    <w:jc w:val="center"/>
                    <w:rPr>
                      <w:szCs w:val="21"/>
                    </w:rPr>
                  </w:pPr>
                </w:p>
              </w:tc>
            </w:tr>
            <w:tr w14:paraId="1AC2B40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restart"/>
                  <w:noWrap w:val="0"/>
                  <w:vAlign w:val="center"/>
                </w:tcPr>
                <w:p w14:paraId="321A0E7E">
                  <w:pPr>
                    <w:spacing w:line="240" w:lineRule="exact"/>
                    <w:jc w:val="center"/>
                    <w:rPr>
                      <w:szCs w:val="21"/>
                      <w:highlight w:val="yellow"/>
                    </w:rPr>
                  </w:pPr>
                  <w:r>
                    <w:rPr>
                      <w:szCs w:val="21"/>
                    </w:rPr>
                    <w:t>主体工程</w:t>
                  </w:r>
                </w:p>
              </w:tc>
              <w:tc>
                <w:tcPr>
                  <w:tcW w:w="795" w:type="dxa"/>
                  <w:noWrap w:val="0"/>
                  <w:vAlign w:val="center"/>
                </w:tcPr>
                <w:p w14:paraId="6D340A9A">
                  <w:pPr>
                    <w:spacing w:line="240" w:lineRule="exact"/>
                    <w:jc w:val="center"/>
                    <w:rPr>
                      <w:rFonts w:hint="default" w:eastAsia="宋体"/>
                      <w:szCs w:val="21"/>
                      <w:lang w:val="en-US" w:eastAsia="zh-CN"/>
                    </w:rPr>
                  </w:pPr>
                  <w:r>
                    <w:rPr>
                      <w:rFonts w:hint="eastAsia"/>
                      <w:szCs w:val="21"/>
                      <w:lang w:val="en-US" w:eastAsia="zh-CN"/>
                    </w:rPr>
                    <w:t>煤粉车间</w:t>
                  </w:r>
                </w:p>
              </w:tc>
              <w:tc>
                <w:tcPr>
                  <w:tcW w:w="3976" w:type="dxa"/>
                  <w:noWrap w:val="0"/>
                  <w:vAlign w:val="center"/>
                </w:tcPr>
                <w:p w14:paraId="08AEFB5D">
                  <w:pPr>
                    <w:spacing w:line="240" w:lineRule="exact"/>
                    <w:jc w:val="center"/>
                    <w:rPr>
                      <w:rFonts w:hint="default" w:eastAsia="宋体"/>
                      <w:b/>
                      <w:szCs w:val="21"/>
                      <w:lang w:val="en-US" w:eastAsia="zh-CN"/>
                    </w:rPr>
                  </w:pPr>
                  <w:r>
                    <w:rPr>
                      <w:rFonts w:hint="eastAsia" w:eastAsia="宋体"/>
                      <w:b w:val="0"/>
                      <w:bCs/>
                      <w:szCs w:val="21"/>
                      <w:lang w:val="en-US" w:eastAsia="zh-CN"/>
                    </w:rPr>
                    <w:t>1</w:t>
                  </w:r>
                  <w:r>
                    <w:rPr>
                      <w:rFonts w:hint="default" w:eastAsia="宋体"/>
                      <w:b w:val="0"/>
                      <w:bCs/>
                      <w:szCs w:val="21"/>
                      <w:lang w:val="en-US" w:eastAsia="zh-CN"/>
                    </w:rPr>
                    <w:t>F钢结构厂房，车间</w:t>
                  </w:r>
                  <w:r>
                    <w:rPr>
                      <w:rFonts w:hint="eastAsia" w:eastAsia="宋体"/>
                      <w:b w:val="0"/>
                      <w:bCs/>
                      <w:szCs w:val="21"/>
                      <w:lang w:val="en-US" w:eastAsia="zh-CN"/>
                    </w:rPr>
                    <w:t>总</w:t>
                  </w:r>
                  <w:r>
                    <w:rPr>
                      <w:rFonts w:hint="default" w:eastAsia="宋体"/>
                      <w:b w:val="0"/>
                      <w:bCs/>
                      <w:szCs w:val="21"/>
                      <w:lang w:val="en-US" w:eastAsia="zh-CN"/>
                    </w:rPr>
                    <w:t>建筑面积</w:t>
                  </w:r>
                  <w:r>
                    <w:rPr>
                      <w:rFonts w:hint="eastAsia"/>
                      <w:b w:val="0"/>
                      <w:bCs/>
                      <w:szCs w:val="21"/>
                      <w:lang w:val="en-US" w:eastAsia="zh-CN"/>
                    </w:rPr>
                    <w:t>30</w:t>
                  </w:r>
                  <w:r>
                    <w:rPr>
                      <w:rFonts w:hint="eastAsia" w:eastAsia="宋体"/>
                      <w:b w:val="0"/>
                      <w:bCs/>
                      <w:szCs w:val="21"/>
                      <w:lang w:val="en-US" w:eastAsia="zh-CN"/>
                    </w:rPr>
                    <w:t>00</w:t>
                  </w:r>
                  <w:r>
                    <w:rPr>
                      <w:rFonts w:hint="default" w:eastAsia="宋体"/>
                      <w:b w:val="0"/>
                      <w:bCs/>
                      <w:szCs w:val="21"/>
                      <w:lang w:val="en-US" w:eastAsia="zh-CN"/>
                    </w:rPr>
                    <w:t>m</w:t>
                  </w:r>
                  <w:r>
                    <w:rPr>
                      <w:rFonts w:hint="default" w:eastAsia="宋体"/>
                      <w:b w:val="0"/>
                      <w:bCs/>
                      <w:szCs w:val="21"/>
                      <w:vertAlign w:val="superscript"/>
                      <w:lang w:val="en-US" w:eastAsia="zh-CN"/>
                    </w:rPr>
                    <w:t>2</w:t>
                  </w:r>
                  <w:r>
                    <w:rPr>
                      <w:rFonts w:hint="default" w:eastAsia="宋体"/>
                      <w:b w:val="0"/>
                      <w:bCs/>
                      <w:szCs w:val="21"/>
                      <w:lang w:val="en-US" w:eastAsia="zh-CN"/>
                    </w:rPr>
                    <w:t>，</w:t>
                  </w:r>
                  <w:r>
                    <w:rPr>
                      <w:rFonts w:hint="eastAsia" w:eastAsia="宋体"/>
                      <w:b w:val="0"/>
                      <w:bCs/>
                      <w:szCs w:val="21"/>
                      <w:lang w:val="en-US" w:eastAsia="zh-CN"/>
                    </w:rPr>
                    <w:t>H=</w:t>
                  </w:r>
                  <w:r>
                    <w:rPr>
                      <w:rFonts w:hint="eastAsia"/>
                      <w:b w:val="0"/>
                      <w:bCs/>
                      <w:szCs w:val="21"/>
                      <w:lang w:val="en-US" w:eastAsia="zh-CN"/>
                    </w:rPr>
                    <w:t>12</w:t>
                  </w:r>
                  <w:r>
                    <w:rPr>
                      <w:rFonts w:hint="default" w:eastAsia="宋体"/>
                      <w:b w:val="0"/>
                      <w:bCs/>
                      <w:szCs w:val="21"/>
                      <w:lang w:val="en-US" w:eastAsia="zh-CN"/>
                    </w:rPr>
                    <w:t>m。</w:t>
                  </w:r>
                  <w:r>
                    <w:rPr>
                      <w:rFonts w:hint="eastAsia" w:eastAsia="宋体"/>
                      <w:b w:val="0"/>
                      <w:bCs/>
                      <w:szCs w:val="21"/>
                      <w:lang w:val="en-US" w:eastAsia="zh-CN"/>
                    </w:rPr>
                    <w:t>主要</w:t>
                  </w:r>
                  <w:r>
                    <w:rPr>
                      <w:rFonts w:hint="eastAsia"/>
                      <w:b w:val="0"/>
                      <w:bCs/>
                      <w:szCs w:val="21"/>
                      <w:lang w:val="en-US" w:eastAsia="zh-CN"/>
                    </w:rPr>
                    <w:t>建设1条煤粉生产线，由立式磨煤机、除尘器、封闭上料设备等组成，生产设备全部密闭，内设一个4t/h的燃天然气热风炉</w:t>
                  </w:r>
                  <w:r>
                    <w:rPr>
                      <w:rFonts w:hint="eastAsia" w:eastAsia="宋体"/>
                      <w:b w:val="0"/>
                      <w:bCs/>
                      <w:szCs w:val="21"/>
                      <w:lang w:val="en-US" w:eastAsia="zh-CN"/>
                    </w:rPr>
                    <w:t>。</w:t>
                  </w:r>
                </w:p>
              </w:tc>
              <w:tc>
                <w:tcPr>
                  <w:tcW w:w="920" w:type="dxa"/>
                  <w:vMerge w:val="restart"/>
                  <w:noWrap w:val="0"/>
                  <w:vAlign w:val="center"/>
                </w:tcPr>
                <w:p w14:paraId="6D8C66F0">
                  <w:pPr>
                    <w:spacing w:line="240" w:lineRule="exact"/>
                    <w:jc w:val="center"/>
                    <w:rPr>
                      <w:szCs w:val="21"/>
                    </w:rPr>
                  </w:pPr>
                  <w:r>
                    <w:rPr>
                      <w:szCs w:val="21"/>
                    </w:rPr>
                    <w:t>施工废水</w:t>
                  </w:r>
                  <w:r>
                    <w:rPr>
                      <w:rFonts w:hint="eastAsia"/>
                      <w:szCs w:val="21"/>
                    </w:rPr>
                    <w:t>、</w:t>
                  </w:r>
                  <w:r>
                    <w:rPr>
                      <w:szCs w:val="21"/>
                    </w:rPr>
                    <w:t>施工扬尘</w:t>
                  </w:r>
                  <w:r>
                    <w:rPr>
                      <w:rFonts w:hint="eastAsia"/>
                      <w:szCs w:val="21"/>
                    </w:rPr>
                    <w:t>、</w:t>
                  </w:r>
                  <w:r>
                    <w:rPr>
                      <w:szCs w:val="21"/>
                    </w:rPr>
                    <w:t>车辆尾气</w:t>
                  </w:r>
                  <w:r>
                    <w:rPr>
                      <w:rFonts w:hint="eastAsia"/>
                      <w:szCs w:val="21"/>
                    </w:rPr>
                    <w:t>、</w:t>
                  </w:r>
                  <w:r>
                    <w:rPr>
                      <w:szCs w:val="21"/>
                    </w:rPr>
                    <w:t>设备噪声</w:t>
                  </w:r>
                  <w:r>
                    <w:rPr>
                      <w:rFonts w:hint="eastAsia"/>
                      <w:szCs w:val="21"/>
                    </w:rPr>
                    <w:t>、</w:t>
                  </w:r>
                  <w:r>
                    <w:rPr>
                      <w:szCs w:val="21"/>
                    </w:rPr>
                    <w:t>生活垃圾</w:t>
                  </w:r>
                  <w:r>
                    <w:rPr>
                      <w:rFonts w:hint="eastAsia"/>
                      <w:szCs w:val="21"/>
                    </w:rPr>
                    <w:t>、</w:t>
                  </w:r>
                  <w:r>
                    <w:rPr>
                      <w:szCs w:val="21"/>
                    </w:rPr>
                    <w:t>水土流失</w:t>
                  </w:r>
                </w:p>
              </w:tc>
              <w:tc>
                <w:tcPr>
                  <w:tcW w:w="910" w:type="dxa"/>
                  <w:noWrap w:val="0"/>
                  <w:vAlign w:val="center"/>
                </w:tcPr>
                <w:p w14:paraId="1E9C6D79">
                  <w:pPr>
                    <w:spacing w:line="240" w:lineRule="exact"/>
                    <w:jc w:val="center"/>
                    <w:rPr>
                      <w:rFonts w:hint="default" w:eastAsia="宋体"/>
                      <w:szCs w:val="21"/>
                      <w:lang w:val="en-US" w:eastAsia="zh-CN"/>
                    </w:rPr>
                  </w:pPr>
                  <w:r>
                    <w:rPr>
                      <w:szCs w:val="21"/>
                    </w:rPr>
                    <w:t>噪声、</w:t>
                  </w:r>
                  <w:r>
                    <w:rPr>
                      <w:rFonts w:hint="eastAsia"/>
                      <w:szCs w:val="21"/>
                      <w:lang w:val="en-US" w:eastAsia="zh-CN"/>
                    </w:rPr>
                    <w:t>废气</w:t>
                  </w:r>
                  <w:r>
                    <w:rPr>
                      <w:szCs w:val="21"/>
                    </w:rPr>
                    <w:t>、</w:t>
                  </w:r>
                  <w:r>
                    <w:rPr>
                      <w:rFonts w:hint="eastAsia"/>
                      <w:szCs w:val="21"/>
                      <w:lang w:val="en-US" w:eastAsia="zh-CN"/>
                    </w:rPr>
                    <w:t>固废</w:t>
                  </w:r>
                </w:p>
              </w:tc>
              <w:tc>
                <w:tcPr>
                  <w:tcW w:w="797" w:type="dxa"/>
                  <w:noWrap w:val="0"/>
                  <w:vAlign w:val="center"/>
                </w:tcPr>
                <w:p w14:paraId="70661F68">
                  <w:pPr>
                    <w:spacing w:line="240" w:lineRule="exact"/>
                    <w:jc w:val="center"/>
                    <w:rPr>
                      <w:rFonts w:hint="default" w:eastAsia="宋体"/>
                      <w:szCs w:val="21"/>
                      <w:lang w:val="en-US" w:eastAsia="zh-CN"/>
                    </w:rPr>
                  </w:pPr>
                  <w:r>
                    <w:rPr>
                      <w:rFonts w:hint="eastAsia"/>
                      <w:szCs w:val="21"/>
                      <w:lang w:val="en-US" w:eastAsia="zh-CN"/>
                    </w:rPr>
                    <w:t>新建</w:t>
                  </w:r>
                </w:p>
              </w:tc>
            </w:tr>
            <w:tr w14:paraId="1A70AFB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continue"/>
                  <w:noWrap w:val="0"/>
                  <w:vAlign w:val="center"/>
                </w:tcPr>
                <w:p w14:paraId="0DA9DDCC">
                  <w:pPr>
                    <w:spacing w:line="240" w:lineRule="exact"/>
                    <w:jc w:val="center"/>
                    <w:rPr>
                      <w:szCs w:val="21"/>
                    </w:rPr>
                  </w:pPr>
                </w:p>
              </w:tc>
              <w:tc>
                <w:tcPr>
                  <w:tcW w:w="795" w:type="dxa"/>
                  <w:noWrap w:val="0"/>
                  <w:vAlign w:val="center"/>
                </w:tcPr>
                <w:p w14:paraId="549BA152">
                  <w:pPr>
                    <w:spacing w:line="240" w:lineRule="exact"/>
                    <w:jc w:val="center"/>
                    <w:rPr>
                      <w:rFonts w:hint="default"/>
                      <w:szCs w:val="21"/>
                      <w:lang w:val="en-US" w:eastAsia="zh-CN"/>
                    </w:rPr>
                  </w:pPr>
                  <w:r>
                    <w:rPr>
                      <w:rFonts w:hint="eastAsia"/>
                      <w:szCs w:val="21"/>
                      <w:lang w:val="en-US" w:eastAsia="zh-CN"/>
                    </w:rPr>
                    <w:t>再生料预处理车间</w:t>
                  </w:r>
                </w:p>
              </w:tc>
              <w:tc>
                <w:tcPr>
                  <w:tcW w:w="3976" w:type="dxa"/>
                  <w:noWrap w:val="0"/>
                  <w:vAlign w:val="center"/>
                </w:tcPr>
                <w:p w14:paraId="6CB19B16">
                  <w:pPr>
                    <w:spacing w:line="240" w:lineRule="exact"/>
                    <w:jc w:val="center"/>
                    <w:rPr>
                      <w:rFonts w:hint="eastAsia" w:eastAsia="宋体"/>
                      <w:b w:val="0"/>
                      <w:bCs/>
                      <w:szCs w:val="21"/>
                      <w:lang w:val="en-US" w:eastAsia="zh-CN"/>
                    </w:rPr>
                  </w:pPr>
                  <w:r>
                    <w:rPr>
                      <w:rFonts w:hint="eastAsia" w:eastAsia="宋体"/>
                      <w:b w:val="0"/>
                      <w:bCs/>
                      <w:szCs w:val="21"/>
                      <w:lang w:val="en-US" w:eastAsia="zh-CN"/>
                    </w:rPr>
                    <w:t>1</w:t>
                  </w:r>
                  <w:r>
                    <w:rPr>
                      <w:rFonts w:hint="default" w:eastAsia="宋体"/>
                      <w:b w:val="0"/>
                      <w:bCs/>
                      <w:szCs w:val="21"/>
                      <w:lang w:val="en-US" w:eastAsia="zh-CN"/>
                    </w:rPr>
                    <w:t>F钢结构厂房，车间</w:t>
                  </w:r>
                  <w:r>
                    <w:rPr>
                      <w:rFonts w:hint="eastAsia" w:eastAsia="宋体"/>
                      <w:b w:val="0"/>
                      <w:bCs/>
                      <w:szCs w:val="21"/>
                      <w:lang w:val="en-US" w:eastAsia="zh-CN"/>
                    </w:rPr>
                    <w:t>总</w:t>
                  </w:r>
                  <w:r>
                    <w:rPr>
                      <w:rFonts w:hint="default" w:eastAsia="宋体"/>
                      <w:b w:val="0"/>
                      <w:bCs/>
                      <w:szCs w:val="21"/>
                      <w:lang w:val="en-US" w:eastAsia="zh-CN"/>
                    </w:rPr>
                    <w:t>建筑面积</w:t>
                  </w:r>
                  <w:r>
                    <w:rPr>
                      <w:rFonts w:hint="eastAsia"/>
                      <w:b w:val="0"/>
                      <w:bCs/>
                      <w:szCs w:val="21"/>
                      <w:lang w:val="en-US" w:eastAsia="zh-CN"/>
                    </w:rPr>
                    <w:t>800</w:t>
                  </w:r>
                  <w:r>
                    <w:rPr>
                      <w:rFonts w:hint="default" w:eastAsia="宋体"/>
                      <w:b w:val="0"/>
                      <w:bCs/>
                      <w:szCs w:val="21"/>
                      <w:lang w:val="en-US" w:eastAsia="zh-CN"/>
                    </w:rPr>
                    <w:t>m</w:t>
                  </w:r>
                  <w:r>
                    <w:rPr>
                      <w:rFonts w:hint="default" w:eastAsia="宋体"/>
                      <w:b w:val="0"/>
                      <w:bCs/>
                      <w:szCs w:val="21"/>
                      <w:vertAlign w:val="superscript"/>
                      <w:lang w:val="en-US" w:eastAsia="zh-CN"/>
                    </w:rPr>
                    <w:t>2</w:t>
                  </w:r>
                  <w:r>
                    <w:rPr>
                      <w:rFonts w:hint="default" w:eastAsia="宋体"/>
                      <w:b w:val="0"/>
                      <w:bCs/>
                      <w:szCs w:val="21"/>
                      <w:lang w:val="en-US" w:eastAsia="zh-CN"/>
                    </w:rPr>
                    <w:t>，</w:t>
                  </w:r>
                  <w:r>
                    <w:rPr>
                      <w:rFonts w:hint="eastAsia" w:eastAsia="宋体"/>
                      <w:b w:val="0"/>
                      <w:bCs/>
                      <w:szCs w:val="21"/>
                      <w:lang w:val="en-US" w:eastAsia="zh-CN"/>
                    </w:rPr>
                    <w:t>H=</w:t>
                  </w:r>
                  <w:r>
                    <w:rPr>
                      <w:rFonts w:hint="eastAsia"/>
                      <w:b w:val="0"/>
                      <w:bCs/>
                      <w:szCs w:val="21"/>
                      <w:lang w:val="en-US" w:eastAsia="zh-CN"/>
                    </w:rPr>
                    <w:t>12</w:t>
                  </w:r>
                  <w:r>
                    <w:rPr>
                      <w:rFonts w:hint="default" w:eastAsia="宋体"/>
                      <w:b w:val="0"/>
                      <w:bCs/>
                      <w:szCs w:val="21"/>
                      <w:lang w:val="en-US" w:eastAsia="zh-CN"/>
                    </w:rPr>
                    <w:t>m。</w:t>
                  </w:r>
                  <w:r>
                    <w:rPr>
                      <w:rFonts w:hint="eastAsia" w:eastAsia="宋体"/>
                      <w:b w:val="0"/>
                      <w:bCs/>
                      <w:szCs w:val="21"/>
                      <w:lang w:val="en-US" w:eastAsia="zh-CN"/>
                    </w:rPr>
                    <w:t>主要</w:t>
                  </w:r>
                  <w:r>
                    <w:rPr>
                      <w:rFonts w:hint="eastAsia"/>
                      <w:b w:val="0"/>
                      <w:bCs/>
                      <w:szCs w:val="21"/>
                      <w:lang w:val="en-US" w:eastAsia="zh-CN"/>
                    </w:rPr>
                    <w:t>建设1条再生料破碎筛分生产线，由鄂破机、振动筛、皮带输送设备等组成，生产设备全部密闭</w:t>
                  </w:r>
                  <w:r>
                    <w:rPr>
                      <w:rFonts w:hint="eastAsia" w:eastAsia="宋体"/>
                      <w:b w:val="0"/>
                      <w:bCs/>
                      <w:szCs w:val="21"/>
                      <w:lang w:val="en-US" w:eastAsia="zh-CN"/>
                    </w:rPr>
                    <w:t>。</w:t>
                  </w:r>
                </w:p>
              </w:tc>
              <w:tc>
                <w:tcPr>
                  <w:tcW w:w="920" w:type="dxa"/>
                  <w:vMerge w:val="continue"/>
                  <w:noWrap w:val="0"/>
                  <w:vAlign w:val="center"/>
                </w:tcPr>
                <w:p w14:paraId="1DC8250A">
                  <w:pPr>
                    <w:spacing w:line="240" w:lineRule="exact"/>
                    <w:jc w:val="center"/>
                    <w:rPr>
                      <w:szCs w:val="21"/>
                    </w:rPr>
                  </w:pPr>
                </w:p>
              </w:tc>
              <w:tc>
                <w:tcPr>
                  <w:tcW w:w="910" w:type="dxa"/>
                  <w:noWrap w:val="0"/>
                  <w:vAlign w:val="center"/>
                </w:tcPr>
                <w:p w14:paraId="6A732978">
                  <w:pPr>
                    <w:spacing w:line="240" w:lineRule="exact"/>
                    <w:jc w:val="center"/>
                    <w:rPr>
                      <w:szCs w:val="21"/>
                    </w:rPr>
                  </w:pPr>
                  <w:r>
                    <w:rPr>
                      <w:szCs w:val="21"/>
                    </w:rPr>
                    <w:t>噪声、</w:t>
                  </w:r>
                  <w:r>
                    <w:rPr>
                      <w:rFonts w:hint="eastAsia"/>
                      <w:szCs w:val="21"/>
                      <w:lang w:val="en-US" w:eastAsia="zh-CN"/>
                    </w:rPr>
                    <w:t>废气</w:t>
                  </w:r>
                  <w:r>
                    <w:rPr>
                      <w:szCs w:val="21"/>
                    </w:rPr>
                    <w:t>、</w:t>
                  </w:r>
                  <w:r>
                    <w:rPr>
                      <w:rFonts w:hint="eastAsia"/>
                      <w:szCs w:val="21"/>
                      <w:lang w:val="en-US" w:eastAsia="zh-CN"/>
                    </w:rPr>
                    <w:t>固废</w:t>
                  </w:r>
                </w:p>
              </w:tc>
              <w:tc>
                <w:tcPr>
                  <w:tcW w:w="797" w:type="dxa"/>
                  <w:noWrap w:val="0"/>
                  <w:vAlign w:val="center"/>
                </w:tcPr>
                <w:p w14:paraId="22A961B2">
                  <w:pPr>
                    <w:spacing w:line="240" w:lineRule="exact"/>
                    <w:jc w:val="center"/>
                    <w:rPr>
                      <w:rFonts w:hint="default"/>
                      <w:szCs w:val="21"/>
                      <w:lang w:val="en-US" w:eastAsia="zh-CN"/>
                    </w:rPr>
                  </w:pPr>
                  <w:r>
                    <w:rPr>
                      <w:rFonts w:hint="eastAsia"/>
                      <w:szCs w:val="21"/>
                      <w:lang w:val="en-US" w:eastAsia="zh-CN"/>
                    </w:rPr>
                    <w:t>新建</w:t>
                  </w:r>
                </w:p>
              </w:tc>
            </w:tr>
            <w:tr w14:paraId="477358A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733" w:hRule="atLeast"/>
                <w:jc w:val="center"/>
              </w:trPr>
              <w:tc>
                <w:tcPr>
                  <w:tcW w:w="692" w:type="dxa"/>
                  <w:vMerge w:val="continue"/>
                  <w:noWrap w:val="0"/>
                  <w:vAlign w:val="center"/>
                </w:tcPr>
                <w:p w14:paraId="2BA54FD9">
                  <w:pPr>
                    <w:spacing w:line="240" w:lineRule="exact"/>
                    <w:jc w:val="center"/>
                    <w:rPr>
                      <w:szCs w:val="21"/>
                    </w:rPr>
                  </w:pPr>
                </w:p>
              </w:tc>
              <w:tc>
                <w:tcPr>
                  <w:tcW w:w="795" w:type="dxa"/>
                  <w:noWrap w:val="0"/>
                  <w:vAlign w:val="center"/>
                </w:tcPr>
                <w:p w14:paraId="0FDA1D2E">
                  <w:pPr>
                    <w:spacing w:line="240" w:lineRule="exact"/>
                    <w:jc w:val="center"/>
                    <w:rPr>
                      <w:rFonts w:hint="default"/>
                      <w:szCs w:val="21"/>
                      <w:lang w:val="en-US" w:eastAsia="zh-CN"/>
                    </w:rPr>
                  </w:pPr>
                  <w:r>
                    <w:rPr>
                      <w:rFonts w:hint="default"/>
                      <w:szCs w:val="21"/>
                      <w:lang w:val="en-US" w:eastAsia="zh-CN"/>
                    </w:rPr>
                    <w:t>沥青混凝土搅拌楼</w:t>
                  </w:r>
                </w:p>
              </w:tc>
              <w:tc>
                <w:tcPr>
                  <w:tcW w:w="3976" w:type="dxa"/>
                  <w:noWrap w:val="0"/>
                  <w:vAlign w:val="center"/>
                </w:tcPr>
                <w:p w14:paraId="00322273">
                  <w:pPr>
                    <w:spacing w:line="240" w:lineRule="exact"/>
                    <w:jc w:val="center"/>
                    <w:rPr>
                      <w:rFonts w:hint="default" w:eastAsia="宋体"/>
                      <w:b w:val="0"/>
                      <w:bCs/>
                      <w:szCs w:val="21"/>
                      <w:lang w:val="en-US" w:eastAsia="zh-CN"/>
                    </w:rPr>
                  </w:pPr>
                  <w:r>
                    <w:rPr>
                      <w:rFonts w:hint="eastAsia" w:eastAsia="宋体"/>
                      <w:b w:val="0"/>
                      <w:bCs/>
                      <w:szCs w:val="21"/>
                      <w:lang w:val="en-US" w:eastAsia="zh-CN"/>
                    </w:rPr>
                    <w:t>1</w:t>
                  </w:r>
                  <w:r>
                    <w:rPr>
                      <w:rFonts w:hint="default" w:eastAsia="宋体"/>
                      <w:b w:val="0"/>
                      <w:bCs/>
                      <w:szCs w:val="21"/>
                      <w:lang w:val="en-US" w:eastAsia="zh-CN"/>
                    </w:rPr>
                    <w:t>F钢结构厂房，车间</w:t>
                  </w:r>
                  <w:r>
                    <w:rPr>
                      <w:rFonts w:hint="eastAsia" w:eastAsia="宋体"/>
                      <w:b w:val="0"/>
                      <w:bCs/>
                      <w:szCs w:val="21"/>
                      <w:lang w:val="en-US" w:eastAsia="zh-CN"/>
                    </w:rPr>
                    <w:t>总</w:t>
                  </w:r>
                  <w:r>
                    <w:rPr>
                      <w:rFonts w:hint="default" w:eastAsia="宋体"/>
                      <w:b w:val="0"/>
                      <w:bCs/>
                      <w:szCs w:val="21"/>
                      <w:lang w:val="en-US" w:eastAsia="zh-CN"/>
                    </w:rPr>
                    <w:t>建筑面积</w:t>
                  </w:r>
                  <w:r>
                    <w:rPr>
                      <w:rFonts w:hint="eastAsia"/>
                      <w:b w:val="0"/>
                      <w:bCs/>
                      <w:szCs w:val="21"/>
                      <w:lang w:val="en-US" w:eastAsia="zh-CN"/>
                    </w:rPr>
                    <w:t>2410</w:t>
                  </w:r>
                  <w:r>
                    <w:rPr>
                      <w:rFonts w:hint="default" w:eastAsia="宋体"/>
                      <w:b w:val="0"/>
                      <w:bCs/>
                      <w:szCs w:val="21"/>
                      <w:lang w:val="en-US" w:eastAsia="zh-CN"/>
                    </w:rPr>
                    <w:t>m</w:t>
                  </w:r>
                  <w:r>
                    <w:rPr>
                      <w:rFonts w:hint="default" w:eastAsia="宋体"/>
                      <w:b w:val="0"/>
                      <w:bCs/>
                      <w:szCs w:val="21"/>
                      <w:vertAlign w:val="superscript"/>
                      <w:lang w:val="en-US" w:eastAsia="zh-CN"/>
                    </w:rPr>
                    <w:t>2</w:t>
                  </w:r>
                  <w:r>
                    <w:rPr>
                      <w:rFonts w:hint="default" w:eastAsia="宋体"/>
                      <w:b w:val="0"/>
                      <w:bCs/>
                      <w:szCs w:val="21"/>
                      <w:lang w:val="en-US" w:eastAsia="zh-CN"/>
                    </w:rPr>
                    <w:t>，</w:t>
                  </w:r>
                  <w:r>
                    <w:rPr>
                      <w:rFonts w:hint="eastAsia" w:eastAsia="宋体"/>
                      <w:b w:val="0"/>
                      <w:bCs/>
                      <w:szCs w:val="21"/>
                      <w:lang w:val="en-US" w:eastAsia="zh-CN"/>
                    </w:rPr>
                    <w:t>H=</w:t>
                  </w:r>
                  <w:r>
                    <w:rPr>
                      <w:rFonts w:hint="eastAsia"/>
                      <w:b w:val="0"/>
                      <w:bCs/>
                      <w:szCs w:val="21"/>
                      <w:lang w:val="en-US" w:eastAsia="zh-CN"/>
                    </w:rPr>
                    <w:t>25</w:t>
                  </w:r>
                  <w:r>
                    <w:rPr>
                      <w:rFonts w:hint="default" w:eastAsia="宋体"/>
                      <w:b w:val="0"/>
                      <w:bCs/>
                      <w:szCs w:val="21"/>
                      <w:lang w:val="en-US" w:eastAsia="zh-CN"/>
                    </w:rPr>
                    <w:t>m。</w:t>
                  </w:r>
                  <w:r>
                    <w:rPr>
                      <w:rFonts w:hint="eastAsia" w:eastAsia="宋体"/>
                      <w:b w:val="0"/>
                      <w:bCs/>
                      <w:szCs w:val="21"/>
                      <w:lang w:val="en-US" w:eastAsia="zh-CN"/>
                    </w:rPr>
                    <w:t>主要</w:t>
                  </w:r>
                  <w:r>
                    <w:rPr>
                      <w:rFonts w:hint="eastAsia"/>
                      <w:b w:val="0"/>
                      <w:bCs/>
                      <w:szCs w:val="21"/>
                      <w:lang w:val="en-US" w:eastAsia="zh-CN"/>
                    </w:rPr>
                    <w:t>建设乳化沥青、普通沥青混凝土和热再生沥青混凝土生产线，主要生产设备为1套DGR4000环保型整体式沥青搅拌设备，包括再生烘干系统、原生烘干系统、除尘系统、乳化沥青系统等。</w:t>
                  </w:r>
                  <w:r>
                    <w:rPr>
                      <w:rFonts w:hint="eastAsia"/>
                      <w:szCs w:val="21"/>
                      <w:lang w:val="en-US" w:eastAsia="zh-CN"/>
                    </w:rPr>
                    <w:t>设置1台导热油炉，位于沥青罐区，导热油炉采用天然气加热保持沥青罐恒温。设置2台</w:t>
                  </w:r>
                  <w:r>
                    <w:rPr>
                      <w:rFonts w:hint="eastAsia"/>
                      <w:szCs w:val="21"/>
                    </w:rPr>
                    <w:t>骨料烘干加热燃烧器</w:t>
                  </w:r>
                  <w:r>
                    <w:rPr>
                      <w:rFonts w:hint="eastAsia"/>
                      <w:szCs w:val="21"/>
                      <w:lang w:eastAsia="zh-CN"/>
                    </w:rPr>
                    <w:t>，</w:t>
                  </w:r>
                  <w:r>
                    <w:rPr>
                      <w:rFonts w:hint="eastAsia"/>
                      <w:szCs w:val="21"/>
                      <w:lang w:val="en-US" w:eastAsia="zh-CN"/>
                    </w:rPr>
                    <w:t>用于沥青混凝土骨料烘干，使用天然气作为燃料。</w:t>
                  </w:r>
                </w:p>
              </w:tc>
              <w:tc>
                <w:tcPr>
                  <w:tcW w:w="920" w:type="dxa"/>
                  <w:vMerge w:val="continue"/>
                  <w:noWrap w:val="0"/>
                  <w:vAlign w:val="center"/>
                </w:tcPr>
                <w:p w14:paraId="3F07A3DA">
                  <w:pPr>
                    <w:spacing w:line="240" w:lineRule="exact"/>
                    <w:jc w:val="center"/>
                    <w:rPr>
                      <w:szCs w:val="21"/>
                    </w:rPr>
                  </w:pPr>
                </w:p>
              </w:tc>
              <w:tc>
                <w:tcPr>
                  <w:tcW w:w="910" w:type="dxa"/>
                  <w:noWrap w:val="0"/>
                  <w:vAlign w:val="center"/>
                </w:tcPr>
                <w:p w14:paraId="4331C992">
                  <w:pPr>
                    <w:spacing w:line="240" w:lineRule="exact"/>
                    <w:jc w:val="center"/>
                    <w:rPr>
                      <w:rFonts w:hint="default"/>
                      <w:szCs w:val="21"/>
                      <w:lang w:val="en-US"/>
                    </w:rPr>
                  </w:pPr>
                  <w:r>
                    <w:rPr>
                      <w:szCs w:val="21"/>
                    </w:rPr>
                    <w:t>噪声、</w:t>
                  </w:r>
                  <w:r>
                    <w:rPr>
                      <w:rFonts w:hint="eastAsia"/>
                      <w:szCs w:val="21"/>
                      <w:lang w:val="en-US" w:eastAsia="zh-CN"/>
                    </w:rPr>
                    <w:t>废气、固废</w:t>
                  </w:r>
                </w:p>
              </w:tc>
              <w:tc>
                <w:tcPr>
                  <w:tcW w:w="797" w:type="dxa"/>
                  <w:noWrap w:val="0"/>
                  <w:vAlign w:val="center"/>
                </w:tcPr>
                <w:p w14:paraId="0D8E66F9">
                  <w:pPr>
                    <w:spacing w:line="240" w:lineRule="exact"/>
                    <w:jc w:val="center"/>
                    <w:rPr>
                      <w:rFonts w:hint="eastAsia"/>
                      <w:szCs w:val="21"/>
                    </w:rPr>
                  </w:pPr>
                  <w:r>
                    <w:rPr>
                      <w:rFonts w:hint="eastAsia"/>
                      <w:szCs w:val="21"/>
                      <w:lang w:val="en-US" w:eastAsia="zh-CN"/>
                    </w:rPr>
                    <w:t>改建</w:t>
                  </w:r>
                </w:p>
              </w:tc>
            </w:tr>
            <w:tr w14:paraId="2AD4A70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restart"/>
                  <w:noWrap w:val="0"/>
                  <w:vAlign w:val="center"/>
                </w:tcPr>
                <w:p w14:paraId="43567634">
                  <w:pPr>
                    <w:spacing w:line="240" w:lineRule="exact"/>
                    <w:jc w:val="center"/>
                    <w:rPr>
                      <w:szCs w:val="21"/>
                    </w:rPr>
                  </w:pPr>
                  <w:r>
                    <w:rPr>
                      <w:szCs w:val="21"/>
                    </w:rPr>
                    <w:t>办公生活设施</w:t>
                  </w:r>
                </w:p>
              </w:tc>
              <w:tc>
                <w:tcPr>
                  <w:tcW w:w="795" w:type="dxa"/>
                  <w:noWrap w:val="0"/>
                  <w:vAlign w:val="center"/>
                </w:tcPr>
                <w:p w14:paraId="1EE066EE">
                  <w:pPr>
                    <w:spacing w:line="240" w:lineRule="exact"/>
                    <w:jc w:val="center"/>
                    <w:rPr>
                      <w:rFonts w:hint="default" w:eastAsia="宋体"/>
                      <w:szCs w:val="21"/>
                      <w:lang w:val="en-US" w:eastAsia="zh-CN"/>
                    </w:rPr>
                  </w:pPr>
                  <w:r>
                    <w:rPr>
                      <w:rFonts w:hint="eastAsia"/>
                      <w:szCs w:val="21"/>
                      <w:lang w:val="en-US" w:eastAsia="zh-CN"/>
                    </w:rPr>
                    <w:t>办公生活区</w:t>
                  </w:r>
                </w:p>
              </w:tc>
              <w:tc>
                <w:tcPr>
                  <w:tcW w:w="3976" w:type="dxa"/>
                  <w:noWrap w:val="0"/>
                  <w:vAlign w:val="center"/>
                </w:tcPr>
                <w:p w14:paraId="4ADAED70">
                  <w:pPr>
                    <w:spacing w:line="240" w:lineRule="exact"/>
                    <w:jc w:val="center"/>
                    <w:rPr>
                      <w:rFonts w:hint="default" w:eastAsia="宋体"/>
                      <w:szCs w:val="21"/>
                      <w:lang w:val="en-US" w:eastAsia="zh-CN"/>
                    </w:rPr>
                  </w:pPr>
                  <w:r>
                    <w:rPr>
                      <w:rFonts w:hint="eastAsia"/>
                      <w:szCs w:val="21"/>
                      <w:lang w:val="en-US" w:eastAsia="zh-CN"/>
                    </w:rPr>
                    <w:t>2F板房结构，H=6m，占地面积约500m</w:t>
                  </w:r>
                  <w:r>
                    <w:rPr>
                      <w:rFonts w:hint="eastAsia"/>
                      <w:szCs w:val="21"/>
                      <w:vertAlign w:val="superscript"/>
                      <w:lang w:val="en-US" w:eastAsia="zh-CN"/>
                    </w:rPr>
                    <w:t>2</w:t>
                  </w:r>
                  <w:r>
                    <w:rPr>
                      <w:rFonts w:hint="eastAsia"/>
                      <w:szCs w:val="21"/>
                      <w:lang w:val="en-US" w:eastAsia="zh-CN"/>
                    </w:rPr>
                    <w:t>，位于厂区西北侧，设置办公室、生产检测中心、员工食堂、员工休息室。</w:t>
                  </w:r>
                </w:p>
              </w:tc>
              <w:tc>
                <w:tcPr>
                  <w:tcW w:w="920" w:type="dxa"/>
                  <w:vMerge w:val="continue"/>
                  <w:noWrap w:val="0"/>
                  <w:vAlign w:val="center"/>
                </w:tcPr>
                <w:p w14:paraId="3908199B">
                  <w:pPr>
                    <w:spacing w:line="240" w:lineRule="exact"/>
                    <w:jc w:val="center"/>
                    <w:rPr>
                      <w:szCs w:val="21"/>
                    </w:rPr>
                  </w:pPr>
                </w:p>
              </w:tc>
              <w:tc>
                <w:tcPr>
                  <w:tcW w:w="910" w:type="dxa"/>
                  <w:noWrap w:val="0"/>
                  <w:vAlign w:val="center"/>
                </w:tcPr>
                <w:p w14:paraId="307E3CE1">
                  <w:pPr>
                    <w:spacing w:line="240" w:lineRule="exact"/>
                    <w:jc w:val="center"/>
                    <w:rPr>
                      <w:rFonts w:hint="default" w:eastAsia="宋体"/>
                      <w:szCs w:val="21"/>
                      <w:lang w:val="en-US" w:eastAsia="zh-CN"/>
                    </w:rPr>
                  </w:pPr>
                  <w:r>
                    <w:rPr>
                      <w:rFonts w:hint="eastAsia"/>
                      <w:szCs w:val="21"/>
                      <w:lang w:val="en-US" w:eastAsia="zh-CN"/>
                    </w:rPr>
                    <w:t>废水、废气、固废</w:t>
                  </w:r>
                </w:p>
              </w:tc>
              <w:tc>
                <w:tcPr>
                  <w:tcW w:w="797" w:type="dxa"/>
                  <w:noWrap w:val="0"/>
                  <w:vAlign w:val="center"/>
                </w:tcPr>
                <w:p w14:paraId="069433D3">
                  <w:pPr>
                    <w:spacing w:line="240" w:lineRule="exact"/>
                    <w:jc w:val="center"/>
                    <w:rPr>
                      <w:rFonts w:hint="eastAsia" w:eastAsia="宋体"/>
                      <w:szCs w:val="21"/>
                      <w:lang w:eastAsia="zh-CN"/>
                    </w:rPr>
                  </w:pPr>
                  <w:r>
                    <w:rPr>
                      <w:rFonts w:hint="eastAsia"/>
                      <w:szCs w:val="21"/>
                      <w:lang w:val="en-US" w:eastAsia="zh-CN"/>
                    </w:rPr>
                    <w:t>利旧</w:t>
                  </w:r>
                </w:p>
              </w:tc>
            </w:tr>
            <w:tr w14:paraId="7FCE4E0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continue"/>
                  <w:noWrap w:val="0"/>
                  <w:vAlign w:val="center"/>
                </w:tcPr>
                <w:p w14:paraId="7C85A4EC">
                  <w:pPr>
                    <w:spacing w:line="240" w:lineRule="exact"/>
                    <w:jc w:val="center"/>
                    <w:rPr>
                      <w:szCs w:val="21"/>
                    </w:rPr>
                  </w:pPr>
                </w:p>
              </w:tc>
              <w:tc>
                <w:tcPr>
                  <w:tcW w:w="795" w:type="dxa"/>
                  <w:noWrap w:val="0"/>
                  <w:vAlign w:val="center"/>
                </w:tcPr>
                <w:p w14:paraId="0C7BB1F2">
                  <w:pPr>
                    <w:spacing w:line="240" w:lineRule="exact"/>
                    <w:jc w:val="center"/>
                    <w:rPr>
                      <w:rFonts w:hint="default"/>
                      <w:szCs w:val="21"/>
                      <w:lang w:val="en-US" w:eastAsia="zh-CN"/>
                    </w:rPr>
                  </w:pPr>
                  <w:r>
                    <w:rPr>
                      <w:rFonts w:hint="eastAsia"/>
                      <w:szCs w:val="21"/>
                      <w:lang w:val="en-US" w:eastAsia="zh-CN"/>
                    </w:rPr>
                    <w:t>地磅房</w:t>
                  </w:r>
                </w:p>
              </w:tc>
              <w:tc>
                <w:tcPr>
                  <w:tcW w:w="3976" w:type="dxa"/>
                  <w:noWrap w:val="0"/>
                  <w:vAlign w:val="center"/>
                </w:tcPr>
                <w:p w14:paraId="14643F65">
                  <w:pPr>
                    <w:spacing w:line="240" w:lineRule="exact"/>
                    <w:jc w:val="center"/>
                    <w:rPr>
                      <w:rFonts w:hint="eastAsia"/>
                      <w:szCs w:val="21"/>
                      <w:lang w:val="en-US" w:eastAsia="zh-CN"/>
                    </w:rPr>
                  </w:pPr>
                  <w:r>
                    <w:rPr>
                      <w:rFonts w:hint="eastAsia"/>
                      <w:szCs w:val="21"/>
                      <w:lang w:val="en-US" w:eastAsia="zh-CN"/>
                    </w:rPr>
                    <w:t>1F板房结构，H=3m，位于厂区西南侧，面积约10m</w:t>
                  </w:r>
                  <w:r>
                    <w:rPr>
                      <w:rFonts w:hint="eastAsia"/>
                      <w:szCs w:val="21"/>
                      <w:vertAlign w:val="superscript"/>
                      <w:lang w:val="en-US" w:eastAsia="zh-CN"/>
                    </w:rPr>
                    <w:t>2</w:t>
                  </w:r>
                  <w:r>
                    <w:rPr>
                      <w:rFonts w:hint="eastAsia"/>
                      <w:szCs w:val="21"/>
                      <w:lang w:val="en-US" w:eastAsia="zh-CN"/>
                    </w:rPr>
                    <w:t>。</w:t>
                  </w:r>
                </w:p>
              </w:tc>
              <w:tc>
                <w:tcPr>
                  <w:tcW w:w="920" w:type="dxa"/>
                  <w:vMerge w:val="continue"/>
                  <w:noWrap w:val="0"/>
                  <w:vAlign w:val="center"/>
                </w:tcPr>
                <w:p w14:paraId="5B9DA6FA">
                  <w:pPr>
                    <w:spacing w:line="240" w:lineRule="exact"/>
                    <w:jc w:val="center"/>
                    <w:rPr>
                      <w:szCs w:val="21"/>
                    </w:rPr>
                  </w:pPr>
                </w:p>
              </w:tc>
              <w:tc>
                <w:tcPr>
                  <w:tcW w:w="910" w:type="dxa"/>
                  <w:noWrap w:val="0"/>
                  <w:vAlign w:val="center"/>
                </w:tcPr>
                <w:p w14:paraId="63F98511">
                  <w:pPr>
                    <w:spacing w:line="240" w:lineRule="exact"/>
                    <w:jc w:val="center"/>
                    <w:rPr>
                      <w:rFonts w:hint="default"/>
                      <w:szCs w:val="21"/>
                      <w:lang w:val="en-US" w:eastAsia="zh-CN"/>
                    </w:rPr>
                  </w:pPr>
                  <w:r>
                    <w:rPr>
                      <w:rFonts w:hint="eastAsia"/>
                      <w:szCs w:val="21"/>
                      <w:lang w:val="en-US" w:eastAsia="zh-CN"/>
                    </w:rPr>
                    <w:t>/</w:t>
                  </w:r>
                </w:p>
              </w:tc>
              <w:tc>
                <w:tcPr>
                  <w:tcW w:w="797" w:type="dxa"/>
                  <w:noWrap w:val="0"/>
                  <w:vAlign w:val="center"/>
                </w:tcPr>
                <w:p w14:paraId="0E510774">
                  <w:pPr>
                    <w:spacing w:line="240" w:lineRule="exact"/>
                    <w:jc w:val="center"/>
                    <w:rPr>
                      <w:rFonts w:hint="eastAsia"/>
                      <w:szCs w:val="21"/>
                      <w:lang w:val="en-US" w:eastAsia="zh-CN"/>
                    </w:rPr>
                  </w:pPr>
                  <w:r>
                    <w:rPr>
                      <w:rFonts w:hint="eastAsia"/>
                      <w:szCs w:val="21"/>
                      <w:lang w:val="en-US" w:eastAsia="zh-CN"/>
                    </w:rPr>
                    <w:t>利旧</w:t>
                  </w:r>
                </w:p>
              </w:tc>
            </w:tr>
            <w:tr w14:paraId="7458529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continue"/>
                  <w:noWrap w:val="0"/>
                  <w:vAlign w:val="center"/>
                </w:tcPr>
                <w:p w14:paraId="41CE73A3">
                  <w:pPr>
                    <w:spacing w:line="240" w:lineRule="exact"/>
                    <w:jc w:val="center"/>
                    <w:rPr>
                      <w:szCs w:val="21"/>
                    </w:rPr>
                  </w:pPr>
                </w:p>
              </w:tc>
              <w:tc>
                <w:tcPr>
                  <w:tcW w:w="795" w:type="dxa"/>
                  <w:noWrap w:val="0"/>
                  <w:vAlign w:val="center"/>
                </w:tcPr>
                <w:p w14:paraId="759BCDB0">
                  <w:pPr>
                    <w:spacing w:line="240" w:lineRule="exact"/>
                    <w:jc w:val="center"/>
                    <w:rPr>
                      <w:rFonts w:hint="default"/>
                      <w:szCs w:val="21"/>
                      <w:lang w:val="en-US" w:eastAsia="zh-CN"/>
                    </w:rPr>
                  </w:pPr>
                  <w:r>
                    <w:rPr>
                      <w:rFonts w:hint="eastAsia"/>
                      <w:szCs w:val="21"/>
                      <w:lang w:val="en-US" w:eastAsia="zh-CN"/>
                    </w:rPr>
                    <w:t>门卫室</w:t>
                  </w:r>
                </w:p>
              </w:tc>
              <w:tc>
                <w:tcPr>
                  <w:tcW w:w="3976" w:type="dxa"/>
                  <w:noWrap w:val="0"/>
                  <w:vAlign w:val="center"/>
                </w:tcPr>
                <w:p w14:paraId="29432B58">
                  <w:pPr>
                    <w:spacing w:line="240" w:lineRule="exact"/>
                    <w:jc w:val="center"/>
                    <w:rPr>
                      <w:rFonts w:hint="default"/>
                      <w:szCs w:val="21"/>
                      <w:lang w:val="en-US" w:eastAsia="zh-CN"/>
                    </w:rPr>
                  </w:pPr>
                  <w:r>
                    <w:rPr>
                      <w:rFonts w:hint="eastAsia"/>
                      <w:szCs w:val="21"/>
                      <w:lang w:val="en-US" w:eastAsia="zh-CN"/>
                    </w:rPr>
                    <w:t>1F板房结构，H=3m，位于厂区南侧，面积约10m</w:t>
                  </w:r>
                  <w:r>
                    <w:rPr>
                      <w:rFonts w:hint="eastAsia"/>
                      <w:szCs w:val="21"/>
                      <w:vertAlign w:val="superscript"/>
                      <w:lang w:val="en-US" w:eastAsia="zh-CN"/>
                    </w:rPr>
                    <w:t>2</w:t>
                  </w:r>
                  <w:r>
                    <w:rPr>
                      <w:rFonts w:hint="eastAsia"/>
                      <w:szCs w:val="21"/>
                      <w:lang w:val="en-US" w:eastAsia="zh-CN"/>
                    </w:rPr>
                    <w:t>。</w:t>
                  </w:r>
                </w:p>
              </w:tc>
              <w:tc>
                <w:tcPr>
                  <w:tcW w:w="920" w:type="dxa"/>
                  <w:vMerge w:val="continue"/>
                  <w:noWrap w:val="0"/>
                  <w:vAlign w:val="center"/>
                </w:tcPr>
                <w:p w14:paraId="5FE1BBEA">
                  <w:pPr>
                    <w:spacing w:line="240" w:lineRule="exact"/>
                    <w:jc w:val="center"/>
                    <w:rPr>
                      <w:szCs w:val="21"/>
                    </w:rPr>
                  </w:pPr>
                </w:p>
              </w:tc>
              <w:tc>
                <w:tcPr>
                  <w:tcW w:w="910" w:type="dxa"/>
                  <w:noWrap w:val="0"/>
                  <w:vAlign w:val="center"/>
                </w:tcPr>
                <w:p w14:paraId="1E7A4D8B">
                  <w:pPr>
                    <w:spacing w:line="240" w:lineRule="exact"/>
                    <w:jc w:val="center"/>
                    <w:rPr>
                      <w:rFonts w:hint="default"/>
                      <w:szCs w:val="21"/>
                      <w:lang w:val="en-US" w:eastAsia="zh-CN"/>
                    </w:rPr>
                  </w:pPr>
                  <w:r>
                    <w:rPr>
                      <w:rFonts w:hint="eastAsia"/>
                      <w:szCs w:val="21"/>
                      <w:lang w:val="en-US" w:eastAsia="zh-CN"/>
                    </w:rPr>
                    <w:t>/</w:t>
                  </w:r>
                </w:p>
              </w:tc>
              <w:tc>
                <w:tcPr>
                  <w:tcW w:w="797" w:type="dxa"/>
                  <w:noWrap w:val="0"/>
                  <w:vAlign w:val="center"/>
                </w:tcPr>
                <w:p w14:paraId="6DD816C8">
                  <w:pPr>
                    <w:spacing w:line="240" w:lineRule="exact"/>
                    <w:jc w:val="center"/>
                    <w:rPr>
                      <w:rFonts w:hint="eastAsia"/>
                      <w:szCs w:val="21"/>
                      <w:lang w:val="en-US" w:eastAsia="zh-CN"/>
                    </w:rPr>
                  </w:pPr>
                  <w:r>
                    <w:rPr>
                      <w:rFonts w:hint="eastAsia"/>
                      <w:szCs w:val="21"/>
                      <w:lang w:val="en-US" w:eastAsia="zh-CN"/>
                    </w:rPr>
                    <w:t>利旧</w:t>
                  </w:r>
                </w:p>
              </w:tc>
            </w:tr>
            <w:tr w14:paraId="5F0541B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restart"/>
                  <w:noWrap w:val="0"/>
                  <w:vAlign w:val="center"/>
                </w:tcPr>
                <w:p w14:paraId="0D580F5E">
                  <w:pPr>
                    <w:spacing w:line="240" w:lineRule="exact"/>
                    <w:jc w:val="center"/>
                    <w:rPr>
                      <w:szCs w:val="21"/>
                    </w:rPr>
                  </w:pPr>
                  <w:r>
                    <w:rPr>
                      <w:rFonts w:hint="eastAsia"/>
                      <w:szCs w:val="21"/>
                    </w:rPr>
                    <w:t>公辅工程</w:t>
                  </w:r>
                </w:p>
              </w:tc>
              <w:tc>
                <w:tcPr>
                  <w:tcW w:w="795" w:type="dxa"/>
                  <w:noWrap w:val="0"/>
                  <w:vAlign w:val="center"/>
                </w:tcPr>
                <w:p w14:paraId="64D258F5">
                  <w:pPr>
                    <w:spacing w:line="240" w:lineRule="exact"/>
                    <w:jc w:val="center"/>
                    <w:rPr>
                      <w:szCs w:val="21"/>
                    </w:rPr>
                  </w:pPr>
                  <w:r>
                    <w:rPr>
                      <w:szCs w:val="21"/>
                    </w:rPr>
                    <w:t>供水工程</w:t>
                  </w:r>
                </w:p>
              </w:tc>
              <w:tc>
                <w:tcPr>
                  <w:tcW w:w="3976" w:type="dxa"/>
                  <w:noWrap w:val="0"/>
                  <w:vAlign w:val="center"/>
                </w:tcPr>
                <w:p w14:paraId="307A3246">
                  <w:pPr>
                    <w:spacing w:line="240" w:lineRule="exact"/>
                    <w:jc w:val="center"/>
                    <w:rPr>
                      <w:szCs w:val="21"/>
                    </w:rPr>
                  </w:pPr>
                  <w:r>
                    <w:rPr>
                      <w:rFonts w:hint="eastAsia"/>
                      <w:szCs w:val="21"/>
                      <w:lang w:val="en-US" w:eastAsia="zh-CN"/>
                    </w:rPr>
                    <w:t>本项目生产用水、</w:t>
                  </w:r>
                  <w:r>
                    <w:rPr>
                      <w:szCs w:val="21"/>
                    </w:rPr>
                    <w:t>生活用水由市政</w:t>
                  </w:r>
                  <w:r>
                    <w:rPr>
                      <w:rFonts w:hint="eastAsia"/>
                      <w:szCs w:val="21"/>
                    </w:rPr>
                    <w:t>自来水</w:t>
                  </w:r>
                  <w:r>
                    <w:rPr>
                      <w:szCs w:val="21"/>
                    </w:rPr>
                    <w:t>管网提供</w:t>
                  </w:r>
                  <w:r>
                    <w:rPr>
                      <w:rFonts w:hint="eastAsia"/>
                      <w:szCs w:val="21"/>
                    </w:rPr>
                    <w:t>。</w:t>
                  </w:r>
                </w:p>
              </w:tc>
              <w:tc>
                <w:tcPr>
                  <w:tcW w:w="920" w:type="dxa"/>
                  <w:vMerge w:val="continue"/>
                  <w:noWrap w:val="0"/>
                  <w:vAlign w:val="center"/>
                </w:tcPr>
                <w:p w14:paraId="23A02A7A">
                  <w:pPr>
                    <w:spacing w:line="240" w:lineRule="exact"/>
                    <w:jc w:val="center"/>
                    <w:rPr>
                      <w:szCs w:val="21"/>
                    </w:rPr>
                  </w:pPr>
                </w:p>
              </w:tc>
              <w:tc>
                <w:tcPr>
                  <w:tcW w:w="910" w:type="dxa"/>
                  <w:noWrap w:val="0"/>
                  <w:vAlign w:val="center"/>
                </w:tcPr>
                <w:p w14:paraId="17F8AA61">
                  <w:pPr>
                    <w:spacing w:line="240" w:lineRule="exact"/>
                    <w:jc w:val="center"/>
                    <w:rPr>
                      <w:szCs w:val="21"/>
                    </w:rPr>
                  </w:pPr>
                  <w:r>
                    <w:rPr>
                      <w:szCs w:val="21"/>
                    </w:rPr>
                    <w:t>/</w:t>
                  </w:r>
                </w:p>
              </w:tc>
              <w:tc>
                <w:tcPr>
                  <w:tcW w:w="797" w:type="dxa"/>
                  <w:noWrap w:val="0"/>
                  <w:vAlign w:val="center"/>
                </w:tcPr>
                <w:p w14:paraId="5CE57C4F">
                  <w:pPr>
                    <w:spacing w:line="240" w:lineRule="exact"/>
                    <w:jc w:val="center"/>
                    <w:rPr>
                      <w:rFonts w:hint="eastAsia" w:eastAsia="宋体"/>
                      <w:szCs w:val="21"/>
                      <w:lang w:eastAsia="zh-CN"/>
                    </w:rPr>
                  </w:pPr>
                  <w:r>
                    <w:rPr>
                      <w:rFonts w:hint="eastAsia"/>
                      <w:szCs w:val="21"/>
                      <w:lang w:val="en-US" w:eastAsia="zh-CN"/>
                    </w:rPr>
                    <w:t>利旧</w:t>
                  </w:r>
                </w:p>
              </w:tc>
            </w:tr>
            <w:tr w14:paraId="0953BD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591" w:hRule="atLeast"/>
                <w:jc w:val="center"/>
              </w:trPr>
              <w:tc>
                <w:tcPr>
                  <w:tcW w:w="692" w:type="dxa"/>
                  <w:vMerge w:val="continue"/>
                  <w:noWrap w:val="0"/>
                  <w:vAlign w:val="center"/>
                </w:tcPr>
                <w:p w14:paraId="636FF538">
                  <w:pPr>
                    <w:spacing w:line="240" w:lineRule="exact"/>
                    <w:jc w:val="center"/>
                    <w:rPr>
                      <w:szCs w:val="21"/>
                    </w:rPr>
                  </w:pPr>
                </w:p>
              </w:tc>
              <w:tc>
                <w:tcPr>
                  <w:tcW w:w="795" w:type="dxa"/>
                  <w:noWrap w:val="0"/>
                  <w:vAlign w:val="center"/>
                </w:tcPr>
                <w:p w14:paraId="7C1C632E">
                  <w:pPr>
                    <w:spacing w:line="240" w:lineRule="exact"/>
                    <w:jc w:val="center"/>
                    <w:rPr>
                      <w:rFonts w:hint="eastAsia" w:eastAsia="宋体"/>
                      <w:szCs w:val="21"/>
                      <w:lang w:val="en-US" w:eastAsia="zh-CN"/>
                    </w:rPr>
                  </w:pPr>
                  <w:r>
                    <w:rPr>
                      <w:rFonts w:hint="eastAsia"/>
                      <w:szCs w:val="21"/>
                      <w:lang w:val="en-US" w:eastAsia="zh-CN"/>
                    </w:rPr>
                    <w:t>排水工程</w:t>
                  </w:r>
                </w:p>
              </w:tc>
              <w:tc>
                <w:tcPr>
                  <w:tcW w:w="3976" w:type="dxa"/>
                  <w:noWrap w:val="0"/>
                  <w:vAlign w:val="center"/>
                </w:tcPr>
                <w:p w14:paraId="5A0B7350">
                  <w:pPr>
                    <w:spacing w:line="240" w:lineRule="exact"/>
                    <w:jc w:val="center"/>
                    <w:rPr>
                      <w:rFonts w:hint="eastAsia"/>
                      <w:szCs w:val="21"/>
                      <w:lang w:val="en-US" w:eastAsia="zh-CN"/>
                    </w:rPr>
                  </w:pPr>
                  <w:r>
                    <w:rPr>
                      <w:rFonts w:hint="eastAsia"/>
                      <w:szCs w:val="21"/>
                      <w:lang w:val="en-US" w:eastAsia="zh-CN"/>
                    </w:rPr>
                    <w:t>排水雨污分流：雨水由区域雨水管网收集，生活污水（含食堂废水）经隔油池+化粪池处理后用作农肥不外排，车辆清洗废水及实验室设备清洗废水经隔油池+三级沉淀池处理后回用于车辆清洗不外排。</w:t>
                  </w:r>
                </w:p>
              </w:tc>
              <w:tc>
                <w:tcPr>
                  <w:tcW w:w="920" w:type="dxa"/>
                  <w:vMerge w:val="continue"/>
                  <w:noWrap w:val="0"/>
                  <w:vAlign w:val="center"/>
                </w:tcPr>
                <w:p w14:paraId="1D54CEF0">
                  <w:pPr>
                    <w:spacing w:line="240" w:lineRule="exact"/>
                    <w:jc w:val="center"/>
                    <w:rPr>
                      <w:szCs w:val="21"/>
                    </w:rPr>
                  </w:pPr>
                </w:p>
              </w:tc>
              <w:tc>
                <w:tcPr>
                  <w:tcW w:w="910" w:type="dxa"/>
                  <w:noWrap w:val="0"/>
                  <w:vAlign w:val="center"/>
                </w:tcPr>
                <w:p w14:paraId="52E0ED8B">
                  <w:pPr>
                    <w:spacing w:line="240" w:lineRule="exact"/>
                    <w:jc w:val="center"/>
                    <w:rPr>
                      <w:rFonts w:hint="eastAsia" w:eastAsia="宋体"/>
                      <w:szCs w:val="21"/>
                      <w:lang w:val="en-US" w:eastAsia="zh-CN"/>
                    </w:rPr>
                  </w:pPr>
                  <w:r>
                    <w:rPr>
                      <w:rFonts w:hint="eastAsia"/>
                      <w:szCs w:val="21"/>
                      <w:lang w:val="en-US" w:eastAsia="zh-CN"/>
                    </w:rPr>
                    <w:t>/</w:t>
                  </w:r>
                </w:p>
              </w:tc>
              <w:tc>
                <w:tcPr>
                  <w:tcW w:w="797" w:type="dxa"/>
                  <w:noWrap w:val="0"/>
                  <w:vAlign w:val="center"/>
                </w:tcPr>
                <w:p w14:paraId="047B5740">
                  <w:pPr>
                    <w:spacing w:line="240" w:lineRule="exact"/>
                    <w:jc w:val="center"/>
                    <w:rPr>
                      <w:rFonts w:hint="default"/>
                      <w:szCs w:val="21"/>
                      <w:lang w:val="en-US" w:eastAsia="zh-CN"/>
                    </w:rPr>
                  </w:pPr>
                  <w:r>
                    <w:rPr>
                      <w:rFonts w:hint="eastAsia"/>
                      <w:szCs w:val="21"/>
                      <w:lang w:val="en-US" w:eastAsia="zh-CN"/>
                    </w:rPr>
                    <w:t>利旧+新增</w:t>
                  </w:r>
                </w:p>
              </w:tc>
            </w:tr>
            <w:tr w14:paraId="28934C8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continue"/>
                  <w:noWrap w:val="0"/>
                  <w:vAlign w:val="center"/>
                </w:tcPr>
                <w:p w14:paraId="4D98CB27">
                  <w:pPr>
                    <w:spacing w:line="240" w:lineRule="exact"/>
                    <w:jc w:val="center"/>
                    <w:rPr>
                      <w:szCs w:val="21"/>
                    </w:rPr>
                  </w:pPr>
                </w:p>
              </w:tc>
              <w:tc>
                <w:tcPr>
                  <w:tcW w:w="795" w:type="dxa"/>
                  <w:noWrap w:val="0"/>
                  <w:vAlign w:val="center"/>
                </w:tcPr>
                <w:p w14:paraId="17B9E6B5">
                  <w:pPr>
                    <w:spacing w:line="240" w:lineRule="exact"/>
                    <w:jc w:val="center"/>
                    <w:rPr>
                      <w:szCs w:val="21"/>
                    </w:rPr>
                  </w:pPr>
                  <w:r>
                    <w:rPr>
                      <w:szCs w:val="21"/>
                    </w:rPr>
                    <w:t>供电工程</w:t>
                  </w:r>
                </w:p>
              </w:tc>
              <w:tc>
                <w:tcPr>
                  <w:tcW w:w="3976" w:type="dxa"/>
                  <w:noWrap w:val="0"/>
                  <w:vAlign w:val="center"/>
                </w:tcPr>
                <w:p w14:paraId="21C7266C">
                  <w:pPr>
                    <w:spacing w:line="240" w:lineRule="exact"/>
                    <w:jc w:val="center"/>
                    <w:rPr>
                      <w:rFonts w:hint="eastAsia" w:eastAsia="宋体"/>
                      <w:szCs w:val="21"/>
                      <w:lang w:eastAsia="zh-CN"/>
                    </w:rPr>
                  </w:pPr>
                  <w:r>
                    <w:rPr>
                      <w:rFonts w:hint="eastAsia"/>
                      <w:szCs w:val="21"/>
                      <w:lang w:val="en-US" w:eastAsia="zh-CN"/>
                    </w:rPr>
                    <w:t>依托</w:t>
                  </w:r>
                  <w:r>
                    <w:rPr>
                      <w:szCs w:val="21"/>
                    </w:rPr>
                    <w:t>厂区内</w:t>
                  </w:r>
                  <w:r>
                    <w:rPr>
                      <w:rFonts w:hint="eastAsia"/>
                      <w:szCs w:val="21"/>
                      <w:lang w:val="en-US" w:eastAsia="zh-CN"/>
                    </w:rPr>
                    <w:t>已设置的</w:t>
                  </w:r>
                  <w:r>
                    <w:rPr>
                      <w:rFonts w:hint="eastAsia"/>
                      <w:szCs w:val="21"/>
                    </w:rPr>
                    <w:t>1间配电房</w:t>
                  </w:r>
                  <w:r>
                    <w:rPr>
                      <w:rFonts w:hint="eastAsia"/>
                      <w:szCs w:val="21"/>
                      <w:lang w:eastAsia="zh-CN"/>
                    </w:rPr>
                    <w:t>（</w:t>
                  </w:r>
                  <w:r>
                    <w:rPr>
                      <w:rFonts w:hint="eastAsia"/>
                      <w:szCs w:val="21"/>
                      <w:lang w:val="en-US" w:eastAsia="zh-CN"/>
                    </w:rPr>
                    <w:t>建筑面积23m</w:t>
                  </w:r>
                  <w:r>
                    <w:rPr>
                      <w:rFonts w:hint="eastAsia"/>
                      <w:szCs w:val="21"/>
                      <w:vertAlign w:val="superscript"/>
                      <w:lang w:val="en-US" w:eastAsia="zh-CN"/>
                    </w:rPr>
                    <w:t>2</w:t>
                  </w:r>
                  <w:r>
                    <w:rPr>
                      <w:rFonts w:hint="eastAsia"/>
                      <w:szCs w:val="21"/>
                      <w:lang w:eastAsia="zh-CN"/>
                    </w:rPr>
                    <w:t>）</w:t>
                  </w:r>
                  <w:r>
                    <w:rPr>
                      <w:szCs w:val="21"/>
                    </w:rPr>
                    <w:t>，由当地市政电网引入</w:t>
                  </w:r>
                  <w:r>
                    <w:rPr>
                      <w:rFonts w:hint="eastAsia"/>
                      <w:szCs w:val="21"/>
                      <w:lang w:eastAsia="zh-CN"/>
                    </w:rPr>
                    <w:t>。</w:t>
                  </w:r>
                </w:p>
              </w:tc>
              <w:tc>
                <w:tcPr>
                  <w:tcW w:w="920" w:type="dxa"/>
                  <w:vMerge w:val="continue"/>
                  <w:noWrap w:val="0"/>
                  <w:vAlign w:val="center"/>
                </w:tcPr>
                <w:p w14:paraId="12E382C2">
                  <w:pPr>
                    <w:spacing w:line="240" w:lineRule="exact"/>
                    <w:jc w:val="center"/>
                    <w:rPr>
                      <w:szCs w:val="21"/>
                    </w:rPr>
                  </w:pPr>
                </w:p>
              </w:tc>
              <w:tc>
                <w:tcPr>
                  <w:tcW w:w="910" w:type="dxa"/>
                  <w:noWrap w:val="0"/>
                  <w:vAlign w:val="center"/>
                </w:tcPr>
                <w:p w14:paraId="6CE2F801">
                  <w:pPr>
                    <w:spacing w:line="240" w:lineRule="exact"/>
                    <w:jc w:val="center"/>
                    <w:rPr>
                      <w:rFonts w:hint="eastAsia"/>
                      <w:szCs w:val="21"/>
                    </w:rPr>
                  </w:pPr>
                  <w:r>
                    <w:rPr>
                      <w:rFonts w:hint="eastAsia"/>
                      <w:szCs w:val="21"/>
                    </w:rPr>
                    <w:t>/</w:t>
                  </w:r>
                </w:p>
              </w:tc>
              <w:tc>
                <w:tcPr>
                  <w:tcW w:w="797" w:type="dxa"/>
                  <w:noWrap w:val="0"/>
                  <w:vAlign w:val="center"/>
                </w:tcPr>
                <w:p w14:paraId="5083A021">
                  <w:pPr>
                    <w:spacing w:line="240" w:lineRule="exact"/>
                    <w:jc w:val="center"/>
                    <w:rPr>
                      <w:rFonts w:hint="eastAsia" w:eastAsia="宋体"/>
                      <w:szCs w:val="21"/>
                      <w:lang w:eastAsia="zh-CN"/>
                    </w:rPr>
                  </w:pPr>
                  <w:r>
                    <w:rPr>
                      <w:rFonts w:hint="eastAsia"/>
                      <w:szCs w:val="21"/>
                      <w:lang w:val="en-US" w:eastAsia="zh-CN"/>
                    </w:rPr>
                    <w:t>利旧</w:t>
                  </w:r>
                </w:p>
              </w:tc>
            </w:tr>
            <w:tr w14:paraId="5EC4AD8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continue"/>
                  <w:noWrap w:val="0"/>
                  <w:vAlign w:val="center"/>
                </w:tcPr>
                <w:p w14:paraId="77C7EC49">
                  <w:pPr>
                    <w:spacing w:line="240" w:lineRule="exact"/>
                    <w:jc w:val="center"/>
                    <w:rPr>
                      <w:szCs w:val="21"/>
                    </w:rPr>
                  </w:pPr>
                </w:p>
              </w:tc>
              <w:tc>
                <w:tcPr>
                  <w:tcW w:w="795" w:type="dxa"/>
                  <w:noWrap w:val="0"/>
                  <w:vAlign w:val="center"/>
                </w:tcPr>
                <w:p w14:paraId="48629DC5">
                  <w:pPr>
                    <w:spacing w:line="240" w:lineRule="exact"/>
                    <w:jc w:val="center"/>
                    <w:rPr>
                      <w:szCs w:val="21"/>
                    </w:rPr>
                  </w:pPr>
                  <w:r>
                    <w:rPr>
                      <w:rFonts w:hint="eastAsia"/>
                      <w:szCs w:val="21"/>
                    </w:rPr>
                    <w:t>生产检测中心</w:t>
                  </w:r>
                </w:p>
              </w:tc>
              <w:tc>
                <w:tcPr>
                  <w:tcW w:w="3976" w:type="dxa"/>
                  <w:noWrap w:val="0"/>
                  <w:vAlign w:val="center"/>
                </w:tcPr>
                <w:p w14:paraId="40D4052D">
                  <w:pPr>
                    <w:spacing w:line="240" w:lineRule="exact"/>
                    <w:jc w:val="center"/>
                    <w:rPr>
                      <w:rFonts w:hint="eastAsia"/>
                      <w:szCs w:val="21"/>
                      <w:lang w:val="en-US" w:eastAsia="zh-CN"/>
                    </w:rPr>
                  </w:pPr>
                  <w:r>
                    <w:rPr>
                      <w:rFonts w:hint="eastAsia"/>
                      <w:szCs w:val="21"/>
                      <w:lang w:val="en-US" w:eastAsia="zh-CN"/>
                    </w:rPr>
                    <w:t>位于厂区西北侧办公生活区，主要用于马歇尔试验、抗车辙试验、低温弯曲试验等试验，均用仪器检测。</w:t>
                  </w:r>
                </w:p>
              </w:tc>
              <w:tc>
                <w:tcPr>
                  <w:tcW w:w="920" w:type="dxa"/>
                  <w:vMerge w:val="continue"/>
                  <w:noWrap w:val="0"/>
                  <w:vAlign w:val="center"/>
                </w:tcPr>
                <w:p w14:paraId="043F18D8">
                  <w:pPr>
                    <w:spacing w:line="240" w:lineRule="exact"/>
                    <w:jc w:val="center"/>
                    <w:rPr>
                      <w:szCs w:val="21"/>
                    </w:rPr>
                  </w:pPr>
                </w:p>
              </w:tc>
              <w:tc>
                <w:tcPr>
                  <w:tcW w:w="910" w:type="dxa"/>
                  <w:noWrap w:val="0"/>
                  <w:vAlign w:val="center"/>
                </w:tcPr>
                <w:p w14:paraId="72C9B275">
                  <w:pPr>
                    <w:spacing w:line="240" w:lineRule="exact"/>
                    <w:jc w:val="center"/>
                    <w:rPr>
                      <w:rFonts w:hint="eastAsia" w:eastAsia="宋体"/>
                      <w:szCs w:val="21"/>
                      <w:lang w:val="en-US" w:eastAsia="zh-CN"/>
                    </w:rPr>
                  </w:pPr>
                  <w:r>
                    <w:rPr>
                      <w:rFonts w:hint="eastAsia"/>
                      <w:szCs w:val="21"/>
                      <w:lang w:val="en-US" w:eastAsia="zh-CN"/>
                    </w:rPr>
                    <w:t>/</w:t>
                  </w:r>
                </w:p>
              </w:tc>
              <w:tc>
                <w:tcPr>
                  <w:tcW w:w="797" w:type="dxa"/>
                  <w:noWrap w:val="0"/>
                  <w:vAlign w:val="center"/>
                </w:tcPr>
                <w:p w14:paraId="3F946942">
                  <w:pPr>
                    <w:spacing w:line="240" w:lineRule="exact"/>
                    <w:jc w:val="center"/>
                    <w:rPr>
                      <w:rFonts w:hint="default"/>
                      <w:szCs w:val="21"/>
                      <w:lang w:val="en-US" w:eastAsia="zh-CN"/>
                    </w:rPr>
                  </w:pPr>
                  <w:r>
                    <w:rPr>
                      <w:rFonts w:hint="eastAsia"/>
                      <w:szCs w:val="21"/>
                      <w:lang w:val="en-US" w:eastAsia="zh-CN"/>
                    </w:rPr>
                    <w:t>利旧</w:t>
                  </w:r>
                </w:p>
              </w:tc>
            </w:tr>
            <w:tr w14:paraId="780B11E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restart"/>
                  <w:noWrap w:val="0"/>
                  <w:vAlign w:val="center"/>
                </w:tcPr>
                <w:p w14:paraId="6972FC28">
                  <w:pPr>
                    <w:spacing w:line="240" w:lineRule="exact"/>
                    <w:jc w:val="center"/>
                    <w:rPr>
                      <w:szCs w:val="21"/>
                    </w:rPr>
                  </w:pPr>
                  <w:r>
                    <w:rPr>
                      <w:szCs w:val="21"/>
                    </w:rPr>
                    <w:t>仓储工程</w:t>
                  </w:r>
                </w:p>
              </w:tc>
              <w:tc>
                <w:tcPr>
                  <w:tcW w:w="795" w:type="dxa"/>
                  <w:noWrap w:val="0"/>
                  <w:vAlign w:val="center"/>
                </w:tcPr>
                <w:p w14:paraId="76B6B21E">
                  <w:pPr>
                    <w:pStyle w:val="80"/>
                    <w:tabs>
                      <w:tab w:val="clear" w:pos="0"/>
                    </w:tabs>
                    <w:spacing w:line="240" w:lineRule="exact"/>
                    <w:jc w:val="center"/>
                    <w:rPr>
                      <w:rFonts w:hint="default" w:eastAsia="宋体"/>
                      <w:sz w:val="21"/>
                      <w:szCs w:val="21"/>
                      <w:lang w:val="en-US" w:eastAsia="zh-CN"/>
                    </w:rPr>
                  </w:pPr>
                  <w:r>
                    <w:rPr>
                      <w:rFonts w:hint="eastAsia" w:eastAsia="宋体"/>
                      <w:sz w:val="21"/>
                      <w:szCs w:val="21"/>
                      <w:lang w:val="en-US" w:eastAsia="zh-CN"/>
                    </w:rPr>
                    <w:t>中煤料仓</w:t>
                  </w:r>
                </w:p>
              </w:tc>
              <w:tc>
                <w:tcPr>
                  <w:tcW w:w="3976" w:type="dxa"/>
                  <w:noWrap w:val="0"/>
                  <w:vAlign w:val="center"/>
                </w:tcPr>
                <w:p w14:paraId="001AEFFB">
                  <w:pPr>
                    <w:spacing w:line="240" w:lineRule="exact"/>
                    <w:jc w:val="center"/>
                    <w:rPr>
                      <w:rFonts w:hint="default" w:eastAsia="宋体"/>
                      <w:szCs w:val="21"/>
                      <w:lang w:val="en-US" w:eastAsia="zh-CN"/>
                    </w:rPr>
                  </w:pPr>
                  <w:r>
                    <w:rPr>
                      <w:rFonts w:hint="eastAsia"/>
                      <w:szCs w:val="21"/>
                      <w:lang w:val="en-US" w:eastAsia="zh-CN"/>
                    </w:rPr>
                    <w:t>利用原项目已设置的4个骨料仓作为中煤料仓</w:t>
                  </w:r>
                  <w:r>
                    <w:rPr>
                      <w:rFonts w:hint="default" w:eastAsia="宋体"/>
                      <w:szCs w:val="21"/>
                      <w:lang w:val="en-US" w:eastAsia="zh-CN"/>
                    </w:rPr>
                    <w:t>，总建筑面积</w:t>
                  </w:r>
                  <w:r>
                    <w:rPr>
                      <w:rFonts w:hint="eastAsia"/>
                      <w:szCs w:val="21"/>
                      <w:lang w:val="en-US" w:eastAsia="zh-CN"/>
                    </w:rPr>
                    <w:t>1800</w:t>
                  </w:r>
                  <w:r>
                    <w:rPr>
                      <w:rFonts w:hint="default" w:eastAsia="宋体"/>
                      <w:szCs w:val="21"/>
                      <w:lang w:val="en-US" w:eastAsia="zh-CN"/>
                    </w:rPr>
                    <w:t>m</w:t>
                  </w:r>
                  <w:r>
                    <w:rPr>
                      <w:rFonts w:hint="default" w:eastAsia="宋体"/>
                      <w:szCs w:val="21"/>
                      <w:vertAlign w:val="superscript"/>
                      <w:lang w:val="en-US" w:eastAsia="zh-CN"/>
                    </w:rPr>
                    <w:t>2</w:t>
                  </w:r>
                  <w:r>
                    <w:rPr>
                      <w:rFonts w:hint="default" w:eastAsia="宋体"/>
                      <w:szCs w:val="21"/>
                      <w:lang w:val="en-US" w:eastAsia="zh-CN"/>
                    </w:rPr>
                    <w:t>，H=</w:t>
                  </w:r>
                  <w:r>
                    <w:rPr>
                      <w:rFonts w:hint="eastAsia"/>
                      <w:szCs w:val="21"/>
                      <w:lang w:val="en-US" w:eastAsia="zh-CN"/>
                    </w:rPr>
                    <w:t>12</w:t>
                  </w:r>
                  <w:r>
                    <w:rPr>
                      <w:rFonts w:hint="default" w:eastAsia="宋体"/>
                      <w:szCs w:val="21"/>
                      <w:lang w:val="en-US" w:eastAsia="zh-CN"/>
                    </w:rPr>
                    <w:t>m</w:t>
                  </w:r>
                  <w:r>
                    <w:rPr>
                      <w:rFonts w:hint="eastAsia"/>
                      <w:szCs w:val="21"/>
                      <w:lang w:val="en-US" w:eastAsia="zh-CN"/>
                    </w:rPr>
                    <w:t>，位于厂区北侧，采用钢结构搭建，三面围挡及顶棚，物料进出一侧设置防风软帘，</w:t>
                  </w:r>
                  <w:r>
                    <w:rPr>
                      <w:rFonts w:hint="default" w:eastAsia="宋体"/>
                      <w:szCs w:val="21"/>
                      <w:lang w:val="en-US" w:eastAsia="zh-CN"/>
                    </w:rPr>
                    <w:t>主要</w:t>
                  </w:r>
                  <w:r>
                    <w:rPr>
                      <w:rFonts w:hint="eastAsia" w:eastAsia="宋体"/>
                      <w:szCs w:val="21"/>
                      <w:lang w:val="en-US" w:eastAsia="zh-CN"/>
                    </w:rPr>
                    <w:t>用于</w:t>
                  </w:r>
                  <w:r>
                    <w:rPr>
                      <w:rFonts w:hint="eastAsia"/>
                      <w:szCs w:val="21"/>
                      <w:lang w:val="en-US" w:eastAsia="zh-CN"/>
                    </w:rPr>
                    <w:t>中煤原料储存</w:t>
                  </w:r>
                  <w:r>
                    <w:rPr>
                      <w:rFonts w:hint="eastAsia" w:eastAsia="宋体"/>
                      <w:szCs w:val="21"/>
                      <w:lang w:val="en-US" w:eastAsia="zh-CN"/>
                    </w:rPr>
                    <w:t>。</w:t>
                  </w:r>
                </w:p>
              </w:tc>
              <w:tc>
                <w:tcPr>
                  <w:tcW w:w="920" w:type="dxa"/>
                  <w:vMerge w:val="continue"/>
                  <w:noWrap w:val="0"/>
                  <w:vAlign w:val="center"/>
                </w:tcPr>
                <w:p w14:paraId="74549697">
                  <w:pPr>
                    <w:spacing w:line="240" w:lineRule="exact"/>
                    <w:jc w:val="center"/>
                    <w:rPr>
                      <w:szCs w:val="21"/>
                    </w:rPr>
                  </w:pPr>
                </w:p>
              </w:tc>
              <w:tc>
                <w:tcPr>
                  <w:tcW w:w="910" w:type="dxa"/>
                  <w:noWrap w:val="0"/>
                  <w:vAlign w:val="center"/>
                </w:tcPr>
                <w:p w14:paraId="629EEE7F">
                  <w:pPr>
                    <w:spacing w:line="240" w:lineRule="exact"/>
                    <w:jc w:val="center"/>
                    <w:rPr>
                      <w:rFonts w:hint="eastAsia" w:eastAsia="宋体"/>
                      <w:szCs w:val="21"/>
                      <w:lang w:eastAsia="zh-CN"/>
                    </w:rPr>
                  </w:pPr>
                  <w:r>
                    <w:rPr>
                      <w:rFonts w:hint="eastAsia"/>
                      <w:szCs w:val="21"/>
                      <w:lang w:val="en-US" w:eastAsia="zh-CN"/>
                    </w:rPr>
                    <w:t>/</w:t>
                  </w:r>
                </w:p>
              </w:tc>
              <w:tc>
                <w:tcPr>
                  <w:tcW w:w="797" w:type="dxa"/>
                  <w:noWrap w:val="0"/>
                  <w:vAlign w:val="center"/>
                </w:tcPr>
                <w:p w14:paraId="4CC77A69">
                  <w:pPr>
                    <w:spacing w:line="240" w:lineRule="exact"/>
                    <w:jc w:val="center"/>
                    <w:rPr>
                      <w:rFonts w:hint="default" w:eastAsia="宋体"/>
                      <w:szCs w:val="21"/>
                      <w:lang w:val="en-US" w:eastAsia="zh-CN"/>
                    </w:rPr>
                  </w:pPr>
                  <w:r>
                    <w:rPr>
                      <w:rFonts w:hint="eastAsia"/>
                      <w:szCs w:val="21"/>
                      <w:lang w:val="en-US" w:eastAsia="zh-CN"/>
                    </w:rPr>
                    <w:t>利旧</w:t>
                  </w:r>
                </w:p>
              </w:tc>
            </w:tr>
            <w:tr w14:paraId="5CD622F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continue"/>
                  <w:noWrap w:val="0"/>
                  <w:vAlign w:val="center"/>
                </w:tcPr>
                <w:p w14:paraId="4908EC3C">
                  <w:pPr>
                    <w:spacing w:line="240" w:lineRule="exact"/>
                    <w:jc w:val="center"/>
                    <w:rPr>
                      <w:szCs w:val="21"/>
                    </w:rPr>
                  </w:pPr>
                </w:p>
              </w:tc>
              <w:tc>
                <w:tcPr>
                  <w:tcW w:w="795" w:type="dxa"/>
                  <w:noWrap w:val="0"/>
                  <w:vAlign w:val="center"/>
                </w:tcPr>
                <w:p w14:paraId="1CAC4514">
                  <w:pPr>
                    <w:pStyle w:val="80"/>
                    <w:tabs>
                      <w:tab w:val="clear" w:pos="0"/>
                    </w:tabs>
                    <w:spacing w:line="240" w:lineRule="exact"/>
                    <w:jc w:val="center"/>
                    <w:rPr>
                      <w:rFonts w:hint="default" w:eastAsia="宋体"/>
                      <w:sz w:val="21"/>
                      <w:szCs w:val="21"/>
                      <w:lang w:val="en-US" w:eastAsia="zh-CN"/>
                    </w:rPr>
                  </w:pPr>
                  <w:r>
                    <w:rPr>
                      <w:rFonts w:hint="eastAsia" w:eastAsia="宋体"/>
                      <w:sz w:val="21"/>
                      <w:szCs w:val="21"/>
                      <w:lang w:val="en-US" w:eastAsia="zh-CN"/>
                    </w:rPr>
                    <w:t>砂石骨料仓</w:t>
                  </w:r>
                </w:p>
              </w:tc>
              <w:tc>
                <w:tcPr>
                  <w:tcW w:w="3976" w:type="dxa"/>
                  <w:noWrap w:val="0"/>
                  <w:vAlign w:val="center"/>
                </w:tcPr>
                <w:p w14:paraId="43BE7314">
                  <w:pPr>
                    <w:spacing w:line="240" w:lineRule="exact"/>
                    <w:jc w:val="center"/>
                    <w:rPr>
                      <w:rFonts w:hint="default" w:eastAsia="宋体"/>
                      <w:szCs w:val="21"/>
                      <w:lang w:val="en-US" w:eastAsia="zh-CN"/>
                    </w:rPr>
                  </w:pPr>
                  <w:r>
                    <w:rPr>
                      <w:rFonts w:hint="eastAsia"/>
                      <w:szCs w:val="21"/>
                      <w:lang w:val="en-US" w:eastAsia="zh-CN"/>
                    </w:rPr>
                    <w:t>利用原项目已设置的4个砂石</w:t>
                  </w:r>
                  <w:r>
                    <w:rPr>
                      <w:rFonts w:hint="eastAsia" w:eastAsia="宋体"/>
                      <w:sz w:val="21"/>
                      <w:szCs w:val="21"/>
                      <w:lang w:val="en-US" w:eastAsia="zh-CN"/>
                    </w:rPr>
                    <w:t>骨料仓</w:t>
                  </w:r>
                  <w:r>
                    <w:rPr>
                      <w:rFonts w:hint="default" w:eastAsia="宋体"/>
                      <w:szCs w:val="21"/>
                      <w:lang w:val="en-US" w:eastAsia="zh-CN"/>
                    </w:rPr>
                    <w:t>，总建筑面积</w:t>
                  </w:r>
                  <w:r>
                    <w:rPr>
                      <w:rFonts w:hint="eastAsia"/>
                      <w:szCs w:val="21"/>
                      <w:lang w:val="en-US" w:eastAsia="zh-CN"/>
                    </w:rPr>
                    <w:t>1800</w:t>
                  </w:r>
                  <w:r>
                    <w:rPr>
                      <w:rFonts w:hint="default" w:eastAsia="宋体"/>
                      <w:szCs w:val="21"/>
                      <w:lang w:val="en-US" w:eastAsia="zh-CN"/>
                    </w:rPr>
                    <w:t>m</w:t>
                  </w:r>
                  <w:r>
                    <w:rPr>
                      <w:rFonts w:hint="default" w:eastAsia="宋体"/>
                      <w:szCs w:val="21"/>
                      <w:vertAlign w:val="superscript"/>
                      <w:lang w:val="en-US" w:eastAsia="zh-CN"/>
                    </w:rPr>
                    <w:t>2</w:t>
                  </w:r>
                  <w:r>
                    <w:rPr>
                      <w:rFonts w:hint="default" w:eastAsia="宋体"/>
                      <w:szCs w:val="21"/>
                      <w:lang w:val="en-US" w:eastAsia="zh-CN"/>
                    </w:rPr>
                    <w:t>，H=</w:t>
                  </w:r>
                  <w:r>
                    <w:rPr>
                      <w:rFonts w:hint="eastAsia"/>
                      <w:szCs w:val="21"/>
                      <w:lang w:val="en-US" w:eastAsia="zh-CN"/>
                    </w:rPr>
                    <w:t>12</w:t>
                  </w:r>
                  <w:r>
                    <w:rPr>
                      <w:rFonts w:hint="default" w:eastAsia="宋体"/>
                      <w:szCs w:val="21"/>
                      <w:lang w:val="en-US" w:eastAsia="zh-CN"/>
                    </w:rPr>
                    <w:t>m</w:t>
                  </w:r>
                  <w:r>
                    <w:rPr>
                      <w:rFonts w:hint="eastAsia"/>
                      <w:szCs w:val="21"/>
                      <w:lang w:val="en-US" w:eastAsia="zh-CN"/>
                    </w:rPr>
                    <w:t>，位于厂区东侧，采用钢结构搭建，三面围挡及顶棚，物料进出一侧设置防风软帘，</w:t>
                  </w:r>
                  <w:r>
                    <w:rPr>
                      <w:rFonts w:hint="default" w:eastAsia="宋体"/>
                      <w:szCs w:val="21"/>
                      <w:lang w:val="en-US" w:eastAsia="zh-CN"/>
                    </w:rPr>
                    <w:t>主要</w:t>
                  </w:r>
                  <w:r>
                    <w:rPr>
                      <w:rFonts w:hint="eastAsia" w:eastAsia="宋体"/>
                      <w:szCs w:val="21"/>
                      <w:lang w:val="en-US" w:eastAsia="zh-CN"/>
                    </w:rPr>
                    <w:t>用于</w:t>
                  </w:r>
                  <w:r>
                    <w:rPr>
                      <w:rFonts w:hint="eastAsia"/>
                      <w:szCs w:val="21"/>
                      <w:lang w:val="en-US" w:eastAsia="zh-CN"/>
                    </w:rPr>
                    <w:t>砂石骨料储存</w:t>
                  </w:r>
                  <w:r>
                    <w:rPr>
                      <w:rFonts w:hint="eastAsia" w:eastAsia="宋体"/>
                      <w:szCs w:val="21"/>
                      <w:lang w:val="en-US" w:eastAsia="zh-CN"/>
                    </w:rPr>
                    <w:t>。</w:t>
                  </w:r>
                </w:p>
              </w:tc>
              <w:tc>
                <w:tcPr>
                  <w:tcW w:w="920" w:type="dxa"/>
                  <w:vMerge w:val="continue"/>
                  <w:noWrap w:val="0"/>
                  <w:vAlign w:val="center"/>
                </w:tcPr>
                <w:p w14:paraId="44A8DAF1">
                  <w:pPr>
                    <w:spacing w:line="240" w:lineRule="exact"/>
                    <w:jc w:val="center"/>
                    <w:rPr>
                      <w:szCs w:val="21"/>
                    </w:rPr>
                  </w:pPr>
                </w:p>
              </w:tc>
              <w:tc>
                <w:tcPr>
                  <w:tcW w:w="910" w:type="dxa"/>
                  <w:noWrap w:val="0"/>
                  <w:vAlign w:val="center"/>
                </w:tcPr>
                <w:p w14:paraId="6997248E">
                  <w:pPr>
                    <w:spacing w:line="240" w:lineRule="exact"/>
                    <w:jc w:val="center"/>
                    <w:rPr>
                      <w:rFonts w:hint="default"/>
                      <w:szCs w:val="21"/>
                      <w:lang w:val="en-US" w:eastAsia="zh-CN"/>
                    </w:rPr>
                  </w:pPr>
                  <w:r>
                    <w:rPr>
                      <w:rFonts w:hint="eastAsia"/>
                      <w:szCs w:val="21"/>
                      <w:lang w:val="en-US" w:eastAsia="zh-CN"/>
                    </w:rPr>
                    <w:t>/</w:t>
                  </w:r>
                </w:p>
              </w:tc>
              <w:tc>
                <w:tcPr>
                  <w:tcW w:w="797" w:type="dxa"/>
                  <w:noWrap w:val="0"/>
                  <w:vAlign w:val="center"/>
                </w:tcPr>
                <w:p w14:paraId="1D7EB4DC">
                  <w:pPr>
                    <w:spacing w:line="240" w:lineRule="exact"/>
                    <w:jc w:val="center"/>
                    <w:rPr>
                      <w:rFonts w:hint="default"/>
                      <w:szCs w:val="21"/>
                      <w:lang w:val="en-US" w:eastAsia="zh-CN"/>
                    </w:rPr>
                  </w:pPr>
                  <w:r>
                    <w:rPr>
                      <w:rFonts w:hint="eastAsia"/>
                      <w:szCs w:val="21"/>
                      <w:lang w:val="en-US" w:eastAsia="zh-CN"/>
                    </w:rPr>
                    <w:t>利旧</w:t>
                  </w:r>
                </w:p>
              </w:tc>
            </w:tr>
            <w:tr w14:paraId="399054C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continue"/>
                  <w:noWrap w:val="0"/>
                  <w:vAlign w:val="center"/>
                </w:tcPr>
                <w:p w14:paraId="122037FD">
                  <w:pPr>
                    <w:spacing w:line="240" w:lineRule="exact"/>
                    <w:jc w:val="center"/>
                    <w:rPr>
                      <w:szCs w:val="21"/>
                    </w:rPr>
                  </w:pPr>
                </w:p>
              </w:tc>
              <w:tc>
                <w:tcPr>
                  <w:tcW w:w="795" w:type="dxa"/>
                  <w:noWrap w:val="0"/>
                  <w:vAlign w:val="center"/>
                </w:tcPr>
                <w:p w14:paraId="071D2F36">
                  <w:pPr>
                    <w:pStyle w:val="80"/>
                    <w:tabs>
                      <w:tab w:val="clear" w:pos="0"/>
                    </w:tabs>
                    <w:spacing w:line="240" w:lineRule="exact"/>
                    <w:jc w:val="center"/>
                    <w:rPr>
                      <w:rFonts w:hint="default" w:eastAsia="宋体"/>
                      <w:sz w:val="21"/>
                      <w:szCs w:val="21"/>
                      <w:lang w:val="en-US" w:eastAsia="zh-CN"/>
                    </w:rPr>
                  </w:pPr>
                  <w:r>
                    <w:rPr>
                      <w:rFonts w:hint="eastAsia" w:eastAsia="宋体"/>
                      <w:sz w:val="21"/>
                      <w:szCs w:val="21"/>
                      <w:lang w:val="en-US" w:eastAsia="zh-CN"/>
                    </w:rPr>
                    <w:t>再生料仓</w:t>
                  </w:r>
                </w:p>
              </w:tc>
              <w:tc>
                <w:tcPr>
                  <w:tcW w:w="3976" w:type="dxa"/>
                  <w:noWrap w:val="0"/>
                  <w:vAlign w:val="center"/>
                </w:tcPr>
                <w:p w14:paraId="5A62DA8E">
                  <w:pPr>
                    <w:spacing w:line="240" w:lineRule="exact"/>
                    <w:jc w:val="center"/>
                    <w:rPr>
                      <w:rFonts w:hint="eastAsia"/>
                      <w:szCs w:val="21"/>
                      <w:lang w:val="en-US" w:eastAsia="zh-CN"/>
                    </w:rPr>
                  </w:pPr>
                  <w:r>
                    <w:rPr>
                      <w:rFonts w:hint="eastAsia"/>
                      <w:szCs w:val="21"/>
                      <w:lang w:val="en-US" w:eastAsia="zh-CN"/>
                    </w:rPr>
                    <w:t>设置1个再生</w:t>
                  </w:r>
                  <w:r>
                    <w:rPr>
                      <w:rFonts w:hint="eastAsia" w:eastAsia="宋体"/>
                      <w:sz w:val="21"/>
                      <w:szCs w:val="21"/>
                      <w:lang w:val="en-US" w:eastAsia="zh-CN"/>
                    </w:rPr>
                    <w:t>料仓</w:t>
                  </w:r>
                  <w:r>
                    <w:rPr>
                      <w:rFonts w:hint="default" w:eastAsia="宋体"/>
                      <w:szCs w:val="21"/>
                      <w:lang w:val="en-US" w:eastAsia="zh-CN"/>
                    </w:rPr>
                    <w:t>，总建筑面积</w:t>
                  </w:r>
                  <w:r>
                    <w:rPr>
                      <w:rFonts w:hint="eastAsia"/>
                      <w:szCs w:val="21"/>
                      <w:lang w:val="en-US" w:eastAsia="zh-CN"/>
                    </w:rPr>
                    <w:t>300</w:t>
                  </w:r>
                  <w:r>
                    <w:rPr>
                      <w:rFonts w:hint="default" w:eastAsia="宋体"/>
                      <w:szCs w:val="21"/>
                      <w:lang w:val="en-US" w:eastAsia="zh-CN"/>
                    </w:rPr>
                    <w:t>m</w:t>
                  </w:r>
                  <w:r>
                    <w:rPr>
                      <w:rFonts w:hint="default" w:eastAsia="宋体"/>
                      <w:szCs w:val="21"/>
                      <w:vertAlign w:val="superscript"/>
                      <w:lang w:val="en-US" w:eastAsia="zh-CN"/>
                    </w:rPr>
                    <w:t>2</w:t>
                  </w:r>
                  <w:r>
                    <w:rPr>
                      <w:rFonts w:hint="default" w:eastAsia="宋体"/>
                      <w:szCs w:val="21"/>
                      <w:lang w:val="en-US" w:eastAsia="zh-CN"/>
                    </w:rPr>
                    <w:t>，H=</w:t>
                  </w:r>
                  <w:r>
                    <w:rPr>
                      <w:rFonts w:hint="eastAsia"/>
                      <w:szCs w:val="21"/>
                      <w:lang w:val="en-US" w:eastAsia="zh-CN"/>
                    </w:rPr>
                    <w:t>12</w:t>
                  </w:r>
                  <w:r>
                    <w:rPr>
                      <w:rFonts w:hint="default" w:eastAsia="宋体"/>
                      <w:szCs w:val="21"/>
                      <w:lang w:val="en-US" w:eastAsia="zh-CN"/>
                    </w:rPr>
                    <w:t>m</w:t>
                  </w:r>
                  <w:r>
                    <w:rPr>
                      <w:rFonts w:hint="eastAsia"/>
                      <w:szCs w:val="21"/>
                      <w:lang w:val="en-US" w:eastAsia="zh-CN"/>
                    </w:rPr>
                    <w:t>，位于再生料预处理车间内，</w:t>
                  </w:r>
                  <w:r>
                    <w:rPr>
                      <w:rFonts w:hint="default" w:eastAsia="宋体"/>
                      <w:szCs w:val="21"/>
                      <w:lang w:val="en-US" w:eastAsia="zh-CN"/>
                    </w:rPr>
                    <w:t>主要</w:t>
                  </w:r>
                  <w:r>
                    <w:rPr>
                      <w:rFonts w:hint="eastAsia" w:eastAsia="宋体"/>
                      <w:szCs w:val="21"/>
                      <w:lang w:val="en-US" w:eastAsia="zh-CN"/>
                    </w:rPr>
                    <w:t>用于</w:t>
                  </w:r>
                  <w:r>
                    <w:rPr>
                      <w:rFonts w:hint="eastAsia"/>
                      <w:szCs w:val="21"/>
                      <w:lang w:val="en-US" w:eastAsia="zh-CN"/>
                    </w:rPr>
                    <w:t>再生料（沥青混凝土层）储存</w:t>
                  </w:r>
                  <w:r>
                    <w:rPr>
                      <w:rFonts w:hint="eastAsia" w:eastAsia="宋体"/>
                      <w:szCs w:val="21"/>
                      <w:lang w:val="en-US" w:eastAsia="zh-CN"/>
                    </w:rPr>
                    <w:t>。</w:t>
                  </w:r>
                </w:p>
              </w:tc>
              <w:tc>
                <w:tcPr>
                  <w:tcW w:w="920" w:type="dxa"/>
                  <w:vMerge w:val="continue"/>
                  <w:noWrap w:val="0"/>
                  <w:vAlign w:val="center"/>
                </w:tcPr>
                <w:p w14:paraId="61D61F51">
                  <w:pPr>
                    <w:spacing w:line="240" w:lineRule="exact"/>
                    <w:jc w:val="center"/>
                    <w:rPr>
                      <w:szCs w:val="21"/>
                    </w:rPr>
                  </w:pPr>
                </w:p>
              </w:tc>
              <w:tc>
                <w:tcPr>
                  <w:tcW w:w="910" w:type="dxa"/>
                  <w:noWrap w:val="0"/>
                  <w:vAlign w:val="center"/>
                </w:tcPr>
                <w:p w14:paraId="637209A5">
                  <w:pPr>
                    <w:spacing w:line="240" w:lineRule="exact"/>
                    <w:jc w:val="center"/>
                    <w:rPr>
                      <w:rFonts w:hint="default"/>
                      <w:szCs w:val="21"/>
                      <w:lang w:val="en-US" w:eastAsia="zh-CN"/>
                    </w:rPr>
                  </w:pPr>
                  <w:r>
                    <w:rPr>
                      <w:rFonts w:hint="eastAsia"/>
                      <w:szCs w:val="21"/>
                      <w:lang w:val="en-US" w:eastAsia="zh-CN"/>
                    </w:rPr>
                    <w:t>/</w:t>
                  </w:r>
                </w:p>
              </w:tc>
              <w:tc>
                <w:tcPr>
                  <w:tcW w:w="797" w:type="dxa"/>
                  <w:noWrap w:val="0"/>
                  <w:vAlign w:val="center"/>
                </w:tcPr>
                <w:p w14:paraId="18209567">
                  <w:pPr>
                    <w:spacing w:line="240" w:lineRule="exact"/>
                    <w:jc w:val="center"/>
                    <w:rPr>
                      <w:rFonts w:hint="default"/>
                      <w:szCs w:val="21"/>
                      <w:lang w:val="en-US" w:eastAsia="zh-CN"/>
                    </w:rPr>
                  </w:pPr>
                  <w:r>
                    <w:rPr>
                      <w:rFonts w:hint="eastAsia"/>
                      <w:szCs w:val="21"/>
                      <w:lang w:val="en-US" w:eastAsia="zh-CN"/>
                    </w:rPr>
                    <w:t>新建</w:t>
                  </w:r>
                </w:p>
              </w:tc>
            </w:tr>
            <w:tr w14:paraId="5674C27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continue"/>
                  <w:noWrap w:val="0"/>
                  <w:vAlign w:val="center"/>
                </w:tcPr>
                <w:p w14:paraId="45001DCF">
                  <w:pPr>
                    <w:spacing w:line="240" w:lineRule="exact"/>
                    <w:jc w:val="center"/>
                    <w:rPr>
                      <w:szCs w:val="21"/>
                    </w:rPr>
                  </w:pPr>
                </w:p>
              </w:tc>
              <w:tc>
                <w:tcPr>
                  <w:tcW w:w="795" w:type="dxa"/>
                  <w:noWrap w:val="0"/>
                  <w:vAlign w:val="center"/>
                </w:tcPr>
                <w:p w14:paraId="749B8542">
                  <w:pPr>
                    <w:pStyle w:val="80"/>
                    <w:tabs>
                      <w:tab w:val="clear" w:pos="0"/>
                    </w:tabs>
                    <w:spacing w:line="240" w:lineRule="exact"/>
                    <w:jc w:val="center"/>
                    <w:rPr>
                      <w:rFonts w:hint="default" w:eastAsia="宋体"/>
                      <w:sz w:val="21"/>
                      <w:szCs w:val="21"/>
                      <w:lang w:val="en-US" w:eastAsia="zh-CN"/>
                    </w:rPr>
                  </w:pPr>
                  <w:r>
                    <w:rPr>
                      <w:rFonts w:hint="eastAsia" w:eastAsia="宋体"/>
                      <w:sz w:val="21"/>
                      <w:szCs w:val="21"/>
                      <w:lang w:val="en-US" w:eastAsia="zh-CN"/>
                    </w:rPr>
                    <w:t>粉料筒仓</w:t>
                  </w:r>
                </w:p>
              </w:tc>
              <w:tc>
                <w:tcPr>
                  <w:tcW w:w="3976" w:type="dxa"/>
                  <w:noWrap w:val="0"/>
                  <w:vAlign w:val="center"/>
                </w:tcPr>
                <w:p w14:paraId="47BADF84">
                  <w:pPr>
                    <w:spacing w:line="240" w:lineRule="exact"/>
                    <w:jc w:val="center"/>
                    <w:rPr>
                      <w:rFonts w:hint="default" w:eastAsia="宋体"/>
                      <w:szCs w:val="21"/>
                      <w:lang w:val="en-US" w:eastAsia="zh-CN"/>
                    </w:rPr>
                  </w:pPr>
                  <w:r>
                    <w:rPr>
                      <w:rFonts w:hint="eastAsia"/>
                      <w:szCs w:val="21"/>
                      <w:lang w:val="en-US" w:eastAsia="zh-CN"/>
                    </w:rPr>
                    <w:t>利用原项目已设置的2个粉料</w:t>
                  </w:r>
                  <w:r>
                    <w:rPr>
                      <w:rFonts w:hint="eastAsia" w:eastAsia="宋体"/>
                      <w:sz w:val="21"/>
                      <w:szCs w:val="21"/>
                      <w:lang w:val="en-US" w:eastAsia="zh-CN"/>
                    </w:rPr>
                    <w:t>筒仓</w:t>
                  </w:r>
                  <w:r>
                    <w:rPr>
                      <w:rFonts w:hint="eastAsia"/>
                      <w:sz w:val="21"/>
                      <w:szCs w:val="21"/>
                      <w:lang w:val="en-US" w:eastAsia="zh-CN"/>
                    </w:rPr>
                    <w:t>，单个容量80t，位于沥青混凝土搅拌楼内，主要用于粉料储存。</w:t>
                  </w:r>
                </w:p>
              </w:tc>
              <w:tc>
                <w:tcPr>
                  <w:tcW w:w="920" w:type="dxa"/>
                  <w:vMerge w:val="continue"/>
                  <w:noWrap w:val="0"/>
                  <w:vAlign w:val="center"/>
                </w:tcPr>
                <w:p w14:paraId="0F29B326">
                  <w:pPr>
                    <w:spacing w:line="240" w:lineRule="exact"/>
                    <w:jc w:val="center"/>
                    <w:rPr>
                      <w:szCs w:val="21"/>
                    </w:rPr>
                  </w:pPr>
                </w:p>
              </w:tc>
              <w:tc>
                <w:tcPr>
                  <w:tcW w:w="910" w:type="dxa"/>
                  <w:noWrap w:val="0"/>
                  <w:vAlign w:val="center"/>
                </w:tcPr>
                <w:p w14:paraId="46E6464E">
                  <w:pPr>
                    <w:spacing w:line="240" w:lineRule="exact"/>
                    <w:jc w:val="center"/>
                    <w:rPr>
                      <w:rFonts w:hint="eastAsia" w:eastAsia="宋体"/>
                      <w:szCs w:val="21"/>
                      <w:lang w:val="en-US" w:eastAsia="zh-CN"/>
                    </w:rPr>
                  </w:pPr>
                  <w:r>
                    <w:rPr>
                      <w:rFonts w:hint="eastAsia"/>
                      <w:szCs w:val="21"/>
                      <w:lang w:val="en-US" w:eastAsia="zh-CN"/>
                    </w:rPr>
                    <w:t>/</w:t>
                  </w:r>
                </w:p>
              </w:tc>
              <w:tc>
                <w:tcPr>
                  <w:tcW w:w="797" w:type="dxa"/>
                  <w:noWrap w:val="0"/>
                  <w:vAlign w:val="center"/>
                </w:tcPr>
                <w:p w14:paraId="2175BCEB">
                  <w:pPr>
                    <w:spacing w:line="240" w:lineRule="exact"/>
                    <w:jc w:val="center"/>
                    <w:rPr>
                      <w:rFonts w:hint="default"/>
                      <w:szCs w:val="21"/>
                      <w:lang w:val="en-US" w:eastAsia="zh-CN"/>
                    </w:rPr>
                  </w:pPr>
                  <w:r>
                    <w:rPr>
                      <w:rFonts w:hint="eastAsia"/>
                      <w:szCs w:val="21"/>
                      <w:lang w:val="en-US" w:eastAsia="zh-CN"/>
                    </w:rPr>
                    <w:t>利旧</w:t>
                  </w:r>
                </w:p>
              </w:tc>
            </w:tr>
            <w:tr w14:paraId="31009EC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continue"/>
                  <w:noWrap w:val="0"/>
                  <w:vAlign w:val="center"/>
                </w:tcPr>
                <w:p w14:paraId="3D281A22">
                  <w:pPr>
                    <w:spacing w:line="240" w:lineRule="exact"/>
                    <w:jc w:val="center"/>
                    <w:rPr>
                      <w:szCs w:val="21"/>
                    </w:rPr>
                  </w:pPr>
                </w:p>
              </w:tc>
              <w:tc>
                <w:tcPr>
                  <w:tcW w:w="795" w:type="dxa"/>
                  <w:noWrap w:val="0"/>
                  <w:vAlign w:val="center"/>
                </w:tcPr>
                <w:p w14:paraId="6BA0ACD7">
                  <w:pPr>
                    <w:pStyle w:val="80"/>
                    <w:tabs>
                      <w:tab w:val="clear" w:pos="0"/>
                    </w:tabs>
                    <w:spacing w:line="240" w:lineRule="exact"/>
                    <w:jc w:val="center"/>
                    <w:rPr>
                      <w:rFonts w:hint="default" w:eastAsia="宋体"/>
                      <w:sz w:val="21"/>
                      <w:szCs w:val="21"/>
                      <w:lang w:val="en-US" w:eastAsia="zh-CN"/>
                    </w:rPr>
                  </w:pPr>
                  <w:r>
                    <w:rPr>
                      <w:rFonts w:hint="eastAsia" w:eastAsia="宋体"/>
                      <w:sz w:val="21"/>
                      <w:szCs w:val="21"/>
                      <w:lang w:val="en-US" w:eastAsia="zh-CN"/>
                    </w:rPr>
                    <w:t>沥青罐</w:t>
                  </w:r>
                </w:p>
              </w:tc>
              <w:tc>
                <w:tcPr>
                  <w:tcW w:w="3976" w:type="dxa"/>
                  <w:noWrap w:val="0"/>
                  <w:vAlign w:val="center"/>
                </w:tcPr>
                <w:p w14:paraId="60E58C9E">
                  <w:pPr>
                    <w:spacing w:line="240" w:lineRule="exact"/>
                    <w:jc w:val="center"/>
                    <w:rPr>
                      <w:rFonts w:hint="default" w:eastAsia="宋体"/>
                      <w:szCs w:val="21"/>
                      <w:lang w:val="en-US" w:eastAsia="zh-CN"/>
                    </w:rPr>
                  </w:pPr>
                  <w:r>
                    <w:rPr>
                      <w:rFonts w:hint="eastAsia"/>
                      <w:szCs w:val="21"/>
                      <w:lang w:val="en-US" w:eastAsia="zh-CN"/>
                    </w:rPr>
                    <w:t>利用原项目已</w:t>
                  </w:r>
                  <w:r>
                    <w:rPr>
                      <w:rFonts w:hint="default" w:eastAsia="宋体"/>
                      <w:szCs w:val="21"/>
                      <w:lang w:val="en-US" w:eastAsia="zh-CN"/>
                    </w:rPr>
                    <w:t>设置</w:t>
                  </w:r>
                  <w:r>
                    <w:rPr>
                      <w:rFonts w:hint="eastAsia"/>
                      <w:szCs w:val="21"/>
                      <w:lang w:val="en-US" w:eastAsia="zh-CN"/>
                    </w:rPr>
                    <w:t>的</w:t>
                  </w:r>
                  <w:r>
                    <w:rPr>
                      <w:rFonts w:hint="default" w:eastAsia="宋体"/>
                      <w:szCs w:val="21"/>
                      <w:lang w:val="en-US" w:eastAsia="zh-CN"/>
                    </w:rPr>
                    <w:t>4个沥青罐（</w:t>
                  </w:r>
                  <w:r>
                    <w:rPr>
                      <w:rFonts w:hint="eastAsia"/>
                      <w:szCs w:val="21"/>
                      <w:lang w:val="en-US" w:eastAsia="zh-CN"/>
                    </w:rPr>
                    <w:t>单个容量为</w:t>
                  </w:r>
                  <w:r>
                    <w:rPr>
                      <w:rFonts w:hint="default" w:eastAsia="宋体"/>
                      <w:szCs w:val="21"/>
                      <w:lang w:val="en-US" w:eastAsia="zh-CN"/>
                    </w:rPr>
                    <w:t>50</w:t>
                  </w:r>
                  <w:r>
                    <w:rPr>
                      <w:rFonts w:hint="eastAsia"/>
                      <w:szCs w:val="21"/>
                      <w:lang w:val="en-US" w:eastAsia="zh-CN"/>
                    </w:rPr>
                    <w:t>m</w:t>
                  </w:r>
                  <w:r>
                    <w:rPr>
                      <w:rFonts w:hint="eastAsia"/>
                      <w:szCs w:val="21"/>
                      <w:vertAlign w:val="superscript"/>
                      <w:lang w:val="en-US" w:eastAsia="zh-CN"/>
                    </w:rPr>
                    <w:t>3</w:t>
                  </w:r>
                  <w:r>
                    <w:rPr>
                      <w:rFonts w:hint="default" w:eastAsia="宋体"/>
                      <w:szCs w:val="21"/>
                      <w:lang w:val="en-US" w:eastAsia="zh-CN"/>
                    </w:rPr>
                    <w:t>），</w:t>
                  </w:r>
                  <w:r>
                    <w:rPr>
                      <w:rFonts w:hint="eastAsia"/>
                      <w:szCs w:val="21"/>
                      <w:lang w:val="en-US" w:eastAsia="zh-CN"/>
                    </w:rPr>
                    <w:t>位于</w:t>
                  </w:r>
                  <w:r>
                    <w:rPr>
                      <w:rFonts w:hint="eastAsia"/>
                      <w:sz w:val="21"/>
                      <w:szCs w:val="21"/>
                      <w:lang w:val="en-US" w:eastAsia="zh-CN"/>
                    </w:rPr>
                    <w:t>沥青混凝土搅拌楼内，</w:t>
                  </w:r>
                  <w:r>
                    <w:rPr>
                      <w:rFonts w:hint="default" w:eastAsia="宋体"/>
                      <w:szCs w:val="21"/>
                      <w:lang w:val="en-US" w:eastAsia="zh-CN"/>
                    </w:rPr>
                    <w:t>储罐外布设有导热油管道，确保沥青储罐内的沥青料温度维持于</w:t>
                  </w:r>
                  <w:r>
                    <w:rPr>
                      <w:rFonts w:hint="eastAsia"/>
                      <w:szCs w:val="21"/>
                      <w:lang w:val="en-US" w:eastAsia="zh-CN"/>
                    </w:rPr>
                    <w:t>150-180</w:t>
                  </w:r>
                  <w:r>
                    <w:rPr>
                      <w:rFonts w:hint="default" w:eastAsia="宋体"/>
                      <w:szCs w:val="21"/>
                      <w:lang w:val="en-US" w:eastAsia="zh-CN"/>
                    </w:rPr>
                    <w:t>℃左右。</w:t>
                  </w:r>
                </w:p>
              </w:tc>
              <w:tc>
                <w:tcPr>
                  <w:tcW w:w="920" w:type="dxa"/>
                  <w:vMerge w:val="continue"/>
                  <w:noWrap w:val="0"/>
                  <w:vAlign w:val="center"/>
                </w:tcPr>
                <w:p w14:paraId="6B63601F">
                  <w:pPr>
                    <w:spacing w:line="240" w:lineRule="exact"/>
                    <w:jc w:val="center"/>
                    <w:rPr>
                      <w:szCs w:val="21"/>
                    </w:rPr>
                  </w:pPr>
                </w:p>
              </w:tc>
              <w:tc>
                <w:tcPr>
                  <w:tcW w:w="910" w:type="dxa"/>
                  <w:noWrap w:val="0"/>
                  <w:vAlign w:val="center"/>
                </w:tcPr>
                <w:p w14:paraId="197F3437">
                  <w:pPr>
                    <w:spacing w:line="240" w:lineRule="exact"/>
                    <w:jc w:val="center"/>
                    <w:rPr>
                      <w:rFonts w:hint="eastAsia"/>
                      <w:szCs w:val="21"/>
                      <w:lang w:val="en-US" w:eastAsia="zh-CN"/>
                    </w:rPr>
                  </w:pPr>
                  <w:r>
                    <w:rPr>
                      <w:rFonts w:hint="eastAsia"/>
                      <w:szCs w:val="21"/>
                      <w:lang w:val="en-US" w:eastAsia="zh-CN"/>
                    </w:rPr>
                    <w:t>/</w:t>
                  </w:r>
                </w:p>
              </w:tc>
              <w:tc>
                <w:tcPr>
                  <w:tcW w:w="797" w:type="dxa"/>
                  <w:noWrap w:val="0"/>
                  <w:vAlign w:val="center"/>
                </w:tcPr>
                <w:p w14:paraId="33C0517C">
                  <w:pPr>
                    <w:spacing w:line="240" w:lineRule="exact"/>
                    <w:jc w:val="center"/>
                    <w:rPr>
                      <w:rFonts w:hint="default"/>
                      <w:szCs w:val="21"/>
                      <w:lang w:val="en-US" w:eastAsia="zh-CN"/>
                    </w:rPr>
                  </w:pPr>
                  <w:r>
                    <w:rPr>
                      <w:rFonts w:hint="eastAsia"/>
                      <w:szCs w:val="21"/>
                      <w:lang w:val="en-US" w:eastAsia="zh-CN"/>
                    </w:rPr>
                    <w:t>利旧</w:t>
                  </w:r>
                </w:p>
              </w:tc>
            </w:tr>
            <w:tr w14:paraId="4328A9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continue"/>
                  <w:noWrap w:val="0"/>
                  <w:vAlign w:val="center"/>
                </w:tcPr>
                <w:p w14:paraId="4994DA59">
                  <w:pPr>
                    <w:spacing w:line="240" w:lineRule="exact"/>
                    <w:jc w:val="center"/>
                    <w:rPr>
                      <w:szCs w:val="21"/>
                    </w:rPr>
                  </w:pPr>
                </w:p>
              </w:tc>
              <w:tc>
                <w:tcPr>
                  <w:tcW w:w="795" w:type="dxa"/>
                  <w:noWrap w:val="0"/>
                  <w:vAlign w:val="center"/>
                </w:tcPr>
                <w:p w14:paraId="3E1D3C24">
                  <w:pPr>
                    <w:pStyle w:val="80"/>
                    <w:tabs>
                      <w:tab w:val="clear" w:pos="0"/>
                    </w:tabs>
                    <w:spacing w:line="240" w:lineRule="exact"/>
                    <w:jc w:val="center"/>
                    <w:rPr>
                      <w:rFonts w:hint="default" w:eastAsia="宋体"/>
                      <w:sz w:val="21"/>
                      <w:szCs w:val="21"/>
                      <w:lang w:val="en-US" w:eastAsia="zh-CN"/>
                    </w:rPr>
                  </w:pPr>
                  <w:r>
                    <w:rPr>
                      <w:rFonts w:hint="eastAsia" w:eastAsia="宋体"/>
                      <w:sz w:val="21"/>
                      <w:szCs w:val="21"/>
                      <w:lang w:val="en-US" w:eastAsia="zh-CN"/>
                    </w:rPr>
                    <w:t>乳化沥青成品储罐</w:t>
                  </w:r>
                </w:p>
              </w:tc>
              <w:tc>
                <w:tcPr>
                  <w:tcW w:w="3976" w:type="dxa"/>
                  <w:noWrap w:val="0"/>
                  <w:vAlign w:val="center"/>
                </w:tcPr>
                <w:p w14:paraId="601C2ECB">
                  <w:pPr>
                    <w:spacing w:line="240" w:lineRule="exact"/>
                    <w:jc w:val="center"/>
                    <w:rPr>
                      <w:rFonts w:hint="default"/>
                      <w:szCs w:val="21"/>
                      <w:lang w:val="en-US" w:eastAsia="zh-CN"/>
                    </w:rPr>
                  </w:pPr>
                  <w:r>
                    <w:rPr>
                      <w:rFonts w:hint="eastAsia"/>
                      <w:szCs w:val="21"/>
                      <w:lang w:val="en-US" w:eastAsia="zh-CN"/>
                    </w:rPr>
                    <w:t>设置2个</w:t>
                  </w:r>
                  <w:r>
                    <w:rPr>
                      <w:rFonts w:hint="eastAsia" w:eastAsia="宋体"/>
                      <w:sz w:val="21"/>
                      <w:szCs w:val="21"/>
                      <w:lang w:val="en-US" w:eastAsia="zh-CN"/>
                    </w:rPr>
                    <w:t>乳化沥青成品储罐</w:t>
                  </w:r>
                  <w:r>
                    <w:rPr>
                      <w:rFonts w:hint="eastAsia"/>
                      <w:sz w:val="21"/>
                      <w:szCs w:val="21"/>
                      <w:lang w:val="en-US" w:eastAsia="zh-CN"/>
                    </w:rPr>
                    <w:t>（</w:t>
                  </w:r>
                  <w:r>
                    <w:rPr>
                      <w:rFonts w:hint="eastAsia"/>
                      <w:szCs w:val="21"/>
                      <w:lang w:val="en-US" w:eastAsia="zh-CN"/>
                    </w:rPr>
                    <w:t>单个容量为3</w:t>
                  </w:r>
                  <w:r>
                    <w:rPr>
                      <w:rFonts w:hint="default" w:eastAsia="宋体"/>
                      <w:szCs w:val="21"/>
                      <w:lang w:val="en-US" w:eastAsia="zh-CN"/>
                    </w:rPr>
                    <w:t>0</w:t>
                  </w:r>
                  <w:r>
                    <w:rPr>
                      <w:rFonts w:hint="eastAsia"/>
                      <w:szCs w:val="21"/>
                      <w:lang w:val="en-US" w:eastAsia="zh-CN"/>
                    </w:rPr>
                    <w:t>m</w:t>
                  </w:r>
                  <w:r>
                    <w:rPr>
                      <w:rFonts w:hint="eastAsia"/>
                      <w:szCs w:val="21"/>
                      <w:vertAlign w:val="superscript"/>
                      <w:lang w:val="en-US" w:eastAsia="zh-CN"/>
                    </w:rPr>
                    <w:t>3</w:t>
                  </w:r>
                  <w:r>
                    <w:rPr>
                      <w:rFonts w:hint="eastAsia"/>
                      <w:sz w:val="21"/>
                      <w:szCs w:val="21"/>
                      <w:lang w:val="en-US" w:eastAsia="zh-CN"/>
                    </w:rPr>
                    <w:t>）</w:t>
                  </w:r>
                  <w:r>
                    <w:rPr>
                      <w:rFonts w:hint="default" w:eastAsia="宋体"/>
                      <w:szCs w:val="21"/>
                      <w:lang w:val="en-US" w:eastAsia="zh-CN"/>
                    </w:rPr>
                    <w:t>，</w:t>
                  </w:r>
                  <w:r>
                    <w:rPr>
                      <w:rFonts w:hint="eastAsia"/>
                      <w:szCs w:val="21"/>
                      <w:lang w:val="en-US" w:eastAsia="zh-CN"/>
                    </w:rPr>
                    <w:t>位于</w:t>
                  </w:r>
                  <w:r>
                    <w:rPr>
                      <w:rFonts w:hint="eastAsia"/>
                      <w:sz w:val="21"/>
                      <w:szCs w:val="21"/>
                      <w:lang w:val="en-US" w:eastAsia="zh-CN"/>
                    </w:rPr>
                    <w:t>沥青混凝土搅拌楼内，储罐内部设置搅拌器，防止乳化沥青沉淀。</w:t>
                  </w:r>
                </w:p>
              </w:tc>
              <w:tc>
                <w:tcPr>
                  <w:tcW w:w="920" w:type="dxa"/>
                  <w:vMerge w:val="continue"/>
                  <w:noWrap w:val="0"/>
                  <w:vAlign w:val="center"/>
                </w:tcPr>
                <w:p w14:paraId="21D6EFCB">
                  <w:pPr>
                    <w:spacing w:line="240" w:lineRule="exact"/>
                    <w:jc w:val="center"/>
                    <w:rPr>
                      <w:szCs w:val="21"/>
                    </w:rPr>
                  </w:pPr>
                </w:p>
              </w:tc>
              <w:tc>
                <w:tcPr>
                  <w:tcW w:w="910" w:type="dxa"/>
                  <w:noWrap w:val="0"/>
                  <w:vAlign w:val="center"/>
                </w:tcPr>
                <w:p w14:paraId="0271F7CC">
                  <w:pPr>
                    <w:spacing w:line="240" w:lineRule="exact"/>
                    <w:jc w:val="center"/>
                    <w:rPr>
                      <w:rFonts w:hint="default"/>
                      <w:szCs w:val="21"/>
                      <w:lang w:val="en-US" w:eastAsia="zh-CN"/>
                    </w:rPr>
                  </w:pPr>
                  <w:r>
                    <w:rPr>
                      <w:rFonts w:hint="eastAsia"/>
                      <w:szCs w:val="21"/>
                      <w:lang w:val="en-US" w:eastAsia="zh-CN"/>
                    </w:rPr>
                    <w:t>/</w:t>
                  </w:r>
                </w:p>
              </w:tc>
              <w:tc>
                <w:tcPr>
                  <w:tcW w:w="797" w:type="dxa"/>
                  <w:noWrap w:val="0"/>
                  <w:vAlign w:val="center"/>
                </w:tcPr>
                <w:p w14:paraId="133DF87A">
                  <w:pPr>
                    <w:spacing w:line="240" w:lineRule="exact"/>
                    <w:jc w:val="center"/>
                    <w:rPr>
                      <w:rFonts w:hint="default"/>
                      <w:szCs w:val="21"/>
                      <w:lang w:val="en-US" w:eastAsia="zh-CN"/>
                    </w:rPr>
                  </w:pPr>
                  <w:r>
                    <w:rPr>
                      <w:rFonts w:hint="eastAsia"/>
                      <w:szCs w:val="21"/>
                      <w:lang w:val="en-US" w:eastAsia="zh-CN"/>
                    </w:rPr>
                    <w:t>新建</w:t>
                  </w:r>
                </w:p>
              </w:tc>
            </w:tr>
            <w:tr w14:paraId="347FB4B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continue"/>
                  <w:noWrap w:val="0"/>
                  <w:vAlign w:val="center"/>
                </w:tcPr>
                <w:p w14:paraId="5F01998B">
                  <w:pPr>
                    <w:spacing w:line="240" w:lineRule="exact"/>
                    <w:jc w:val="center"/>
                    <w:rPr>
                      <w:szCs w:val="21"/>
                    </w:rPr>
                  </w:pPr>
                </w:p>
              </w:tc>
              <w:tc>
                <w:tcPr>
                  <w:tcW w:w="795" w:type="dxa"/>
                  <w:noWrap w:val="0"/>
                  <w:vAlign w:val="center"/>
                </w:tcPr>
                <w:p w14:paraId="41B4799F">
                  <w:pPr>
                    <w:pStyle w:val="80"/>
                    <w:tabs>
                      <w:tab w:val="clear" w:pos="0"/>
                    </w:tabs>
                    <w:spacing w:line="240" w:lineRule="exact"/>
                    <w:jc w:val="center"/>
                    <w:rPr>
                      <w:rFonts w:hint="eastAsia" w:eastAsia="宋体"/>
                      <w:sz w:val="21"/>
                      <w:szCs w:val="21"/>
                      <w:lang w:val="en-US" w:eastAsia="zh-CN"/>
                    </w:rPr>
                  </w:pPr>
                  <w:r>
                    <w:rPr>
                      <w:rFonts w:hint="eastAsia" w:eastAsia="宋体"/>
                      <w:sz w:val="21"/>
                      <w:szCs w:val="21"/>
                      <w:lang w:val="en-US" w:eastAsia="zh-CN"/>
                    </w:rPr>
                    <w:t>成品煤粉筒仓</w:t>
                  </w:r>
                </w:p>
              </w:tc>
              <w:tc>
                <w:tcPr>
                  <w:tcW w:w="3976" w:type="dxa"/>
                  <w:noWrap w:val="0"/>
                  <w:vAlign w:val="center"/>
                </w:tcPr>
                <w:p w14:paraId="75AEC77C">
                  <w:pPr>
                    <w:spacing w:line="240" w:lineRule="exact"/>
                    <w:jc w:val="center"/>
                    <w:rPr>
                      <w:rFonts w:hint="eastAsia"/>
                      <w:szCs w:val="21"/>
                      <w:lang w:val="en-US" w:eastAsia="zh-CN"/>
                    </w:rPr>
                  </w:pPr>
                  <w:r>
                    <w:rPr>
                      <w:rFonts w:hint="eastAsia"/>
                      <w:szCs w:val="21"/>
                      <w:lang w:val="en-US" w:eastAsia="zh-CN"/>
                    </w:rPr>
                    <w:t>设置2个成品煤粉筒仓，每个容积为240m</w:t>
                  </w:r>
                  <w:r>
                    <w:rPr>
                      <w:rFonts w:hint="eastAsia"/>
                      <w:szCs w:val="21"/>
                      <w:vertAlign w:val="superscript"/>
                      <w:lang w:val="en-US" w:eastAsia="zh-CN"/>
                    </w:rPr>
                    <w:t>3</w:t>
                  </w:r>
                  <w:r>
                    <w:rPr>
                      <w:rFonts w:hint="eastAsia"/>
                      <w:szCs w:val="21"/>
                      <w:lang w:val="en-US" w:eastAsia="zh-CN"/>
                    </w:rPr>
                    <w:t>，位于煤粉生产车间内，用于成品煤粉储存。</w:t>
                  </w:r>
                </w:p>
              </w:tc>
              <w:tc>
                <w:tcPr>
                  <w:tcW w:w="920" w:type="dxa"/>
                  <w:vMerge w:val="continue"/>
                  <w:noWrap w:val="0"/>
                  <w:vAlign w:val="center"/>
                </w:tcPr>
                <w:p w14:paraId="02DDB232">
                  <w:pPr>
                    <w:spacing w:line="240" w:lineRule="exact"/>
                    <w:jc w:val="center"/>
                    <w:rPr>
                      <w:szCs w:val="21"/>
                    </w:rPr>
                  </w:pPr>
                </w:p>
              </w:tc>
              <w:tc>
                <w:tcPr>
                  <w:tcW w:w="910" w:type="dxa"/>
                  <w:noWrap w:val="0"/>
                  <w:vAlign w:val="center"/>
                </w:tcPr>
                <w:p w14:paraId="4094DE2C">
                  <w:pPr>
                    <w:spacing w:line="240" w:lineRule="exact"/>
                    <w:jc w:val="center"/>
                    <w:rPr>
                      <w:rFonts w:hint="default"/>
                      <w:szCs w:val="21"/>
                      <w:lang w:val="en-US" w:eastAsia="zh-CN"/>
                    </w:rPr>
                  </w:pPr>
                  <w:r>
                    <w:rPr>
                      <w:rFonts w:hint="eastAsia"/>
                      <w:szCs w:val="21"/>
                      <w:lang w:val="en-US" w:eastAsia="zh-CN"/>
                    </w:rPr>
                    <w:t>/</w:t>
                  </w:r>
                </w:p>
              </w:tc>
              <w:tc>
                <w:tcPr>
                  <w:tcW w:w="797" w:type="dxa"/>
                  <w:noWrap w:val="0"/>
                  <w:vAlign w:val="center"/>
                </w:tcPr>
                <w:p w14:paraId="4BC87A69">
                  <w:pPr>
                    <w:spacing w:line="240" w:lineRule="exact"/>
                    <w:jc w:val="center"/>
                    <w:rPr>
                      <w:rFonts w:hint="default"/>
                      <w:szCs w:val="21"/>
                      <w:lang w:val="en-US" w:eastAsia="zh-CN"/>
                    </w:rPr>
                  </w:pPr>
                  <w:r>
                    <w:rPr>
                      <w:rFonts w:hint="eastAsia"/>
                      <w:szCs w:val="21"/>
                      <w:lang w:val="en-US" w:eastAsia="zh-CN"/>
                    </w:rPr>
                    <w:t>新建</w:t>
                  </w:r>
                </w:p>
              </w:tc>
            </w:tr>
            <w:tr w14:paraId="1B58DEE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continue"/>
                  <w:noWrap w:val="0"/>
                  <w:vAlign w:val="center"/>
                </w:tcPr>
                <w:p w14:paraId="7B1B81A1">
                  <w:pPr>
                    <w:spacing w:line="240" w:lineRule="exact"/>
                    <w:jc w:val="center"/>
                    <w:rPr>
                      <w:szCs w:val="21"/>
                    </w:rPr>
                  </w:pPr>
                </w:p>
              </w:tc>
              <w:tc>
                <w:tcPr>
                  <w:tcW w:w="795" w:type="dxa"/>
                  <w:noWrap w:val="0"/>
                  <w:vAlign w:val="center"/>
                </w:tcPr>
                <w:p w14:paraId="035C4FF1">
                  <w:pPr>
                    <w:pStyle w:val="80"/>
                    <w:tabs>
                      <w:tab w:val="clear" w:pos="0"/>
                    </w:tabs>
                    <w:spacing w:line="240" w:lineRule="exact"/>
                    <w:jc w:val="center"/>
                    <w:rPr>
                      <w:rFonts w:hint="default" w:eastAsia="宋体"/>
                      <w:sz w:val="21"/>
                      <w:szCs w:val="21"/>
                      <w:lang w:val="en-US" w:eastAsia="zh-CN"/>
                    </w:rPr>
                  </w:pPr>
                  <w:r>
                    <w:rPr>
                      <w:rFonts w:hint="eastAsia" w:eastAsia="宋体"/>
                      <w:sz w:val="21"/>
                      <w:szCs w:val="21"/>
                      <w:lang w:val="en-US" w:eastAsia="zh-CN"/>
                    </w:rPr>
                    <w:t>化学品库房</w:t>
                  </w:r>
                </w:p>
              </w:tc>
              <w:tc>
                <w:tcPr>
                  <w:tcW w:w="3976" w:type="dxa"/>
                  <w:noWrap w:val="0"/>
                  <w:vAlign w:val="center"/>
                </w:tcPr>
                <w:p w14:paraId="6C7D5A17">
                  <w:pPr>
                    <w:spacing w:line="240" w:lineRule="exact"/>
                    <w:jc w:val="center"/>
                    <w:rPr>
                      <w:rFonts w:hint="eastAsia"/>
                      <w:szCs w:val="21"/>
                      <w:lang w:val="en-US" w:eastAsia="zh-CN"/>
                    </w:rPr>
                  </w:pPr>
                  <w:r>
                    <w:rPr>
                      <w:rFonts w:hint="eastAsia"/>
                      <w:szCs w:val="21"/>
                      <w:lang w:val="en-US" w:eastAsia="zh-CN"/>
                    </w:rPr>
                    <w:t>设置1间化学品库房，建筑面积10m</w:t>
                  </w:r>
                  <w:r>
                    <w:rPr>
                      <w:rFonts w:hint="eastAsia"/>
                      <w:szCs w:val="21"/>
                      <w:vertAlign w:val="superscript"/>
                      <w:lang w:val="en-US" w:eastAsia="zh-CN"/>
                    </w:rPr>
                    <w:t>2</w:t>
                  </w:r>
                  <w:r>
                    <w:rPr>
                      <w:rFonts w:hint="eastAsia"/>
                      <w:szCs w:val="21"/>
                      <w:lang w:val="en-US" w:eastAsia="zh-CN"/>
                    </w:rPr>
                    <w:t>，位于沥青混凝土搅拌楼内，用于乳化剂、盐酸、润滑油储存。</w:t>
                  </w:r>
                </w:p>
              </w:tc>
              <w:tc>
                <w:tcPr>
                  <w:tcW w:w="920" w:type="dxa"/>
                  <w:vMerge w:val="continue"/>
                  <w:noWrap w:val="0"/>
                  <w:vAlign w:val="center"/>
                </w:tcPr>
                <w:p w14:paraId="1FEB7B03">
                  <w:pPr>
                    <w:spacing w:line="240" w:lineRule="exact"/>
                    <w:jc w:val="center"/>
                    <w:rPr>
                      <w:szCs w:val="21"/>
                    </w:rPr>
                  </w:pPr>
                </w:p>
              </w:tc>
              <w:tc>
                <w:tcPr>
                  <w:tcW w:w="910" w:type="dxa"/>
                  <w:noWrap w:val="0"/>
                  <w:vAlign w:val="center"/>
                </w:tcPr>
                <w:p w14:paraId="086F754E">
                  <w:pPr>
                    <w:spacing w:line="240" w:lineRule="exact"/>
                    <w:jc w:val="center"/>
                    <w:rPr>
                      <w:rFonts w:hint="default"/>
                      <w:szCs w:val="21"/>
                      <w:lang w:val="en-US" w:eastAsia="zh-CN"/>
                    </w:rPr>
                  </w:pPr>
                  <w:r>
                    <w:rPr>
                      <w:rFonts w:hint="eastAsia"/>
                      <w:szCs w:val="21"/>
                      <w:lang w:val="en-US" w:eastAsia="zh-CN"/>
                    </w:rPr>
                    <w:t>/</w:t>
                  </w:r>
                </w:p>
              </w:tc>
              <w:tc>
                <w:tcPr>
                  <w:tcW w:w="797" w:type="dxa"/>
                  <w:noWrap w:val="0"/>
                  <w:vAlign w:val="center"/>
                </w:tcPr>
                <w:p w14:paraId="6311A8B9">
                  <w:pPr>
                    <w:spacing w:line="240" w:lineRule="exact"/>
                    <w:jc w:val="center"/>
                    <w:rPr>
                      <w:rFonts w:hint="default"/>
                      <w:szCs w:val="21"/>
                      <w:lang w:val="en-US" w:eastAsia="zh-CN"/>
                    </w:rPr>
                  </w:pPr>
                  <w:r>
                    <w:rPr>
                      <w:rFonts w:hint="eastAsia"/>
                      <w:szCs w:val="21"/>
                      <w:lang w:val="en-US" w:eastAsia="zh-CN"/>
                    </w:rPr>
                    <w:t>新建</w:t>
                  </w:r>
                </w:p>
              </w:tc>
            </w:tr>
            <w:tr w14:paraId="741AC5F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continue"/>
                  <w:noWrap w:val="0"/>
                  <w:vAlign w:val="center"/>
                </w:tcPr>
                <w:p w14:paraId="6B76E4EC">
                  <w:pPr>
                    <w:spacing w:line="240" w:lineRule="exact"/>
                    <w:jc w:val="center"/>
                    <w:rPr>
                      <w:szCs w:val="21"/>
                    </w:rPr>
                  </w:pPr>
                </w:p>
              </w:tc>
              <w:tc>
                <w:tcPr>
                  <w:tcW w:w="795" w:type="dxa"/>
                  <w:noWrap w:val="0"/>
                  <w:vAlign w:val="center"/>
                </w:tcPr>
                <w:p w14:paraId="1ACC71F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氮气储气罐</w:t>
                  </w:r>
                </w:p>
              </w:tc>
              <w:tc>
                <w:tcPr>
                  <w:tcW w:w="3976" w:type="dxa"/>
                  <w:noWrap w:val="0"/>
                  <w:vAlign w:val="center"/>
                </w:tcPr>
                <w:p w14:paraId="73BD508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设置</w:t>
                  </w:r>
                  <w:r>
                    <w:rPr>
                      <w:rFonts w:hint="default" w:ascii="Times New Roman" w:hAnsi="Times New Roman" w:eastAsia="宋体" w:cs="Times New Roman"/>
                      <w:color w:val="auto"/>
                      <w:szCs w:val="21"/>
                    </w:rPr>
                    <w:t>1个氮气储气罐，容积为10m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位于煤粉生产车间内，用于</w:t>
                  </w:r>
                  <w:r>
                    <w:rPr>
                      <w:rFonts w:hint="default" w:ascii="Times New Roman" w:hAnsi="Times New Roman" w:eastAsia="宋体" w:cs="Times New Roman"/>
                      <w:color w:val="auto"/>
                      <w:szCs w:val="21"/>
                    </w:rPr>
                    <w:t>储存氮气。</w:t>
                  </w:r>
                </w:p>
              </w:tc>
              <w:tc>
                <w:tcPr>
                  <w:tcW w:w="920" w:type="dxa"/>
                  <w:vMerge w:val="continue"/>
                  <w:noWrap w:val="0"/>
                  <w:vAlign w:val="center"/>
                </w:tcPr>
                <w:p w14:paraId="7E6B6EF1">
                  <w:pPr>
                    <w:spacing w:line="240" w:lineRule="exact"/>
                    <w:jc w:val="center"/>
                    <w:rPr>
                      <w:szCs w:val="21"/>
                    </w:rPr>
                  </w:pPr>
                </w:p>
              </w:tc>
              <w:tc>
                <w:tcPr>
                  <w:tcW w:w="910" w:type="dxa"/>
                  <w:noWrap w:val="0"/>
                  <w:vAlign w:val="center"/>
                </w:tcPr>
                <w:p w14:paraId="176A415E">
                  <w:pPr>
                    <w:spacing w:line="240" w:lineRule="exact"/>
                    <w:jc w:val="center"/>
                    <w:rPr>
                      <w:rFonts w:hint="default"/>
                      <w:szCs w:val="21"/>
                      <w:lang w:val="en-US" w:eastAsia="zh-CN"/>
                    </w:rPr>
                  </w:pPr>
                  <w:r>
                    <w:rPr>
                      <w:rFonts w:hint="eastAsia"/>
                      <w:szCs w:val="21"/>
                      <w:lang w:val="en-US" w:eastAsia="zh-CN"/>
                    </w:rPr>
                    <w:t>/</w:t>
                  </w:r>
                </w:p>
              </w:tc>
              <w:tc>
                <w:tcPr>
                  <w:tcW w:w="797" w:type="dxa"/>
                  <w:noWrap w:val="0"/>
                  <w:vAlign w:val="center"/>
                </w:tcPr>
                <w:p w14:paraId="6AFE5BC7">
                  <w:pPr>
                    <w:spacing w:line="240" w:lineRule="exact"/>
                    <w:jc w:val="center"/>
                    <w:rPr>
                      <w:rFonts w:hint="default"/>
                      <w:szCs w:val="21"/>
                      <w:lang w:val="en-US" w:eastAsia="zh-CN"/>
                    </w:rPr>
                  </w:pPr>
                  <w:r>
                    <w:rPr>
                      <w:rFonts w:hint="eastAsia"/>
                      <w:szCs w:val="21"/>
                      <w:lang w:val="en-US" w:eastAsia="zh-CN"/>
                    </w:rPr>
                    <w:t>新建</w:t>
                  </w:r>
                </w:p>
              </w:tc>
            </w:tr>
            <w:tr w14:paraId="33134E3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restart"/>
                  <w:noWrap w:val="0"/>
                  <w:vAlign w:val="center"/>
                </w:tcPr>
                <w:p w14:paraId="6B30A226">
                  <w:pPr>
                    <w:pStyle w:val="80"/>
                    <w:tabs>
                      <w:tab w:val="clear" w:pos="0"/>
                    </w:tabs>
                    <w:spacing w:line="240" w:lineRule="exact"/>
                    <w:jc w:val="center"/>
                    <w:rPr>
                      <w:rFonts w:eastAsia="宋体"/>
                      <w:sz w:val="21"/>
                      <w:szCs w:val="21"/>
                    </w:rPr>
                  </w:pPr>
                  <w:r>
                    <w:rPr>
                      <w:rFonts w:eastAsia="宋体"/>
                      <w:sz w:val="21"/>
                      <w:szCs w:val="21"/>
                    </w:rPr>
                    <w:t>环保工程</w:t>
                  </w:r>
                </w:p>
              </w:tc>
              <w:tc>
                <w:tcPr>
                  <w:tcW w:w="795" w:type="dxa"/>
                  <w:vMerge w:val="restart"/>
                  <w:noWrap w:val="0"/>
                  <w:vAlign w:val="center"/>
                </w:tcPr>
                <w:p w14:paraId="679780F8">
                  <w:pPr>
                    <w:pStyle w:val="80"/>
                    <w:tabs>
                      <w:tab w:val="clear" w:pos="0"/>
                    </w:tabs>
                    <w:spacing w:line="240" w:lineRule="exact"/>
                    <w:jc w:val="center"/>
                    <w:rPr>
                      <w:rFonts w:hint="eastAsia" w:eastAsia="宋体"/>
                      <w:sz w:val="21"/>
                      <w:szCs w:val="21"/>
                      <w:lang w:val="en-US" w:eastAsia="zh-CN"/>
                    </w:rPr>
                  </w:pPr>
                  <w:r>
                    <w:rPr>
                      <w:rFonts w:hint="eastAsia" w:eastAsia="宋体"/>
                      <w:sz w:val="21"/>
                      <w:szCs w:val="21"/>
                    </w:rPr>
                    <w:t>废水</w:t>
                  </w:r>
                  <w:r>
                    <w:rPr>
                      <w:rFonts w:hint="eastAsia" w:eastAsia="宋体"/>
                      <w:sz w:val="21"/>
                      <w:szCs w:val="21"/>
                      <w:lang w:val="en-US" w:eastAsia="zh-CN"/>
                    </w:rPr>
                    <w:t>处理</w:t>
                  </w:r>
                </w:p>
              </w:tc>
              <w:tc>
                <w:tcPr>
                  <w:tcW w:w="3976" w:type="dxa"/>
                  <w:noWrap w:val="0"/>
                  <w:vAlign w:val="center"/>
                </w:tcPr>
                <w:p w14:paraId="35CE5A32">
                  <w:pPr>
                    <w:spacing w:line="240" w:lineRule="exact"/>
                    <w:jc w:val="center"/>
                    <w:rPr>
                      <w:rFonts w:hint="default" w:eastAsia="宋体"/>
                      <w:szCs w:val="21"/>
                      <w:lang w:val="en-US" w:eastAsia="zh-CN"/>
                    </w:rPr>
                  </w:pPr>
                  <w:r>
                    <w:rPr>
                      <w:rFonts w:hint="eastAsia"/>
                      <w:b/>
                      <w:bCs/>
                      <w:szCs w:val="21"/>
                      <w:lang w:val="en-US" w:eastAsia="zh-CN"/>
                    </w:rPr>
                    <w:t>生产废水：</w:t>
                  </w:r>
                  <w:r>
                    <w:rPr>
                      <w:rFonts w:hint="eastAsia"/>
                      <w:b w:val="0"/>
                      <w:bCs w:val="0"/>
                      <w:szCs w:val="21"/>
                      <w:lang w:val="en-US" w:eastAsia="zh-CN"/>
                    </w:rPr>
                    <w:t>本项目生产废水主要为车辆清洗废水和生产检测中心试验设备清洗废水，</w:t>
                  </w:r>
                  <w:r>
                    <w:rPr>
                      <w:rFonts w:hint="eastAsia"/>
                      <w:szCs w:val="21"/>
                      <w:lang w:val="en-US" w:eastAsia="zh-CN"/>
                    </w:rPr>
                    <w:t>经隔油池</w:t>
                  </w:r>
                  <w:r>
                    <w:rPr>
                      <w:rFonts w:hint="eastAsia"/>
                      <w:szCs w:val="21"/>
                      <w:highlight w:val="none"/>
                      <w:lang w:val="en-US" w:eastAsia="zh-CN"/>
                    </w:rPr>
                    <w:t>（处理能力为1m</w:t>
                  </w:r>
                  <w:r>
                    <w:rPr>
                      <w:rFonts w:hint="eastAsia"/>
                      <w:szCs w:val="21"/>
                      <w:highlight w:val="none"/>
                      <w:vertAlign w:val="superscript"/>
                      <w:lang w:val="en-US" w:eastAsia="zh-CN"/>
                    </w:rPr>
                    <w:t>3</w:t>
                  </w:r>
                  <w:r>
                    <w:rPr>
                      <w:rFonts w:hint="eastAsia"/>
                      <w:szCs w:val="21"/>
                      <w:highlight w:val="none"/>
                      <w:lang w:val="en-US" w:eastAsia="zh-CN"/>
                    </w:rPr>
                    <w:t>/h）</w:t>
                  </w:r>
                  <w:r>
                    <w:rPr>
                      <w:rFonts w:hint="eastAsia"/>
                      <w:szCs w:val="21"/>
                      <w:lang w:val="en-US" w:eastAsia="zh-CN"/>
                    </w:rPr>
                    <w:t>+三级沉淀池（有效容积30m</w:t>
                  </w:r>
                  <w:r>
                    <w:rPr>
                      <w:rFonts w:hint="eastAsia"/>
                      <w:szCs w:val="21"/>
                      <w:vertAlign w:val="superscript"/>
                      <w:lang w:val="en-US" w:eastAsia="zh-CN"/>
                    </w:rPr>
                    <w:t>3</w:t>
                  </w:r>
                  <w:r>
                    <w:rPr>
                      <w:rFonts w:hint="eastAsia"/>
                      <w:szCs w:val="21"/>
                      <w:lang w:val="en-US" w:eastAsia="zh-CN"/>
                    </w:rPr>
                    <w:t>）沉淀后循环使用不外排。</w:t>
                  </w:r>
                </w:p>
              </w:tc>
              <w:tc>
                <w:tcPr>
                  <w:tcW w:w="920" w:type="dxa"/>
                  <w:vMerge w:val="continue"/>
                  <w:noWrap w:val="0"/>
                  <w:vAlign w:val="center"/>
                </w:tcPr>
                <w:p w14:paraId="53012043">
                  <w:pPr>
                    <w:spacing w:line="240" w:lineRule="exact"/>
                    <w:jc w:val="center"/>
                    <w:rPr>
                      <w:szCs w:val="21"/>
                    </w:rPr>
                  </w:pPr>
                </w:p>
              </w:tc>
              <w:tc>
                <w:tcPr>
                  <w:tcW w:w="910" w:type="dxa"/>
                  <w:noWrap w:val="0"/>
                  <w:vAlign w:val="center"/>
                </w:tcPr>
                <w:p w14:paraId="18620860">
                  <w:pPr>
                    <w:spacing w:line="240" w:lineRule="exact"/>
                    <w:jc w:val="center"/>
                    <w:rPr>
                      <w:rFonts w:hint="eastAsia"/>
                      <w:szCs w:val="21"/>
                    </w:rPr>
                  </w:pPr>
                  <w:r>
                    <w:rPr>
                      <w:rFonts w:hint="eastAsia"/>
                      <w:szCs w:val="21"/>
                    </w:rPr>
                    <w:t>/</w:t>
                  </w:r>
                </w:p>
              </w:tc>
              <w:tc>
                <w:tcPr>
                  <w:tcW w:w="797" w:type="dxa"/>
                  <w:noWrap w:val="0"/>
                  <w:vAlign w:val="center"/>
                </w:tcPr>
                <w:p w14:paraId="33976370">
                  <w:pPr>
                    <w:spacing w:line="240" w:lineRule="exact"/>
                    <w:jc w:val="center"/>
                    <w:rPr>
                      <w:rFonts w:hint="default" w:eastAsia="宋体"/>
                      <w:szCs w:val="21"/>
                      <w:lang w:val="en-US" w:eastAsia="zh-CN"/>
                    </w:rPr>
                  </w:pPr>
                  <w:r>
                    <w:rPr>
                      <w:rFonts w:hint="eastAsia"/>
                      <w:szCs w:val="21"/>
                      <w:lang w:val="en-US" w:eastAsia="zh-CN"/>
                    </w:rPr>
                    <w:t>利旧+新增</w:t>
                  </w:r>
                </w:p>
              </w:tc>
            </w:tr>
            <w:tr w14:paraId="056C446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continue"/>
                  <w:noWrap w:val="0"/>
                  <w:vAlign w:val="center"/>
                </w:tcPr>
                <w:p w14:paraId="05435BB8">
                  <w:pPr>
                    <w:pStyle w:val="80"/>
                    <w:tabs>
                      <w:tab w:val="clear" w:pos="0"/>
                    </w:tabs>
                    <w:spacing w:line="240" w:lineRule="exact"/>
                    <w:jc w:val="center"/>
                    <w:rPr>
                      <w:rFonts w:eastAsia="宋体"/>
                      <w:sz w:val="21"/>
                      <w:szCs w:val="21"/>
                    </w:rPr>
                  </w:pPr>
                </w:p>
              </w:tc>
              <w:tc>
                <w:tcPr>
                  <w:tcW w:w="795" w:type="dxa"/>
                  <w:vMerge w:val="continue"/>
                  <w:noWrap w:val="0"/>
                  <w:vAlign w:val="center"/>
                </w:tcPr>
                <w:p w14:paraId="191B1586">
                  <w:pPr>
                    <w:pStyle w:val="80"/>
                    <w:tabs>
                      <w:tab w:val="clear" w:pos="0"/>
                    </w:tabs>
                    <w:spacing w:line="240" w:lineRule="exact"/>
                    <w:jc w:val="center"/>
                    <w:rPr>
                      <w:rFonts w:hint="eastAsia" w:eastAsia="宋体"/>
                      <w:sz w:val="21"/>
                      <w:szCs w:val="21"/>
                    </w:rPr>
                  </w:pPr>
                </w:p>
              </w:tc>
              <w:tc>
                <w:tcPr>
                  <w:tcW w:w="3976" w:type="dxa"/>
                  <w:noWrap w:val="0"/>
                  <w:vAlign w:val="center"/>
                </w:tcPr>
                <w:p w14:paraId="1CB43C12">
                  <w:pPr>
                    <w:spacing w:line="240" w:lineRule="exact"/>
                    <w:jc w:val="center"/>
                    <w:rPr>
                      <w:rFonts w:hint="default" w:ascii="Times New Roman" w:hAnsi="Times New Roman" w:eastAsia="宋体" w:cs="Times New Roman"/>
                      <w:b/>
                      <w:bCs/>
                      <w:sz w:val="21"/>
                      <w:szCs w:val="21"/>
                      <w:lang w:val="en-US"/>
                    </w:rPr>
                  </w:pPr>
                  <w:r>
                    <w:rPr>
                      <w:rFonts w:hint="default" w:ascii="Times New Roman" w:hAnsi="Times New Roman" w:eastAsia="宋体" w:cs="Times New Roman"/>
                      <w:b/>
                      <w:bCs/>
                      <w:sz w:val="21"/>
                      <w:szCs w:val="21"/>
                    </w:rPr>
                    <w:t>生活污水</w:t>
                  </w:r>
                  <w:r>
                    <w:rPr>
                      <w:rFonts w:hint="eastAsia" w:ascii="Times New Roman" w:hAnsi="Times New Roman" w:eastAsia="宋体" w:cs="Times New Roman"/>
                      <w:b/>
                      <w:bCs/>
                      <w:sz w:val="21"/>
                      <w:szCs w:val="21"/>
                      <w:lang w:eastAsia="zh-CN"/>
                    </w:rPr>
                    <w:t>（</w:t>
                  </w:r>
                  <w:r>
                    <w:rPr>
                      <w:rFonts w:hint="eastAsia" w:ascii="Times New Roman" w:hAnsi="Times New Roman" w:eastAsia="宋体" w:cs="Times New Roman"/>
                      <w:b/>
                      <w:bCs/>
                      <w:sz w:val="21"/>
                      <w:szCs w:val="21"/>
                      <w:lang w:val="en-US" w:eastAsia="zh-CN"/>
                    </w:rPr>
                    <w:t>含食堂废水</w:t>
                  </w:r>
                  <w:r>
                    <w:rPr>
                      <w:rFonts w:hint="eastAsia"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w:t>
                  </w:r>
                  <w:r>
                    <w:rPr>
                      <w:rFonts w:hint="eastAsia" w:cs="Times New Roman"/>
                      <w:b w:val="0"/>
                      <w:bCs w:val="0"/>
                      <w:sz w:val="21"/>
                      <w:szCs w:val="21"/>
                      <w:lang w:val="en-US" w:eastAsia="zh-CN"/>
                    </w:rPr>
                    <w:t>员工食堂新建1个隔油池</w:t>
                  </w:r>
                  <w:r>
                    <w:rPr>
                      <w:rFonts w:hint="eastAsia" w:ascii="Times New Roman" w:hAnsi="Times New Roman" w:eastAsia="宋体" w:cs="Times New Roman"/>
                      <w:b w:val="0"/>
                      <w:bCs w:val="0"/>
                      <w:sz w:val="21"/>
                      <w:szCs w:val="21"/>
                      <w:lang w:val="en-US" w:eastAsia="zh-CN"/>
                    </w:rPr>
                    <w:t>（有效容积1m</w:t>
                  </w:r>
                  <w:r>
                    <w:rPr>
                      <w:rFonts w:hint="eastAsia" w:ascii="Times New Roman" w:hAnsi="Times New Roman" w:eastAsia="宋体" w:cs="Times New Roman"/>
                      <w:b w:val="0"/>
                      <w:bCs w:val="0"/>
                      <w:sz w:val="21"/>
                      <w:szCs w:val="21"/>
                      <w:vertAlign w:val="superscript"/>
                      <w:lang w:val="en-US" w:eastAsia="zh-CN"/>
                    </w:rPr>
                    <w:t>3</w:t>
                  </w:r>
                  <w:r>
                    <w:rPr>
                      <w:rFonts w:hint="eastAsia" w:ascii="Times New Roman" w:hAnsi="Times New Roman" w:eastAsia="宋体" w:cs="Times New Roman"/>
                      <w:b w:val="0"/>
                      <w:bCs w:val="0"/>
                      <w:sz w:val="21"/>
                      <w:szCs w:val="21"/>
                      <w:lang w:val="en-US" w:eastAsia="zh-CN"/>
                    </w:rPr>
                    <w:t>）</w:t>
                  </w:r>
                  <w:r>
                    <w:rPr>
                      <w:rFonts w:hint="eastAsia" w:cs="Times New Roman"/>
                      <w:b w:val="0"/>
                      <w:bCs w:val="0"/>
                      <w:sz w:val="21"/>
                      <w:szCs w:val="21"/>
                      <w:lang w:val="en-US" w:eastAsia="zh-CN"/>
                    </w:rPr>
                    <w:t>，食堂废水先经隔油池处理后和其他生活污水再排入厂区已建的化粪池</w:t>
                  </w:r>
                  <w:r>
                    <w:rPr>
                      <w:rFonts w:hint="eastAsia" w:ascii="Times New Roman" w:hAnsi="Times New Roman" w:eastAsia="宋体" w:cs="Times New Roman"/>
                      <w:b w:val="0"/>
                      <w:bCs w:val="0"/>
                      <w:sz w:val="21"/>
                      <w:szCs w:val="21"/>
                      <w:lang w:val="en-US" w:eastAsia="zh-CN"/>
                    </w:rPr>
                    <w:t>（有效容积</w:t>
                  </w:r>
                  <w:r>
                    <w:rPr>
                      <w:rFonts w:hint="eastAsia" w:cs="Times New Roman"/>
                      <w:b w:val="0"/>
                      <w:bCs w:val="0"/>
                      <w:sz w:val="21"/>
                      <w:szCs w:val="21"/>
                      <w:lang w:val="en-US" w:eastAsia="zh-CN"/>
                    </w:rPr>
                    <w:t>2</w:t>
                  </w:r>
                  <w:r>
                    <w:rPr>
                      <w:rFonts w:hint="eastAsia" w:ascii="Times New Roman" w:hAnsi="Times New Roman" w:eastAsia="宋体" w:cs="Times New Roman"/>
                      <w:b w:val="0"/>
                      <w:bCs w:val="0"/>
                      <w:sz w:val="21"/>
                      <w:szCs w:val="21"/>
                      <w:lang w:val="en-US" w:eastAsia="zh-CN"/>
                    </w:rPr>
                    <w:t>0m</w:t>
                  </w:r>
                  <w:r>
                    <w:rPr>
                      <w:rFonts w:hint="eastAsia" w:ascii="Times New Roman" w:hAnsi="Times New Roman" w:eastAsia="宋体" w:cs="Times New Roman"/>
                      <w:b w:val="0"/>
                      <w:bCs w:val="0"/>
                      <w:sz w:val="21"/>
                      <w:szCs w:val="21"/>
                      <w:vertAlign w:val="superscript"/>
                      <w:lang w:val="en-US" w:eastAsia="zh-CN"/>
                    </w:rPr>
                    <w:t>3</w:t>
                  </w:r>
                  <w:r>
                    <w:rPr>
                      <w:rFonts w:hint="eastAsia" w:ascii="Times New Roman" w:hAnsi="Times New Roman" w:eastAsia="宋体" w:cs="Times New Roman"/>
                      <w:b w:val="0"/>
                      <w:bCs w:val="0"/>
                      <w:sz w:val="21"/>
                      <w:szCs w:val="21"/>
                      <w:lang w:val="en-US" w:eastAsia="zh-CN"/>
                    </w:rPr>
                    <w:t>）</w:t>
                  </w:r>
                  <w:r>
                    <w:rPr>
                      <w:rFonts w:hint="eastAsia" w:cs="Times New Roman"/>
                      <w:b w:val="0"/>
                      <w:bCs w:val="0"/>
                      <w:sz w:val="21"/>
                      <w:szCs w:val="21"/>
                      <w:lang w:val="en-US" w:eastAsia="zh-CN"/>
                    </w:rPr>
                    <w:t>处理后用作农肥不外排。</w:t>
                  </w:r>
                </w:p>
              </w:tc>
              <w:tc>
                <w:tcPr>
                  <w:tcW w:w="920" w:type="dxa"/>
                  <w:vMerge w:val="continue"/>
                  <w:noWrap w:val="0"/>
                  <w:vAlign w:val="center"/>
                </w:tcPr>
                <w:p w14:paraId="5415E9E0">
                  <w:pPr>
                    <w:spacing w:line="240" w:lineRule="exact"/>
                    <w:jc w:val="center"/>
                    <w:rPr>
                      <w:szCs w:val="21"/>
                    </w:rPr>
                  </w:pPr>
                </w:p>
              </w:tc>
              <w:tc>
                <w:tcPr>
                  <w:tcW w:w="910" w:type="dxa"/>
                  <w:noWrap w:val="0"/>
                  <w:vAlign w:val="center"/>
                </w:tcPr>
                <w:p w14:paraId="5385141A">
                  <w:pPr>
                    <w:spacing w:line="240" w:lineRule="exact"/>
                    <w:jc w:val="center"/>
                    <w:rPr>
                      <w:rFonts w:hint="eastAsia" w:eastAsia="宋体"/>
                      <w:szCs w:val="21"/>
                      <w:lang w:val="en-US" w:eastAsia="zh-CN"/>
                    </w:rPr>
                  </w:pPr>
                  <w:r>
                    <w:rPr>
                      <w:rFonts w:hint="eastAsia"/>
                      <w:szCs w:val="21"/>
                      <w:lang w:val="en-US" w:eastAsia="zh-CN"/>
                    </w:rPr>
                    <w:t>/</w:t>
                  </w:r>
                </w:p>
              </w:tc>
              <w:tc>
                <w:tcPr>
                  <w:tcW w:w="797" w:type="dxa"/>
                  <w:noWrap w:val="0"/>
                  <w:vAlign w:val="center"/>
                </w:tcPr>
                <w:p w14:paraId="545B3E1C">
                  <w:pPr>
                    <w:spacing w:line="240" w:lineRule="exact"/>
                    <w:jc w:val="center"/>
                    <w:rPr>
                      <w:rFonts w:hint="default" w:eastAsia="宋体"/>
                      <w:szCs w:val="21"/>
                      <w:lang w:val="en-US" w:eastAsia="zh-CN"/>
                    </w:rPr>
                  </w:pPr>
                  <w:r>
                    <w:rPr>
                      <w:rFonts w:hint="eastAsia"/>
                      <w:szCs w:val="21"/>
                      <w:lang w:val="en-US" w:eastAsia="zh-CN"/>
                    </w:rPr>
                    <w:t>利旧+新增</w:t>
                  </w:r>
                </w:p>
              </w:tc>
            </w:tr>
            <w:tr w14:paraId="680E350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continue"/>
                  <w:noWrap w:val="0"/>
                  <w:vAlign w:val="center"/>
                </w:tcPr>
                <w:p w14:paraId="275EE6D5">
                  <w:pPr>
                    <w:pStyle w:val="80"/>
                    <w:tabs>
                      <w:tab w:val="clear" w:pos="0"/>
                    </w:tabs>
                    <w:spacing w:line="240" w:lineRule="exact"/>
                    <w:jc w:val="center"/>
                    <w:rPr>
                      <w:rFonts w:eastAsia="宋体"/>
                      <w:sz w:val="21"/>
                      <w:szCs w:val="21"/>
                    </w:rPr>
                  </w:pPr>
                </w:p>
              </w:tc>
              <w:tc>
                <w:tcPr>
                  <w:tcW w:w="795" w:type="dxa"/>
                  <w:vMerge w:val="restart"/>
                  <w:noWrap w:val="0"/>
                  <w:vAlign w:val="center"/>
                </w:tcPr>
                <w:p w14:paraId="0A4BC1AB">
                  <w:pPr>
                    <w:pStyle w:val="80"/>
                    <w:tabs>
                      <w:tab w:val="clear" w:pos="0"/>
                    </w:tabs>
                    <w:spacing w:line="240" w:lineRule="exact"/>
                    <w:jc w:val="center"/>
                    <w:rPr>
                      <w:rFonts w:hint="default" w:eastAsia="宋体"/>
                      <w:sz w:val="21"/>
                      <w:szCs w:val="21"/>
                      <w:lang w:val="en-US" w:eastAsia="zh-CN"/>
                    </w:rPr>
                  </w:pPr>
                  <w:r>
                    <w:rPr>
                      <w:rFonts w:hint="eastAsia" w:eastAsia="宋体"/>
                      <w:sz w:val="21"/>
                      <w:szCs w:val="21"/>
                      <w:lang w:val="en-US" w:eastAsia="zh-CN"/>
                    </w:rPr>
                    <w:t>废气处理</w:t>
                  </w:r>
                </w:p>
              </w:tc>
              <w:tc>
                <w:tcPr>
                  <w:tcW w:w="3976" w:type="dxa"/>
                  <w:noWrap w:val="0"/>
                  <w:vAlign w:val="center"/>
                </w:tcPr>
                <w:p w14:paraId="2308C1B8">
                  <w:pPr>
                    <w:pStyle w:val="3"/>
                    <w:snapToGrid/>
                    <w:spacing w:before="0" w:after="0" w:line="240" w:lineRule="exact"/>
                    <w:ind w:left="0" w:firstLine="0"/>
                    <w:jc w:val="center"/>
                    <w:rPr>
                      <w:rFonts w:hint="default" w:eastAsia="宋体"/>
                      <w:color w:val="auto"/>
                      <w:kern w:val="2"/>
                      <w:sz w:val="21"/>
                      <w:szCs w:val="21"/>
                      <w:highlight w:val="yellow"/>
                      <w:lang w:val="en-US" w:eastAsia="zh-CN"/>
                    </w:rPr>
                  </w:pPr>
                  <w:r>
                    <w:rPr>
                      <w:rFonts w:hint="default" w:ascii="Times New Roman" w:hAnsi="Times New Roman" w:eastAsia="宋体" w:cs="Times New Roman"/>
                      <w:b/>
                      <w:bCs/>
                      <w:sz w:val="21"/>
                      <w:szCs w:val="21"/>
                      <w:highlight w:val="none"/>
                      <w:lang w:val="en-US" w:eastAsia="zh-CN"/>
                    </w:rPr>
                    <w:t>①</w:t>
                  </w:r>
                  <w:r>
                    <w:rPr>
                      <w:rFonts w:hint="eastAsia" w:eastAsia="宋体" w:cs="Times New Roman"/>
                      <w:b/>
                      <w:bCs/>
                      <w:sz w:val="21"/>
                      <w:szCs w:val="21"/>
                      <w:highlight w:val="none"/>
                      <w:lang w:val="en-US" w:eastAsia="zh-CN"/>
                    </w:rPr>
                    <w:t>输送粉尘</w:t>
                  </w:r>
                  <w:r>
                    <w:rPr>
                      <w:rFonts w:hint="default" w:ascii="Times New Roman" w:hAnsi="Times New Roman" w:eastAsia="宋体" w:cs="Times New Roman"/>
                      <w:b/>
                      <w:bCs/>
                      <w:sz w:val="21"/>
                      <w:szCs w:val="21"/>
                      <w:highlight w:val="none"/>
                      <w:lang w:val="en-US" w:eastAsia="zh-CN"/>
                    </w:rPr>
                    <w:t>、烘干粉尘、提升粉尘、筛分粉尘</w:t>
                  </w:r>
                  <w:r>
                    <w:rPr>
                      <w:rFonts w:hint="eastAsia" w:eastAsia="宋体" w:cs="Times New Roman"/>
                      <w:b/>
                      <w:bCs/>
                      <w:sz w:val="21"/>
                      <w:szCs w:val="21"/>
                      <w:highlight w:val="none"/>
                      <w:lang w:val="en-US" w:eastAsia="zh-CN"/>
                    </w:rPr>
                    <w:t>、烘干系统天然气燃烧废气</w:t>
                  </w:r>
                  <w:r>
                    <w:rPr>
                      <w:rFonts w:hint="default" w:ascii="Times New Roman" w:hAnsi="Times New Roman" w:eastAsia="宋体" w:cs="Times New Roman"/>
                      <w:b/>
                      <w:bCs/>
                      <w:sz w:val="21"/>
                      <w:szCs w:val="21"/>
                      <w:highlight w:val="none"/>
                      <w:lang w:val="en-US" w:eastAsia="zh-CN"/>
                    </w:rPr>
                    <w:t>：</w:t>
                  </w:r>
                  <w:r>
                    <w:rPr>
                      <w:rFonts w:hint="default" w:ascii="Times New Roman" w:hAnsi="Times New Roman" w:eastAsia="宋体" w:cs="Times New Roman"/>
                      <w:b w:val="0"/>
                      <w:bCs w:val="0"/>
                      <w:sz w:val="21"/>
                      <w:szCs w:val="21"/>
                      <w:highlight w:val="none"/>
                      <w:lang w:val="en-US" w:eastAsia="zh-CN"/>
                    </w:rPr>
                    <w:t>密闭收集+高温布袋除尘器（TA001）+</w:t>
                  </w:r>
                  <w:r>
                    <w:rPr>
                      <w:rFonts w:hint="eastAsia" w:eastAsia="宋体" w:cs="Times New Roman"/>
                      <w:b w:val="0"/>
                      <w:bCs w:val="0"/>
                      <w:sz w:val="21"/>
                      <w:szCs w:val="21"/>
                      <w:highlight w:val="none"/>
                      <w:lang w:val="en-US" w:eastAsia="zh-CN"/>
                    </w:rPr>
                    <w:t>22</w:t>
                  </w:r>
                  <w:r>
                    <w:rPr>
                      <w:rFonts w:hint="default" w:ascii="Times New Roman" w:hAnsi="Times New Roman" w:eastAsia="宋体" w:cs="Times New Roman"/>
                      <w:b w:val="0"/>
                      <w:bCs w:val="0"/>
                      <w:sz w:val="21"/>
                      <w:szCs w:val="21"/>
                      <w:highlight w:val="none"/>
                      <w:lang w:val="en-US" w:eastAsia="zh-CN"/>
                    </w:rPr>
                    <w:t>m高排气筒（DA001）</w:t>
                  </w:r>
                  <w:r>
                    <w:rPr>
                      <w:rFonts w:hint="eastAsia" w:ascii="Times New Roman" w:hAnsi="Times New Roman" w:eastAsia="宋体" w:cs="Times New Roman"/>
                      <w:b w:val="0"/>
                      <w:bCs w:val="0"/>
                      <w:sz w:val="21"/>
                      <w:szCs w:val="21"/>
                      <w:highlight w:val="none"/>
                      <w:lang w:val="en-US" w:eastAsia="zh-CN"/>
                    </w:rPr>
                    <w:t>。</w:t>
                  </w:r>
                </w:p>
              </w:tc>
              <w:tc>
                <w:tcPr>
                  <w:tcW w:w="920" w:type="dxa"/>
                  <w:vMerge w:val="continue"/>
                  <w:noWrap w:val="0"/>
                  <w:vAlign w:val="center"/>
                </w:tcPr>
                <w:p w14:paraId="7FD17CE9">
                  <w:pPr>
                    <w:spacing w:line="240" w:lineRule="exact"/>
                    <w:jc w:val="center"/>
                    <w:rPr>
                      <w:szCs w:val="21"/>
                    </w:rPr>
                  </w:pPr>
                </w:p>
              </w:tc>
              <w:tc>
                <w:tcPr>
                  <w:tcW w:w="910" w:type="dxa"/>
                  <w:noWrap w:val="0"/>
                  <w:vAlign w:val="center"/>
                </w:tcPr>
                <w:p w14:paraId="0EA2876A">
                  <w:pPr>
                    <w:pStyle w:val="3"/>
                    <w:snapToGrid/>
                    <w:spacing w:before="0" w:after="0" w:line="240" w:lineRule="exact"/>
                    <w:ind w:left="0" w:firstLine="0"/>
                    <w:jc w:val="center"/>
                    <w:rPr>
                      <w:rFonts w:hint="eastAsia" w:eastAsia="宋体"/>
                      <w:color w:val="auto"/>
                      <w:kern w:val="2"/>
                      <w:sz w:val="21"/>
                      <w:szCs w:val="21"/>
                    </w:rPr>
                  </w:pPr>
                  <w:r>
                    <w:rPr>
                      <w:rFonts w:hint="eastAsia" w:eastAsia="宋体"/>
                      <w:color w:val="auto"/>
                      <w:kern w:val="2"/>
                      <w:sz w:val="21"/>
                      <w:szCs w:val="21"/>
                    </w:rPr>
                    <w:t>/</w:t>
                  </w:r>
                </w:p>
              </w:tc>
              <w:tc>
                <w:tcPr>
                  <w:tcW w:w="797" w:type="dxa"/>
                  <w:noWrap w:val="0"/>
                  <w:vAlign w:val="center"/>
                </w:tcPr>
                <w:p w14:paraId="2E62A8DD">
                  <w:pPr>
                    <w:pStyle w:val="3"/>
                    <w:snapToGrid/>
                    <w:spacing w:before="0" w:after="0" w:line="240" w:lineRule="exact"/>
                    <w:ind w:left="0" w:firstLine="0"/>
                    <w:jc w:val="center"/>
                    <w:rPr>
                      <w:rFonts w:hint="eastAsia" w:eastAsia="宋体"/>
                      <w:b w:val="0"/>
                      <w:bCs w:val="0"/>
                      <w:color w:val="auto"/>
                      <w:kern w:val="2"/>
                      <w:sz w:val="21"/>
                      <w:szCs w:val="21"/>
                      <w:lang w:eastAsia="zh-CN"/>
                    </w:rPr>
                  </w:pPr>
                  <w:r>
                    <w:rPr>
                      <w:rFonts w:hint="eastAsia" w:eastAsia="宋体"/>
                      <w:b w:val="0"/>
                      <w:bCs w:val="0"/>
                      <w:color w:val="auto"/>
                      <w:kern w:val="2"/>
                      <w:sz w:val="21"/>
                      <w:szCs w:val="21"/>
                      <w:lang w:val="en-US" w:eastAsia="zh-CN"/>
                    </w:rPr>
                    <w:t>利旧</w:t>
                  </w:r>
                </w:p>
              </w:tc>
            </w:tr>
            <w:tr w14:paraId="446D4EA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continue"/>
                  <w:noWrap w:val="0"/>
                  <w:vAlign w:val="center"/>
                </w:tcPr>
                <w:p w14:paraId="5DDF7298">
                  <w:pPr>
                    <w:pStyle w:val="80"/>
                    <w:tabs>
                      <w:tab w:val="clear" w:pos="0"/>
                    </w:tabs>
                    <w:spacing w:line="240" w:lineRule="exact"/>
                    <w:jc w:val="center"/>
                    <w:rPr>
                      <w:rFonts w:eastAsia="宋体"/>
                      <w:sz w:val="21"/>
                      <w:szCs w:val="21"/>
                    </w:rPr>
                  </w:pPr>
                </w:p>
              </w:tc>
              <w:tc>
                <w:tcPr>
                  <w:tcW w:w="795" w:type="dxa"/>
                  <w:vMerge w:val="continue"/>
                  <w:noWrap w:val="0"/>
                  <w:vAlign w:val="center"/>
                </w:tcPr>
                <w:p w14:paraId="6F78996E">
                  <w:pPr>
                    <w:pStyle w:val="80"/>
                    <w:tabs>
                      <w:tab w:val="clear" w:pos="0"/>
                    </w:tabs>
                    <w:spacing w:line="240" w:lineRule="exact"/>
                    <w:jc w:val="center"/>
                    <w:rPr>
                      <w:rFonts w:hint="eastAsia" w:eastAsia="宋体"/>
                      <w:sz w:val="21"/>
                      <w:szCs w:val="21"/>
                      <w:lang w:val="en-US" w:eastAsia="zh-CN"/>
                    </w:rPr>
                  </w:pPr>
                </w:p>
              </w:tc>
              <w:tc>
                <w:tcPr>
                  <w:tcW w:w="3976" w:type="dxa"/>
                  <w:noWrap w:val="0"/>
                  <w:vAlign w:val="center"/>
                </w:tcPr>
                <w:p w14:paraId="2A821DBB">
                  <w:pPr>
                    <w:pStyle w:val="3"/>
                    <w:snapToGrid/>
                    <w:spacing w:before="0" w:after="0" w:line="240" w:lineRule="exact"/>
                    <w:ind w:left="0" w:firstLine="0"/>
                    <w:jc w:val="center"/>
                    <w:rPr>
                      <w:rFonts w:hint="default" w:ascii="Times New Roman" w:hAnsi="Times New Roman" w:eastAsia="宋体" w:cs="Times New Roman"/>
                      <w:b/>
                      <w:bCs/>
                      <w:sz w:val="21"/>
                      <w:szCs w:val="21"/>
                      <w:highlight w:val="none"/>
                      <w:lang w:val="en-US" w:eastAsia="zh-CN"/>
                    </w:rPr>
                  </w:pPr>
                  <w:r>
                    <w:rPr>
                      <w:rFonts w:hint="eastAsia" w:eastAsia="宋体" w:cs="Times New Roman"/>
                      <w:b/>
                      <w:bCs/>
                      <w:sz w:val="21"/>
                      <w:szCs w:val="21"/>
                      <w:highlight w:val="none"/>
                      <w:lang w:val="en-US" w:eastAsia="zh-CN"/>
                    </w:rPr>
                    <w:t>②沥青搅拌、加热、卸料废气：</w:t>
                  </w:r>
                  <w:r>
                    <w:rPr>
                      <w:rFonts w:hint="eastAsia" w:eastAsia="宋体" w:cs="Times New Roman"/>
                      <w:b w:val="0"/>
                      <w:bCs w:val="0"/>
                      <w:sz w:val="21"/>
                      <w:szCs w:val="21"/>
                      <w:highlight w:val="none"/>
                      <w:lang w:val="en-US" w:eastAsia="zh-CN"/>
                    </w:rPr>
                    <w:t>密闭收集+喷淋+干式过滤+活性炭吸附脱附+催化燃烧装置（TA002）+22m高排气筒（DA002）。</w:t>
                  </w:r>
                </w:p>
              </w:tc>
              <w:tc>
                <w:tcPr>
                  <w:tcW w:w="920" w:type="dxa"/>
                  <w:vMerge w:val="continue"/>
                  <w:noWrap w:val="0"/>
                  <w:vAlign w:val="center"/>
                </w:tcPr>
                <w:p w14:paraId="7A974D03">
                  <w:pPr>
                    <w:spacing w:line="240" w:lineRule="exact"/>
                    <w:jc w:val="center"/>
                    <w:rPr>
                      <w:szCs w:val="21"/>
                    </w:rPr>
                  </w:pPr>
                </w:p>
              </w:tc>
              <w:tc>
                <w:tcPr>
                  <w:tcW w:w="910" w:type="dxa"/>
                  <w:noWrap w:val="0"/>
                  <w:vAlign w:val="center"/>
                </w:tcPr>
                <w:p w14:paraId="30FF7EAB">
                  <w:pPr>
                    <w:pStyle w:val="3"/>
                    <w:snapToGrid/>
                    <w:spacing w:before="0" w:after="0" w:line="240" w:lineRule="exact"/>
                    <w:ind w:left="0" w:firstLine="0"/>
                    <w:jc w:val="center"/>
                    <w:rPr>
                      <w:rFonts w:hint="eastAsia" w:eastAsia="宋体"/>
                      <w:color w:val="auto"/>
                      <w:kern w:val="2"/>
                      <w:sz w:val="21"/>
                      <w:szCs w:val="21"/>
                      <w:lang w:val="en-US" w:eastAsia="zh-CN"/>
                    </w:rPr>
                  </w:pPr>
                  <w:r>
                    <w:rPr>
                      <w:rFonts w:hint="eastAsia" w:eastAsia="宋体"/>
                      <w:color w:val="auto"/>
                      <w:kern w:val="2"/>
                      <w:sz w:val="21"/>
                      <w:szCs w:val="21"/>
                      <w:lang w:val="en-US" w:eastAsia="zh-CN"/>
                    </w:rPr>
                    <w:t>/</w:t>
                  </w:r>
                </w:p>
              </w:tc>
              <w:tc>
                <w:tcPr>
                  <w:tcW w:w="797" w:type="dxa"/>
                  <w:noWrap w:val="0"/>
                  <w:vAlign w:val="center"/>
                </w:tcPr>
                <w:p w14:paraId="551CD3A2">
                  <w:pPr>
                    <w:pStyle w:val="3"/>
                    <w:snapToGrid/>
                    <w:spacing w:before="0" w:after="0" w:line="240" w:lineRule="exact"/>
                    <w:ind w:left="0" w:firstLine="0"/>
                    <w:jc w:val="center"/>
                    <w:rPr>
                      <w:rFonts w:hint="eastAsia" w:eastAsia="宋体"/>
                      <w:b w:val="0"/>
                      <w:bCs w:val="0"/>
                      <w:color w:val="auto"/>
                      <w:kern w:val="2"/>
                      <w:sz w:val="21"/>
                      <w:szCs w:val="21"/>
                      <w:lang w:val="en-US" w:eastAsia="zh-CN"/>
                    </w:rPr>
                  </w:pPr>
                  <w:r>
                    <w:rPr>
                      <w:rFonts w:hint="eastAsia" w:eastAsia="宋体"/>
                      <w:b w:val="0"/>
                      <w:bCs w:val="0"/>
                      <w:color w:val="auto"/>
                      <w:kern w:val="2"/>
                      <w:sz w:val="21"/>
                      <w:szCs w:val="21"/>
                      <w:lang w:val="en-US" w:eastAsia="zh-CN"/>
                    </w:rPr>
                    <w:t>改建</w:t>
                  </w:r>
                </w:p>
              </w:tc>
            </w:tr>
            <w:tr w14:paraId="783C2B7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continue"/>
                  <w:noWrap w:val="0"/>
                  <w:vAlign w:val="center"/>
                </w:tcPr>
                <w:p w14:paraId="191C993C">
                  <w:pPr>
                    <w:pStyle w:val="3"/>
                    <w:snapToGrid/>
                    <w:spacing w:before="0" w:after="0" w:line="240" w:lineRule="exact"/>
                    <w:ind w:left="0" w:firstLine="0"/>
                    <w:jc w:val="center"/>
                    <w:rPr>
                      <w:rFonts w:hint="eastAsia" w:eastAsia="宋体"/>
                      <w:color w:val="auto"/>
                      <w:kern w:val="2"/>
                      <w:sz w:val="21"/>
                      <w:szCs w:val="21"/>
                    </w:rPr>
                  </w:pPr>
                </w:p>
              </w:tc>
              <w:tc>
                <w:tcPr>
                  <w:tcW w:w="795" w:type="dxa"/>
                  <w:vMerge w:val="continue"/>
                  <w:noWrap w:val="0"/>
                  <w:vAlign w:val="center"/>
                </w:tcPr>
                <w:p w14:paraId="110D1221">
                  <w:pPr>
                    <w:pStyle w:val="3"/>
                    <w:snapToGrid/>
                    <w:spacing w:before="0" w:after="0" w:line="240" w:lineRule="exact"/>
                    <w:ind w:left="0" w:firstLine="0"/>
                    <w:jc w:val="center"/>
                    <w:rPr>
                      <w:rFonts w:hint="eastAsia" w:eastAsia="宋体"/>
                      <w:color w:val="auto"/>
                      <w:kern w:val="2"/>
                      <w:sz w:val="21"/>
                      <w:szCs w:val="21"/>
                    </w:rPr>
                  </w:pPr>
                </w:p>
              </w:tc>
              <w:tc>
                <w:tcPr>
                  <w:tcW w:w="3976" w:type="dxa"/>
                  <w:noWrap w:val="0"/>
                  <w:vAlign w:val="center"/>
                </w:tcPr>
                <w:p w14:paraId="76362467">
                  <w:pPr>
                    <w:pStyle w:val="3"/>
                    <w:snapToGrid/>
                    <w:spacing w:before="0" w:after="0" w:line="240" w:lineRule="exact"/>
                    <w:ind w:left="0" w:firstLine="0"/>
                    <w:jc w:val="center"/>
                    <w:rPr>
                      <w:rFonts w:hint="default" w:eastAsia="宋体"/>
                      <w:color w:val="auto"/>
                      <w:kern w:val="2"/>
                      <w:sz w:val="21"/>
                      <w:szCs w:val="21"/>
                      <w:highlight w:val="yellow"/>
                      <w:lang w:val="en-US" w:eastAsia="zh-CN"/>
                    </w:rPr>
                  </w:pPr>
                  <w:r>
                    <w:rPr>
                      <w:rFonts w:hint="eastAsia" w:eastAsia="宋体"/>
                      <w:b/>
                      <w:bCs/>
                      <w:color w:val="auto"/>
                      <w:kern w:val="2"/>
                      <w:sz w:val="21"/>
                      <w:szCs w:val="21"/>
                      <w:highlight w:val="none"/>
                      <w:lang w:val="en-US" w:eastAsia="zh-CN"/>
                    </w:rPr>
                    <w:t>③导热油炉燃烧废气</w:t>
                  </w:r>
                  <w:r>
                    <w:rPr>
                      <w:rFonts w:hint="eastAsia" w:eastAsia="宋体"/>
                      <w:color w:val="auto"/>
                      <w:kern w:val="2"/>
                      <w:sz w:val="21"/>
                      <w:szCs w:val="21"/>
                      <w:highlight w:val="none"/>
                      <w:lang w:val="en-US" w:eastAsia="zh-CN"/>
                    </w:rPr>
                    <w:t>：</w:t>
                  </w:r>
                  <w:r>
                    <w:rPr>
                      <w:rFonts w:hint="eastAsia" w:eastAsia="宋体"/>
                      <w:b w:val="0"/>
                      <w:bCs w:val="0"/>
                      <w:color w:val="auto"/>
                      <w:kern w:val="2"/>
                      <w:sz w:val="21"/>
                      <w:szCs w:val="21"/>
                      <w:highlight w:val="none"/>
                      <w:lang w:val="en-US" w:eastAsia="zh-CN"/>
                    </w:rPr>
                    <w:t>低氮燃烧</w:t>
                  </w:r>
                  <w:r>
                    <w:rPr>
                      <w:rFonts w:hint="eastAsia" w:eastAsia="宋体" w:cs="Times New Roman"/>
                      <w:b w:val="0"/>
                      <w:bCs w:val="0"/>
                      <w:sz w:val="21"/>
                      <w:szCs w:val="21"/>
                      <w:highlight w:val="none"/>
                      <w:lang w:val="en-US" w:eastAsia="zh-CN"/>
                    </w:rPr>
                    <w:t>（TA003）</w:t>
                  </w:r>
                  <w:r>
                    <w:rPr>
                      <w:rFonts w:hint="eastAsia" w:eastAsia="宋体"/>
                      <w:b w:val="0"/>
                      <w:bCs w:val="0"/>
                      <w:color w:val="auto"/>
                      <w:kern w:val="2"/>
                      <w:sz w:val="21"/>
                      <w:szCs w:val="21"/>
                      <w:highlight w:val="none"/>
                      <w:lang w:val="en-US" w:eastAsia="zh-CN"/>
                    </w:rPr>
                    <w:t>+13m高排气筒（DA003）。</w:t>
                  </w:r>
                </w:p>
              </w:tc>
              <w:tc>
                <w:tcPr>
                  <w:tcW w:w="920" w:type="dxa"/>
                  <w:vMerge w:val="continue"/>
                  <w:noWrap w:val="0"/>
                  <w:vAlign w:val="center"/>
                </w:tcPr>
                <w:p w14:paraId="45B22BBD">
                  <w:pPr>
                    <w:pStyle w:val="3"/>
                    <w:snapToGrid/>
                    <w:spacing w:before="0" w:after="0" w:line="240" w:lineRule="exact"/>
                    <w:ind w:left="0" w:firstLine="0"/>
                    <w:jc w:val="center"/>
                    <w:rPr>
                      <w:rFonts w:hint="eastAsia" w:eastAsia="宋体"/>
                      <w:color w:val="auto"/>
                      <w:kern w:val="2"/>
                      <w:sz w:val="21"/>
                      <w:szCs w:val="21"/>
                    </w:rPr>
                  </w:pPr>
                </w:p>
              </w:tc>
              <w:tc>
                <w:tcPr>
                  <w:tcW w:w="910" w:type="dxa"/>
                  <w:noWrap w:val="0"/>
                  <w:vAlign w:val="center"/>
                </w:tcPr>
                <w:p w14:paraId="1D23C1F3">
                  <w:pPr>
                    <w:pStyle w:val="3"/>
                    <w:snapToGrid/>
                    <w:spacing w:before="0" w:after="0" w:line="240" w:lineRule="exact"/>
                    <w:ind w:left="0" w:firstLine="0"/>
                    <w:jc w:val="center"/>
                    <w:rPr>
                      <w:rFonts w:hint="eastAsia" w:eastAsia="宋体"/>
                      <w:color w:val="auto"/>
                      <w:kern w:val="2"/>
                      <w:sz w:val="21"/>
                      <w:szCs w:val="21"/>
                    </w:rPr>
                  </w:pPr>
                  <w:r>
                    <w:rPr>
                      <w:rFonts w:hint="eastAsia" w:eastAsia="宋体"/>
                      <w:color w:val="auto"/>
                      <w:kern w:val="2"/>
                      <w:sz w:val="21"/>
                      <w:szCs w:val="21"/>
                    </w:rPr>
                    <w:t>/</w:t>
                  </w:r>
                </w:p>
              </w:tc>
              <w:tc>
                <w:tcPr>
                  <w:tcW w:w="797" w:type="dxa"/>
                  <w:noWrap w:val="0"/>
                  <w:vAlign w:val="center"/>
                </w:tcPr>
                <w:p w14:paraId="592ECAE2">
                  <w:pPr>
                    <w:pStyle w:val="3"/>
                    <w:snapToGrid/>
                    <w:spacing w:before="0" w:after="0" w:line="240" w:lineRule="exact"/>
                    <w:ind w:left="0" w:firstLine="0"/>
                    <w:jc w:val="center"/>
                    <w:rPr>
                      <w:rFonts w:hint="eastAsia" w:eastAsia="宋体"/>
                      <w:b w:val="0"/>
                      <w:bCs w:val="0"/>
                      <w:color w:val="auto"/>
                      <w:kern w:val="2"/>
                      <w:sz w:val="21"/>
                      <w:szCs w:val="21"/>
                      <w:lang w:eastAsia="zh-CN"/>
                    </w:rPr>
                  </w:pPr>
                  <w:r>
                    <w:rPr>
                      <w:rFonts w:hint="eastAsia" w:eastAsia="宋体"/>
                      <w:b w:val="0"/>
                      <w:bCs w:val="0"/>
                      <w:color w:val="auto"/>
                      <w:kern w:val="2"/>
                      <w:sz w:val="21"/>
                      <w:szCs w:val="21"/>
                      <w:lang w:val="en-US" w:eastAsia="zh-CN"/>
                    </w:rPr>
                    <w:t>整改</w:t>
                  </w:r>
                </w:p>
              </w:tc>
            </w:tr>
            <w:tr w14:paraId="2C5248D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continue"/>
                  <w:noWrap w:val="0"/>
                  <w:vAlign w:val="center"/>
                </w:tcPr>
                <w:p w14:paraId="6C05582C">
                  <w:pPr>
                    <w:pStyle w:val="3"/>
                    <w:snapToGrid/>
                    <w:spacing w:before="0" w:after="0" w:line="240" w:lineRule="exact"/>
                    <w:ind w:left="0" w:firstLine="0"/>
                    <w:jc w:val="center"/>
                    <w:rPr>
                      <w:rFonts w:hint="eastAsia" w:eastAsia="宋体"/>
                      <w:color w:val="auto"/>
                      <w:kern w:val="2"/>
                      <w:sz w:val="21"/>
                      <w:szCs w:val="21"/>
                    </w:rPr>
                  </w:pPr>
                </w:p>
              </w:tc>
              <w:tc>
                <w:tcPr>
                  <w:tcW w:w="795" w:type="dxa"/>
                  <w:vMerge w:val="continue"/>
                  <w:noWrap w:val="0"/>
                  <w:vAlign w:val="center"/>
                </w:tcPr>
                <w:p w14:paraId="507A26CC">
                  <w:pPr>
                    <w:pStyle w:val="3"/>
                    <w:snapToGrid/>
                    <w:spacing w:before="0" w:after="0" w:line="240" w:lineRule="exact"/>
                    <w:ind w:left="0" w:firstLine="0"/>
                    <w:jc w:val="center"/>
                    <w:rPr>
                      <w:rFonts w:hint="eastAsia" w:eastAsia="宋体"/>
                      <w:color w:val="auto"/>
                      <w:kern w:val="2"/>
                      <w:sz w:val="21"/>
                      <w:szCs w:val="21"/>
                    </w:rPr>
                  </w:pPr>
                </w:p>
              </w:tc>
              <w:tc>
                <w:tcPr>
                  <w:tcW w:w="3976" w:type="dxa"/>
                  <w:noWrap w:val="0"/>
                  <w:vAlign w:val="center"/>
                </w:tcPr>
                <w:p w14:paraId="63719902">
                  <w:pPr>
                    <w:pStyle w:val="3"/>
                    <w:snapToGrid/>
                    <w:spacing w:before="0" w:after="0" w:line="240" w:lineRule="exact"/>
                    <w:ind w:left="0" w:firstLine="0"/>
                    <w:jc w:val="center"/>
                    <w:rPr>
                      <w:rFonts w:hint="default" w:eastAsia="宋体"/>
                      <w:b/>
                      <w:bCs/>
                      <w:color w:val="auto"/>
                      <w:kern w:val="2"/>
                      <w:sz w:val="21"/>
                      <w:szCs w:val="21"/>
                      <w:highlight w:val="none"/>
                      <w:lang w:val="en-US" w:eastAsia="zh-CN"/>
                    </w:rPr>
                  </w:pPr>
                  <w:r>
                    <w:rPr>
                      <w:rFonts w:hint="eastAsia" w:eastAsia="宋体"/>
                      <w:b/>
                      <w:bCs/>
                      <w:color w:val="auto"/>
                      <w:kern w:val="2"/>
                      <w:sz w:val="21"/>
                      <w:szCs w:val="21"/>
                      <w:highlight w:val="none"/>
                      <w:lang w:val="en-US" w:eastAsia="zh-CN"/>
                    </w:rPr>
                    <w:t>④磨粉系统粉尘、热风炉废气：</w:t>
                  </w:r>
                  <w:r>
                    <w:rPr>
                      <w:rFonts w:hint="eastAsia" w:eastAsia="宋体"/>
                      <w:b w:val="0"/>
                      <w:bCs w:val="0"/>
                      <w:color w:val="auto"/>
                      <w:kern w:val="2"/>
                      <w:sz w:val="21"/>
                      <w:szCs w:val="21"/>
                      <w:highlight w:val="none"/>
                      <w:lang w:val="en-US" w:eastAsia="zh-CN"/>
                    </w:rPr>
                    <w:t>密闭收集+</w:t>
                  </w:r>
                  <w:r>
                    <w:rPr>
                      <w:rFonts w:hint="default" w:ascii="Times New Roman" w:hAnsi="Times New Roman" w:eastAsia="宋体" w:cs="Times New Roman"/>
                      <w:b w:val="0"/>
                      <w:bCs w:val="0"/>
                      <w:sz w:val="21"/>
                      <w:szCs w:val="21"/>
                      <w:highlight w:val="none"/>
                      <w:lang w:val="en-US" w:eastAsia="zh-CN"/>
                    </w:rPr>
                    <w:t>高温布袋除尘器（TA00</w:t>
                  </w:r>
                  <w:r>
                    <w:rPr>
                      <w:rFonts w:hint="eastAsia" w:ascii="Times New Roman" w:hAnsi="Times New Roman" w:eastAsia="宋体" w:cs="Times New Roman"/>
                      <w:b w:val="0"/>
                      <w:bCs w:val="0"/>
                      <w:sz w:val="21"/>
                      <w:szCs w:val="21"/>
                      <w:highlight w:val="none"/>
                      <w:lang w:val="en-US" w:eastAsia="zh-CN"/>
                    </w:rPr>
                    <w:t>4</w:t>
                  </w:r>
                  <w:r>
                    <w:rPr>
                      <w:rFonts w:hint="default" w:ascii="Times New Roman" w:hAnsi="Times New Roman" w:eastAsia="宋体" w:cs="Times New Roman"/>
                      <w:b w:val="0"/>
                      <w:bCs w:val="0"/>
                      <w:sz w:val="21"/>
                      <w:szCs w:val="21"/>
                      <w:highlight w:val="none"/>
                      <w:lang w:val="en-US" w:eastAsia="zh-CN"/>
                    </w:rPr>
                    <w:t>）+15m高排气筒（DA00</w:t>
                  </w:r>
                  <w:r>
                    <w:rPr>
                      <w:rFonts w:hint="eastAsia" w:ascii="Times New Roman" w:hAnsi="Times New Roman" w:eastAsia="宋体" w:cs="Times New Roman"/>
                      <w:b w:val="0"/>
                      <w:bCs w:val="0"/>
                      <w:sz w:val="21"/>
                      <w:szCs w:val="21"/>
                      <w:highlight w:val="none"/>
                      <w:lang w:val="en-US" w:eastAsia="zh-CN"/>
                    </w:rPr>
                    <w:t>4</w:t>
                  </w:r>
                  <w:r>
                    <w:rPr>
                      <w:rFonts w:hint="default" w:ascii="Times New Roman" w:hAnsi="Times New Roman" w:eastAsia="宋体" w:cs="Times New Roman"/>
                      <w:b w:val="0"/>
                      <w:bCs w:val="0"/>
                      <w:sz w:val="21"/>
                      <w:szCs w:val="21"/>
                      <w:highlight w:val="none"/>
                      <w:lang w:val="en-US" w:eastAsia="zh-CN"/>
                    </w:rPr>
                    <w:t>）</w:t>
                  </w:r>
                  <w:r>
                    <w:rPr>
                      <w:rFonts w:hint="eastAsia" w:ascii="Times New Roman" w:hAnsi="Times New Roman" w:eastAsia="宋体" w:cs="Times New Roman"/>
                      <w:b w:val="0"/>
                      <w:bCs w:val="0"/>
                      <w:sz w:val="21"/>
                      <w:szCs w:val="21"/>
                      <w:highlight w:val="none"/>
                      <w:lang w:val="en-US" w:eastAsia="zh-CN"/>
                    </w:rPr>
                    <w:t>。</w:t>
                  </w:r>
                </w:p>
              </w:tc>
              <w:tc>
                <w:tcPr>
                  <w:tcW w:w="920" w:type="dxa"/>
                  <w:vMerge w:val="continue"/>
                  <w:noWrap w:val="0"/>
                  <w:vAlign w:val="center"/>
                </w:tcPr>
                <w:p w14:paraId="0AE1D752">
                  <w:pPr>
                    <w:pStyle w:val="3"/>
                    <w:snapToGrid/>
                    <w:spacing w:before="0" w:after="0" w:line="240" w:lineRule="exact"/>
                    <w:ind w:left="0" w:firstLine="0"/>
                    <w:jc w:val="center"/>
                    <w:rPr>
                      <w:rFonts w:hint="eastAsia" w:eastAsia="宋体"/>
                      <w:color w:val="auto"/>
                      <w:kern w:val="2"/>
                      <w:sz w:val="21"/>
                      <w:szCs w:val="21"/>
                    </w:rPr>
                  </w:pPr>
                </w:p>
              </w:tc>
              <w:tc>
                <w:tcPr>
                  <w:tcW w:w="910" w:type="dxa"/>
                  <w:noWrap w:val="0"/>
                  <w:vAlign w:val="center"/>
                </w:tcPr>
                <w:p w14:paraId="0BF594EC">
                  <w:pPr>
                    <w:pStyle w:val="3"/>
                    <w:snapToGrid/>
                    <w:spacing w:before="0" w:after="0" w:line="240" w:lineRule="exact"/>
                    <w:ind w:left="0" w:firstLine="0"/>
                    <w:jc w:val="center"/>
                    <w:rPr>
                      <w:rFonts w:hint="eastAsia" w:eastAsia="宋体"/>
                      <w:color w:val="auto"/>
                      <w:kern w:val="2"/>
                      <w:sz w:val="21"/>
                      <w:szCs w:val="21"/>
                      <w:lang w:val="en-US" w:eastAsia="zh-CN"/>
                    </w:rPr>
                  </w:pPr>
                  <w:r>
                    <w:rPr>
                      <w:rFonts w:hint="eastAsia" w:eastAsia="宋体"/>
                      <w:color w:val="auto"/>
                      <w:kern w:val="2"/>
                      <w:sz w:val="21"/>
                      <w:szCs w:val="21"/>
                      <w:lang w:val="en-US" w:eastAsia="zh-CN"/>
                    </w:rPr>
                    <w:t>/</w:t>
                  </w:r>
                </w:p>
              </w:tc>
              <w:tc>
                <w:tcPr>
                  <w:tcW w:w="797" w:type="dxa"/>
                  <w:noWrap w:val="0"/>
                  <w:vAlign w:val="center"/>
                </w:tcPr>
                <w:p w14:paraId="1F4A4751">
                  <w:pPr>
                    <w:pStyle w:val="3"/>
                    <w:snapToGrid/>
                    <w:spacing w:before="0" w:after="0" w:line="240" w:lineRule="exact"/>
                    <w:ind w:left="0" w:firstLine="0"/>
                    <w:jc w:val="center"/>
                    <w:rPr>
                      <w:rFonts w:hint="default" w:eastAsia="宋体"/>
                      <w:b w:val="0"/>
                      <w:bCs w:val="0"/>
                      <w:color w:val="auto"/>
                      <w:kern w:val="2"/>
                      <w:sz w:val="21"/>
                      <w:szCs w:val="21"/>
                      <w:lang w:val="en-US" w:eastAsia="zh-CN"/>
                    </w:rPr>
                  </w:pPr>
                  <w:r>
                    <w:rPr>
                      <w:rFonts w:hint="eastAsia" w:eastAsia="宋体"/>
                      <w:b w:val="0"/>
                      <w:bCs w:val="0"/>
                      <w:color w:val="auto"/>
                      <w:kern w:val="2"/>
                      <w:sz w:val="21"/>
                      <w:szCs w:val="21"/>
                      <w:lang w:val="en-US" w:eastAsia="zh-CN"/>
                    </w:rPr>
                    <w:t>新建</w:t>
                  </w:r>
                </w:p>
              </w:tc>
            </w:tr>
            <w:tr w14:paraId="6DA7A30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continue"/>
                  <w:noWrap w:val="0"/>
                  <w:vAlign w:val="center"/>
                </w:tcPr>
                <w:p w14:paraId="7AC1AFEB">
                  <w:pPr>
                    <w:pStyle w:val="3"/>
                    <w:snapToGrid/>
                    <w:spacing w:before="0" w:after="0" w:line="240" w:lineRule="exact"/>
                    <w:ind w:left="0" w:firstLine="0"/>
                    <w:jc w:val="center"/>
                    <w:rPr>
                      <w:rFonts w:hint="eastAsia" w:eastAsia="宋体"/>
                      <w:color w:val="auto"/>
                      <w:kern w:val="2"/>
                      <w:sz w:val="21"/>
                      <w:szCs w:val="21"/>
                    </w:rPr>
                  </w:pPr>
                </w:p>
              </w:tc>
              <w:tc>
                <w:tcPr>
                  <w:tcW w:w="795" w:type="dxa"/>
                  <w:vMerge w:val="continue"/>
                  <w:noWrap w:val="0"/>
                  <w:vAlign w:val="center"/>
                </w:tcPr>
                <w:p w14:paraId="1BE0306C">
                  <w:pPr>
                    <w:pStyle w:val="3"/>
                    <w:snapToGrid/>
                    <w:spacing w:before="0" w:after="0" w:line="240" w:lineRule="exact"/>
                    <w:ind w:left="0" w:firstLine="0"/>
                    <w:jc w:val="center"/>
                    <w:rPr>
                      <w:rFonts w:hint="eastAsia" w:eastAsia="宋体"/>
                      <w:color w:val="auto"/>
                      <w:kern w:val="2"/>
                      <w:sz w:val="21"/>
                      <w:szCs w:val="21"/>
                    </w:rPr>
                  </w:pPr>
                </w:p>
              </w:tc>
              <w:tc>
                <w:tcPr>
                  <w:tcW w:w="3976" w:type="dxa"/>
                  <w:noWrap w:val="0"/>
                  <w:vAlign w:val="center"/>
                </w:tcPr>
                <w:p w14:paraId="367E2266">
                  <w:pPr>
                    <w:pStyle w:val="3"/>
                    <w:snapToGrid/>
                    <w:spacing w:before="0" w:after="0" w:line="240" w:lineRule="exact"/>
                    <w:ind w:left="0" w:firstLine="0"/>
                    <w:jc w:val="center"/>
                    <w:rPr>
                      <w:rFonts w:hint="default" w:eastAsia="宋体"/>
                      <w:b/>
                      <w:bCs/>
                      <w:color w:val="auto"/>
                      <w:kern w:val="2"/>
                      <w:sz w:val="21"/>
                      <w:szCs w:val="21"/>
                      <w:highlight w:val="none"/>
                      <w:lang w:val="en-US" w:eastAsia="zh-CN"/>
                    </w:rPr>
                  </w:pPr>
                  <w:r>
                    <w:rPr>
                      <w:rFonts w:hint="eastAsia" w:eastAsia="宋体"/>
                      <w:b/>
                      <w:bCs/>
                      <w:color w:val="auto"/>
                      <w:kern w:val="2"/>
                      <w:sz w:val="21"/>
                      <w:szCs w:val="21"/>
                      <w:highlight w:val="none"/>
                      <w:lang w:val="en-US" w:eastAsia="zh-CN"/>
                    </w:rPr>
                    <w:t>⑤再生料破碎、筛分粉尘：</w:t>
                  </w:r>
                  <w:r>
                    <w:rPr>
                      <w:rFonts w:hint="eastAsia" w:eastAsia="宋体"/>
                      <w:b w:val="0"/>
                      <w:bCs w:val="0"/>
                      <w:color w:val="auto"/>
                      <w:kern w:val="2"/>
                      <w:sz w:val="21"/>
                      <w:szCs w:val="21"/>
                      <w:highlight w:val="none"/>
                      <w:lang w:val="en-US" w:eastAsia="zh-CN"/>
                    </w:rPr>
                    <w:t>集气罩收集+布袋除尘器</w:t>
                  </w:r>
                  <w:r>
                    <w:rPr>
                      <w:rFonts w:hint="default" w:ascii="Times New Roman" w:hAnsi="Times New Roman" w:eastAsia="宋体" w:cs="Times New Roman"/>
                      <w:b w:val="0"/>
                      <w:bCs w:val="0"/>
                      <w:sz w:val="21"/>
                      <w:szCs w:val="21"/>
                      <w:highlight w:val="none"/>
                      <w:lang w:val="en-US" w:eastAsia="zh-CN"/>
                    </w:rPr>
                    <w:t>（TA00</w:t>
                  </w:r>
                  <w:r>
                    <w:rPr>
                      <w:rFonts w:hint="eastAsia" w:eastAsia="宋体" w:cs="Times New Roman"/>
                      <w:b w:val="0"/>
                      <w:bCs w:val="0"/>
                      <w:sz w:val="21"/>
                      <w:szCs w:val="21"/>
                      <w:highlight w:val="none"/>
                      <w:lang w:val="en-US" w:eastAsia="zh-CN"/>
                    </w:rPr>
                    <w:t>5</w:t>
                  </w:r>
                  <w:r>
                    <w:rPr>
                      <w:rFonts w:hint="default" w:ascii="Times New Roman" w:hAnsi="Times New Roman" w:eastAsia="宋体" w:cs="Times New Roman"/>
                      <w:b w:val="0"/>
                      <w:bCs w:val="0"/>
                      <w:sz w:val="21"/>
                      <w:szCs w:val="21"/>
                      <w:highlight w:val="none"/>
                      <w:lang w:val="en-US" w:eastAsia="zh-CN"/>
                    </w:rPr>
                    <w:t>）</w:t>
                  </w:r>
                  <w:r>
                    <w:rPr>
                      <w:rFonts w:hint="eastAsia" w:eastAsia="宋体"/>
                      <w:b w:val="0"/>
                      <w:bCs w:val="0"/>
                      <w:color w:val="auto"/>
                      <w:kern w:val="2"/>
                      <w:sz w:val="21"/>
                      <w:szCs w:val="21"/>
                      <w:highlight w:val="none"/>
                      <w:lang w:val="en-US" w:eastAsia="zh-CN"/>
                    </w:rPr>
                    <w:t>+</w:t>
                  </w:r>
                  <w:r>
                    <w:rPr>
                      <w:rFonts w:hint="default" w:ascii="Times New Roman" w:hAnsi="Times New Roman" w:eastAsia="宋体" w:cs="Times New Roman"/>
                      <w:b w:val="0"/>
                      <w:bCs w:val="0"/>
                      <w:sz w:val="21"/>
                      <w:szCs w:val="21"/>
                      <w:highlight w:val="none"/>
                      <w:lang w:val="en-US" w:eastAsia="zh-CN"/>
                    </w:rPr>
                    <w:t>15m高排气筒（DA00</w:t>
                  </w:r>
                  <w:r>
                    <w:rPr>
                      <w:rFonts w:hint="eastAsia" w:eastAsia="宋体" w:cs="Times New Roman"/>
                      <w:b w:val="0"/>
                      <w:bCs w:val="0"/>
                      <w:sz w:val="21"/>
                      <w:szCs w:val="21"/>
                      <w:highlight w:val="none"/>
                      <w:lang w:val="en-US" w:eastAsia="zh-CN"/>
                    </w:rPr>
                    <w:t>5</w:t>
                  </w:r>
                  <w:r>
                    <w:rPr>
                      <w:rFonts w:hint="default" w:ascii="Times New Roman" w:hAnsi="Times New Roman" w:eastAsia="宋体" w:cs="Times New Roman"/>
                      <w:b w:val="0"/>
                      <w:bCs w:val="0"/>
                      <w:sz w:val="21"/>
                      <w:szCs w:val="21"/>
                      <w:highlight w:val="none"/>
                      <w:lang w:val="en-US" w:eastAsia="zh-CN"/>
                    </w:rPr>
                    <w:t>）</w:t>
                  </w:r>
                  <w:r>
                    <w:rPr>
                      <w:rFonts w:hint="eastAsia" w:ascii="Times New Roman" w:hAnsi="Times New Roman" w:eastAsia="宋体" w:cs="Times New Roman"/>
                      <w:b w:val="0"/>
                      <w:bCs w:val="0"/>
                      <w:sz w:val="21"/>
                      <w:szCs w:val="21"/>
                      <w:highlight w:val="none"/>
                      <w:lang w:val="en-US" w:eastAsia="zh-CN"/>
                    </w:rPr>
                    <w:t>。</w:t>
                  </w:r>
                </w:p>
              </w:tc>
              <w:tc>
                <w:tcPr>
                  <w:tcW w:w="920" w:type="dxa"/>
                  <w:vMerge w:val="continue"/>
                  <w:noWrap w:val="0"/>
                  <w:vAlign w:val="center"/>
                </w:tcPr>
                <w:p w14:paraId="15CFDAB5">
                  <w:pPr>
                    <w:pStyle w:val="3"/>
                    <w:snapToGrid/>
                    <w:spacing w:before="0" w:after="0" w:line="240" w:lineRule="exact"/>
                    <w:ind w:left="0" w:firstLine="0"/>
                    <w:jc w:val="center"/>
                    <w:rPr>
                      <w:rFonts w:hint="eastAsia" w:eastAsia="宋体"/>
                      <w:color w:val="auto"/>
                      <w:kern w:val="2"/>
                      <w:sz w:val="21"/>
                      <w:szCs w:val="21"/>
                    </w:rPr>
                  </w:pPr>
                </w:p>
              </w:tc>
              <w:tc>
                <w:tcPr>
                  <w:tcW w:w="910" w:type="dxa"/>
                  <w:noWrap w:val="0"/>
                  <w:vAlign w:val="center"/>
                </w:tcPr>
                <w:p w14:paraId="796024AB">
                  <w:pPr>
                    <w:pStyle w:val="3"/>
                    <w:snapToGrid/>
                    <w:spacing w:before="0" w:after="0" w:line="240" w:lineRule="exact"/>
                    <w:ind w:left="0" w:firstLine="0"/>
                    <w:jc w:val="center"/>
                    <w:rPr>
                      <w:rFonts w:hint="default" w:eastAsia="宋体"/>
                      <w:color w:val="auto"/>
                      <w:kern w:val="2"/>
                      <w:sz w:val="21"/>
                      <w:szCs w:val="21"/>
                      <w:lang w:val="en-US" w:eastAsia="zh-CN"/>
                    </w:rPr>
                  </w:pPr>
                  <w:r>
                    <w:rPr>
                      <w:rFonts w:hint="eastAsia" w:eastAsia="宋体"/>
                      <w:color w:val="auto"/>
                      <w:kern w:val="2"/>
                      <w:sz w:val="21"/>
                      <w:szCs w:val="21"/>
                      <w:lang w:val="en-US" w:eastAsia="zh-CN"/>
                    </w:rPr>
                    <w:t>/</w:t>
                  </w:r>
                </w:p>
              </w:tc>
              <w:tc>
                <w:tcPr>
                  <w:tcW w:w="797" w:type="dxa"/>
                  <w:noWrap w:val="0"/>
                  <w:vAlign w:val="center"/>
                </w:tcPr>
                <w:p w14:paraId="2F176596">
                  <w:pPr>
                    <w:pStyle w:val="3"/>
                    <w:snapToGrid/>
                    <w:spacing w:before="0" w:after="0" w:line="240" w:lineRule="exact"/>
                    <w:ind w:left="0" w:firstLine="0"/>
                    <w:jc w:val="center"/>
                    <w:rPr>
                      <w:rFonts w:hint="default" w:eastAsia="宋体"/>
                      <w:b w:val="0"/>
                      <w:bCs w:val="0"/>
                      <w:color w:val="auto"/>
                      <w:kern w:val="2"/>
                      <w:sz w:val="21"/>
                      <w:szCs w:val="21"/>
                      <w:lang w:val="en-US" w:eastAsia="zh-CN"/>
                    </w:rPr>
                  </w:pPr>
                  <w:r>
                    <w:rPr>
                      <w:rFonts w:hint="eastAsia" w:eastAsia="宋体"/>
                      <w:b w:val="0"/>
                      <w:bCs w:val="0"/>
                      <w:color w:val="auto"/>
                      <w:kern w:val="2"/>
                      <w:sz w:val="21"/>
                      <w:szCs w:val="21"/>
                      <w:lang w:val="en-US" w:eastAsia="zh-CN"/>
                    </w:rPr>
                    <w:t>新建</w:t>
                  </w:r>
                </w:p>
              </w:tc>
            </w:tr>
            <w:tr w14:paraId="6464319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continue"/>
                  <w:noWrap w:val="0"/>
                  <w:vAlign w:val="center"/>
                </w:tcPr>
                <w:p w14:paraId="5C2D790E">
                  <w:pPr>
                    <w:pStyle w:val="3"/>
                    <w:snapToGrid/>
                    <w:spacing w:before="0" w:after="0" w:line="240" w:lineRule="exact"/>
                    <w:ind w:left="0" w:firstLine="0"/>
                    <w:jc w:val="center"/>
                    <w:rPr>
                      <w:rFonts w:hint="eastAsia" w:eastAsia="宋体"/>
                      <w:color w:val="auto"/>
                      <w:kern w:val="2"/>
                      <w:sz w:val="21"/>
                      <w:szCs w:val="21"/>
                    </w:rPr>
                  </w:pPr>
                </w:p>
              </w:tc>
              <w:tc>
                <w:tcPr>
                  <w:tcW w:w="795" w:type="dxa"/>
                  <w:vMerge w:val="continue"/>
                  <w:noWrap w:val="0"/>
                  <w:vAlign w:val="center"/>
                </w:tcPr>
                <w:p w14:paraId="2ED833DD">
                  <w:pPr>
                    <w:pStyle w:val="3"/>
                    <w:snapToGrid/>
                    <w:spacing w:before="0" w:after="0" w:line="240" w:lineRule="exact"/>
                    <w:ind w:left="0" w:firstLine="0"/>
                    <w:jc w:val="center"/>
                    <w:rPr>
                      <w:rFonts w:hint="eastAsia" w:eastAsia="宋体"/>
                      <w:color w:val="auto"/>
                      <w:kern w:val="2"/>
                      <w:sz w:val="21"/>
                      <w:szCs w:val="21"/>
                    </w:rPr>
                  </w:pPr>
                </w:p>
              </w:tc>
              <w:tc>
                <w:tcPr>
                  <w:tcW w:w="3976" w:type="dxa"/>
                  <w:noWrap w:val="0"/>
                  <w:vAlign w:val="center"/>
                </w:tcPr>
                <w:p w14:paraId="5033FFA3">
                  <w:pPr>
                    <w:pStyle w:val="3"/>
                    <w:snapToGrid/>
                    <w:spacing w:before="0" w:after="0" w:line="240" w:lineRule="exact"/>
                    <w:ind w:left="0" w:firstLine="0"/>
                    <w:jc w:val="center"/>
                    <w:rPr>
                      <w:rFonts w:hint="default" w:eastAsia="宋体"/>
                      <w:b/>
                      <w:bCs/>
                      <w:color w:val="auto"/>
                      <w:kern w:val="2"/>
                      <w:sz w:val="21"/>
                      <w:szCs w:val="21"/>
                      <w:highlight w:val="none"/>
                      <w:lang w:val="en-US" w:eastAsia="zh-CN"/>
                    </w:rPr>
                  </w:pPr>
                  <w:r>
                    <w:rPr>
                      <w:rFonts w:hint="eastAsia" w:eastAsia="宋体"/>
                      <w:b/>
                      <w:bCs/>
                      <w:color w:val="auto"/>
                      <w:kern w:val="2"/>
                      <w:sz w:val="21"/>
                      <w:szCs w:val="21"/>
                      <w:highlight w:val="none"/>
                      <w:lang w:val="en-US" w:eastAsia="zh-CN"/>
                    </w:rPr>
                    <w:t>⑥成品煤粉仓粉尘：</w:t>
                  </w:r>
                  <w:r>
                    <w:rPr>
                      <w:rFonts w:hint="eastAsia" w:eastAsia="宋体"/>
                      <w:b w:val="0"/>
                      <w:bCs w:val="0"/>
                      <w:color w:val="auto"/>
                      <w:kern w:val="2"/>
                      <w:sz w:val="21"/>
                      <w:szCs w:val="21"/>
                      <w:highlight w:val="none"/>
                      <w:lang w:val="en-US" w:eastAsia="zh-CN"/>
                    </w:rPr>
                    <w:t>经筒仓顶部自带的除尘器处理后再车间呈无组织排放。</w:t>
                  </w:r>
                </w:p>
              </w:tc>
              <w:tc>
                <w:tcPr>
                  <w:tcW w:w="920" w:type="dxa"/>
                  <w:vMerge w:val="continue"/>
                  <w:noWrap w:val="0"/>
                  <w:vAlign w:val="center"/>
                </w:tcPr>
                <w:p w14:paraId="3231ABB3">
                  <w:pPr>
                    <w:pStyle w:val="3"/>
                    <w:snapToGrid/>
                    <w:spacing w:before="0" w:after="0" w:line="240" w:lineRule="exact"/>
                    <w:ind w:left="0" w:firstLine="0"/>
                    <w:jc w:val="center"/>
                    <w:rPr>
                      <w:rFonts w:hint="eastAsia" w:eastAsia="宋体"/>
                      <w:color w:val="auto"/>
                      <w:kern w:val="2"/>
                      <w:sz w:val="21"/>
                      <w:szCs w:val="21"/>
                    </w:rPr>
                  </w:pPr>
                </w:p>
              </w:tc>
              <w:tc>
                <w:tcPr>
                  <w:tcW w:w="910" w:type="dxa"/>
                  <w:noWrap w:val="0"/>
                  <w:vAlign w:val="center"/>
                </w:tcPr>
                <w:p w14:paraId="20951134">
                  <w:pPr>
                    <w:pStyle w:val="3"/>
                    <w:snapToGrid/>
                    <w:spacing w:before="0" w:after="0" w:line="240" w:lineRule="exact"/>
                    <w:ind w:left="0" w:firstLine="0"/>
                    <w:jc w:val="center"/>
                    <w:rPr>
                      <w:rFonts w:hint="default" w:eastAsia="宋体"/>
                      <w:color w:val="auto"/>
                      <w:kern w:val="2"/>
                      <w:sz w:val="21"/>
                      <w:szCs w:val="21"/>
                      <w:lang w:val="en-US" w:eastAsia="zh-CN"/>
                    </w:rPr>
                  </w:pPr>
                  <w:r>
                    <w:rPr>
                      <w:rFonts w:hint="eastAsia" w:eastAsia="宋体"/>
                      <w:color w:val="auto"/>
                      <w:kern w:val="2"/>
                      <w:sz w:val="21"/>
                      <w:szCs w:val="21"/>
                      <w:lang w:val="en-US" w:eastAsia="zh-CN"/>
                    </w:rPr>
                    <w:t>/</w:t>
                  </w:r>
                </w:p>
              </w:tc>
              <w:tc>
                <w:tcPr>
                  <w:tcW w:w="797" w:type="dxa"/>
                  <w:noWrap w:val="0"/>
                  <w:vAlign w:val="center"/>
                </w:tcPr>
                <w:p w14:paraId="540D5A8C">
                  <w:pPr>
                    <w:pStyle w:val="3"/>
                    <w:snapToGrid/>
                    <w:spacing w:before="0" w:after="0" w:line="240" w:lineRule="exact"/>
                    <w:ind w:left="0" w:firstLine="0"/>
                    <w:jc w:val="center"/>
                    <w:rPr>
                      <w:rFonts w:hint="default" w:eastAsia="宋体"/>
                      <w:b w:val="0"/>
                      <w:bCs w:val="0"/>
                      <w:color w:val="auto"/>
                      <w:kern w:val="2"/>
                      <w:sz w:val="21"/>
                      <w:szCs w:val="21"/>
                      <w:lang w:val="en-US" w:eastAsia="zh-CN"/>
                    </w:rPr>
                  </w:pPr>
                  <w:r>
                    <w:rPr>
                      <w:rFonts w:hint="eastAsia" w:eastAsia="宋体"/>
                      <w:b w:val="0"/>
                      <w:bCs w:val="0"/>
                      <w:color w:val="auto"/>
                      <w:kern w:val="2"/>
                      <w:sz w:val="21"/>
                      <w:szCs w:val="21"/>
                      <w:lang w:val="en-US" w:eastAsia="zh-CN"/>
                    </w:rPr>
                    <w:t>新建</w:t>
                  </w:r>
                </w:p>
              </w:tc>
            </w:tr>
            <w:tr w14:paraId="10544F7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continue"/>
                  <w:noWrap w:val="0"/>
                  <w:vAlign w:val="center"/>
                </w:tcPr>
                <w:p w14:paraId="2086A0D1">
                  <w:pPr>
                    <w:pStyle w:val="3"/>
                    <w:snapToGrid/>
                    <w:spacing w:before="0" w:after="0" w:line="240" w:lineRule="exact"/>
                    <w:ind w:left="0" w:firstLine="0"/>
                    <w:jc w:val="center"/>
                    <w:rPr>
                      <w:rFonts w:hint="eastAsia" w:eastAsia="宋体"/>
                      <w:color w:val="auto"/>
                      <w:kern w:val="2"/>
                      <w:sz w:val="21"/>
                      <w:szCs w:val="21"/>
                    </w:rPr>
                  </w:pPr>
                </w:p>
              </w:tc>
              <w:tc>
                <w:tcPr>
                  <w:tcW w:w="795" w:type="dxa"/>
                  <w:vMerge w:val="continue"/>
                  <w:noWrap w:val="0"/>
                  <w:vAlign w:val="center"/>
                </w:tcPr>
                <w:p w14:paraId="29C8077B">
                  <w:pPr>
                    <w:pStyle w:val="3"/>
                    <w:snapToGrid/>
                    <w:spacing w:before="0" w:after="0" w:line="240" w:lineRule="exact"/>
                    <w:ind w:left="0" w:firstLine="0"/>
                    <w:jc w:val="center"/>
                    <w:rPr>
                      <w:rFonts w:hint="eastAsia" w:eastAsia="宋体"/>
                      <w:color w:val="auto"/>
                      <w:kern w:val="2"/>
                      <w:sz w:val="21"/>
                      <w:szCs w:val="21"/>
                    </w:rPr>
                  </w:pPr>
                </w:p>
              </w:tc>
              <w:tc>
                <w:tcPr>
                  <w:tcW w:w="3976" w:type="dxa"/>
                  <w:noWrap w:val="0"/>
                  <w:vAlign w:val="center"/>
                </w:tcPr>
                <w:p w14:paraId="4F067B1C">
                  <w:pPr>
                    <w:pStyle w:val="3"/>
                    <w:snapToGrid/>
                    <w:spacing w:before="0" w:after="0" w:line="240" w:lineRule="exact"/>
                    <w:ind w:left="0" w:firstLine="0"/>
                    <w:jc w:val="center"/>
                    <w:rPr>
                      <w:rFonts w:hint="default" w:eastAsia="宋体"/>
                      <w:b/>
                      <w:bCs/>
                      <w:color w:val="auto"/>
                      <w:kern w:val="2"/>
                      <w:sz w:val="21"/>
                      <w:szCs w:val="21"/>
                      <w:highlight w:val="none"/>
                      <w:lang w:val="en-US" w:eastAsia="zh-CN"/>
                    </w:rPr>
                  </w:pPr>
                  <w:r>
                    <w:rPr>
                      <w:rFonts w:hint="eastAsia" w:eastAsia="宋体"/>
                      <w:b/>
                      <w:bCs/>
                      <w:color w:val="auto"/>
                      <w:kern w:val="2"/>
                      <w:sz w:val="21"/>
                      <w:szCs w:val="21"/>
                      <w:highlight w:val="none"/>
                      <w:lang w:val="en-US" w:eastAsia="zh-CN"/>
                    </w:rPr>
                    <w:t>⑦粉料筒仓粉尘：</w:t>
                  </w:r>
                  <w:r>
                    <w:rPr>
                      <w:rFonts w:hint="eastAsia" w:eastAsia="宋体"/>
                      <w:b w:val="0"/>
                      <w:bCs w:val="0"/>
                      <w:color w:val="auto"/>
                      <w:kern w:val="2"/>
                      <w:sz w:val="21"/>
                      <w:szCs w:val="21"/>
                      <w:highlight w:val="none"/>
                      <w:lang w:val="en-US" w:eastAsia="zh-CN"/>
                    </w:rPr>
                    <w:t>经筒仓顶部自带的除尘器处理后再车间呈无组织排放。</w:t>
                  </w:r>
                </w:p>
              </w:tc>
              <w:tc>
                <w:tcPr>
                  <w:tcW w:w="920" w:type="dxa"/>
                  <w:vMerge w:val="continue"/>
                  <w:noWrap w:val="0"/>
                  <w:vAlign w:val="center"/>
                </w:tcPr>
                <w:p w14:paraId="130E4588">
                  <w:pPr>
                    <w:pStyle w:val="3"/>
                    <w:snapToGrid/>
                    <w:spacing w:before="0" w:after="0" w:line="240" w:lineRule="exact"/>
                    <w:ind w:left="0" w:firstLine="0"/>
                    <w:jc w:val="center"/>
                    <w:rPr>
                      <w:rFonts w:hint="eastAsia" w:eastAsia="宋体"/>
                      <w:color w:val="auto"/>
                      <w:kern w:val="2"/>
                      <w:sz w:val="21"/>
                      <w:szCs w:val="21"/>
                    </w:rPr>
                  </w:pPr>
                </w:p>
              </w:tc>
              <w:tc>
                <w:tcPr>
                  <w:tcW w:w="910" w:type="dxa"/>
                  <w:noWrap w:val="0"/>
                  <w:vAlign w:val="center"/>
                </w:tcPr>
                <w:p w14:paraId="0DC34419">
                  <w:pPr>
                    <w:pStyle w:val="3"/>
                    <w:snapToGrid/>
                    <w:spacing w:before="0" w:after="0" w:line="240" w:lineRule="exact"/>
                    <w:ind w:left="0" w:firstLine="0"/>
                    <w:jc w:val="center"/>
                    <w:rPr>
                      <w:rFonts w:hint="default" w:eastAsia="宋体"/>
                      <w:color w:val="auto"/>
                      <w:kern w:val="2"/>
                      <w:sz w:val="21"/>
                      <w:szCs w:val="21"/>
                      <w:lang w:val="en-US" w:eastAsia="zh-CN"/>
                    </w:rPr>
                  </w:pPr>
                  <w:r>
                    <w:rPr>
                      <w:rFonts w:hint="eastAsia" w:eastAsia="宋体"/>
                      <w:color w:val="auto"/>
                      <w:kern w:val="2"/>
                      <w:sz w:val="21"/>
                      <w:szCs w:val="21"/>
                      <w:lang w:val="en-US" w:eastAsia="zh-CN"/>
                    </w:rPr>
                    <w:t>/</w:t>
                  </w:r>
                </w:p>
              </w:tc>
              <w:tc>
                <w:tcPr>
                  <w:tcW w:w="797" w:type="dxa"/>
                  <w:noWrap w:val="0"/>
                  <w:vAlign w:val="center"/>
                </w:tcPr>
                <w:p w14:paraId="3D4CBB21">
                  <w:pPr>
                    <w:pStyle w:val="3"/>
                    <w:snapToGrid/>
                    <w:spacing w:before="0" w:after="0" w:line="240" w:lineRule="exact"/>
                    <w:ind w:left="0" w:firstLine="0"/>
                    <w:jc w:val="center"/>
                    <w:rPr>
                      <w:rFonts w:hint="default" w:eastAsia="宋体"/>
                      <w:b w:val="0"/>
                      <w:bCs w:val="0"/>
                      <w:color w:val="auto"/>
                      <w:kern w:val="2"/>
                      <w:sz w:val="21"/>
                      <w:szCs w:val="21"/>
                      <w:lang w:val="en-US" w:eastAsia="zh-CN"/>
                    </w:rPr>
                  </w:pPr>
                  <w:r>
                    <w:rPr>
                      <w:rFonts w:hint="eastAsia" w:eastAsia="宋体"/>
                      <w:b w:val="0"/>
                      <w:bCs w:val="0"/>
                      <w:color w:val="auto"/>
                      <w:kern w:val="2"/>
                      <w:sz w:val="21"/>
                      <w:szCs w:val="21"/>
                      <w:lang w:val="en-US" w:eastAsia="zh-CN"/>
                    </w:rPr>
                    <w:t>利旧</w:t>
                  </w:r>
                </w:p>
              </w:tc>
            </w:tr>
            <w:tr w14:paraId="35DDE26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528" w:hRule="atLeast"/>
                <w:jc w:val="center"/>
              </w:trPr>
              <w:tc>
                <w:tcPr>
                  <w:tcW w:w="692" w:type="dxa"/>
                  <w:vMerge w:val="continue"/>
                  <w:noWrap w:val="0"/>
                  <w:vAlign w:val="center"/>
                </w:tcPr>
                <w:p w14:paraId="1C037522">
                  <w:pPr>
                    <w:pStyle w:val="3"/>
                    <w:snapToGrid/>
                    <w:spacing w:before="0" w:after="0" w:line="240" w:lineRule="exact"/>
                    <w:ind w:left="0" w:firstLine="0"/>
                    <w:jc w:val="center"/>
                    <w:rPr>
                      <w:rFonts w:hint="eastAsia" w:eastAsia="宋体"/>
                      <w:color w:val="auto"/>
                      <w:kern w:val="2"/>
                      <w:sz w:val="21"/>
                      <w:szCs w:val="21"/>
                    </w:rPr>
                  </w:pPr>
                </w:p>
              </w:tc>
              <w:tc>
                <w:tcPr>
                  <w:tcW w:w="795" w:type="dxa"/>
                  <w:vMerge w:val="continue"/>
                  <w:noWrap w:val="0"/>
                  <w:vAlign w:val="center"/>
                </w:tcPr>
                <w:p w14:paraId="66FA1A9F">
                  <w:pPr>
                    <w:pStyle w:val="3"/>
                    <w:snapToGrid/>
                    <w:spacing w:before="0" w:after="0" w:line="240" w:lineRule="exact"/>
                    <w:ind w:left="0" w:firstLine="0"/>
                    <w:jc w:val="center"/>
                    <w:rPr>
                      <w:rFonts w:hint="eastAsia" w:eastAsia="宋体"/>
                      <w:color w:val="auto"/>
                      <w:kern w:val="2"/>
                      <w:sz w:val="21"/>
                      <w:szCs w:val="21"/>
                    </w:rPr>
                  </w:pPr>
                </w:p>
              </w:tc>
              <w:tc>
                <w:tcPr>
                  <w:tcW w:w="3976" w:type="dxa"/>
                  <w:noWrap w:val="0"/>
                  <w:vAlign w:val="center"/>
                </w:tcPr>
                <w:p w14:paraId="331AAFC3">
                  <w:pPr>
                    <w:pStyle w:val="3"/>
                    <w:snapToGrid/>
                    <w:spacing w:before="0" w:after="0" w:line="240" w:lineRule="exact"/>
                    <w:ind w:left="0" w:firstLine="0"/>
                    <w:jc w:val="center"/>
                    <w:rPr>
                      <w:rFonts w:hint="default" w:eastAsia="宋体"/>
                      <w:b/>
                      <w:bCs/>
                      <w:color w:val="auto"/>
                      <w:kern w:val="2"/>
                      <w:sz w:val="21"/>
                      <w:szCs w:val="21"/>
                      <w:highlight w:val="none"/>
                      <w:lang w:val="en-US" w:eastAsia="zh-CN"/>
                    </w:rPr>
                  </w:pPr>
                  <w:r>
                    <w:rPr>
                      <w:rFonts w:hint="eastAsia" w:eastAsia="宋体"/>
                      <w:color w:val="auto"/>
                      <w:kern w:val="2"/>
                      <w:sz w:val="21"/>
                      <w:szCs w:val="21"/>
                      <w:lang w:val="en-US" w:eastAsia="zh-CN"/>
                    </w:rPr>
                    <w:t>⑧</w:t>
                  </w:r>
                  <w:r>
                    <w:rPr>
                      <w:rFonts w:hint="eastAsia" w:eastAsia="宋体"/>
                      <w:b/>
                      <w:bCs/>
                      <w:color w:val="auto"/>
                      <w:kern w:val="2"/>
                      <w:sz w:val="21"/>
                      <w:szCs w:val="21"/>
                      <w:highlight w:val="none"/>
                      <w:lang w:val="en-US" w:eastAsia="zh-CN"/>
                    </w:rPr>
                    <w:t>食堂油烟：</w:t>
                  </w:r>
                  <w:r>
                    <w:rPr>
                      <w:rFonts w:hint="eastAsia" w:eastAsia="宋体"/>
                      <w:b w:val="0"/>
                      <w:bCs w:val="0"/>
                      <w:color w:val="auto"/>
                      <w:kern w:val="2"/>
                      <w:sz w:val="21"/>
                      <w:szCs w:val="21"/>
                      <w:highlight w:val="none"/>
                      <w:lang w:val="en-US" w:eastAsia="zh-CN"/>
                    </w:rPr>
                    <w:t>经油烟净化器（TA006）收集处理后由专用油烟通道引至屋顶排放（DA006）。</w:t>
                  </w:r>
                </w:p>
              </w:tc>
              <w:tc>
                <w:tcPr>
                  <w:tcW w:w="920" w:type="dxa"/>
                  <w:vMerge w:val="continue"/>
                  <w:noWrap w:val="0"/>
                  <w:vAlign w:val="center"/>
                </w:tcPr>
                <w:p w14:paraId="2BEEB188">
                  <w:pPr>
                    <w:pStyle w:val="3"/>
                    <w:snapToGrid/>
                    <w:spacing w:before="0" w:after="0" w:line="240" w:lineRule="exact"/>
                    <w:ind w:left="0" w:firstLine="0"/>
                    <w:jc w:val="center"/>
                    <w:rPr>
                      <w:rFonts w:hint="eastAsia" w:eastAsia="宋体"/>
                      <w:color w:val="auto"/>
                      <w:kern w:val="2"/>
                      <w:sz w:val="21"/>
                      <w:szCs w:val="21"/>
                    </w:rPr>
                  </w:pPr>
                </w:p>
              </w:tc>
              <w:tc>
                <w:tcPr>
                  <w:tcW w:w="910" w:type="dxa"/>
                  <w:noWrap w:val="0"/>
                  <w:vAlign w:val="center"/>
                </w:tcPr>
                <w:p w14:paraId="783CFF4A">
                  <w:pPr>
                    <w:pStyle w:val="3"/>
                    <w:snapToGrid/>
                    <w:spacing w:before="0" w:after="0" w:line="240" w:lineRule="exact"/>
                    <w:ind w:left="0" w:firstLine="0"/>
                    <w:jc w:val="center"/>
                    <w:rPr>
                      <w:rFonts w:hint="default" w:eastAsia="宋体"/>
                      <w:color w:val="auto"/>
                      <w:kern w:val="2"/>
                      <w:sz w:val="21"/>
                      <w:szCs w:val="21"/>
                      <w:lang w:val="en-US" w:eastAsia="zh-CN"/>
                    </w:rPr>
                  </w:pPr>
                  <w:r>
                    <w:rPr>
                      <w:rFonts w:hint="eastAsia" w:eastAsia="宋体"/>
                      <w:color w:val="auto"/>
                      <w:kern w:val="2"/>
                      <w:sz w:val="21"/>
                      <w:szCs w:val="21"/>
                      <w:lang w:val="en-US" w:eastAsia="zh-CN"/>
                    </w:rPr>
                    <w:t>/</w:t>
                  </w:r>
                </w:p>
              </w:tc>
              <w:tc>
                <w:tcPr>
                  <w:tcW w:w="797" w:type="dxa"/>
                  <w:noWrap w:val="0"/>
                  <w:vAlign w:val="center"/>
                </w:tcPr>
                <w:p w14:paraId="6A5DAC7C">
                  <w:pPr>
                    <w:pStyle w:val="3"/>
                    <w:snapToGrid/>
                    <w:spacing w:before="0" w:after="0" w:line="240" w:lineRule="exact"/>
                    <w:ind w:left="0" w:firstLine="0"/>
                    <w:jc w:val="center"/>
                    <w:rPr>
                      <w:rFonts w:hint="default" w:eastAsia="宋体"/>
                      <w:b w:val="0"/>
                      <w:bCs w:val="0"/>
                      <w:color w:val="auto"/>
                      <w:kern w:val="2"/>
                      <w:sz w:val="21"/>
                      <w:szCs w:val="21"/>
                      <w:lang w:val="en-US" w:eastAsia="zh-CN"/>
                    </w:rPr>
                  </w:pPr>
                  <w:r>
                    <w:rPr>
                      <w:rFonts w:hint="eastAsia" w:eastAsia="宋体"/>
                      <w:b w:val="0"/>
                      <w:bCs w:val="0"/>
                      <w:color w:val="auto"/>
                      <w:kern w:val="2"/>
                      <w:sz w:val="21"/>
                      <w:szCs w:val="21"/>
                      <w:lang w:val="en-US" w:eastAsia="zh-CN"/>
                    </w:rPr>
                    <w:t>新建</w:t>
                  </w:r>
                </w:p>
              </w:tc>
            </w:tr>
            <w:tr w14:paraId="40EFC2E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continue"/>
                  <w:noWrap w:val="0"/>
                  <w:vAlign w:val="center"/>
                </w:tcPr>
                <w:p w14:paraId="21A3D974">
                  <w:pPr>
                    <w:pStyle w:val="3"/>
                    <w:snapToGrid/>
                    <w:spacing w:before="0" w:after="0" w:line="240" w:lineRule="exact"/>
                    <w:ind w:left="0" w:firstLine="0"/>
                    <w:jc w:val="center"/>
                    <w:rPr>
                      <w:rFonts w:hint="eastAsia" w:eastAsia="宋体"/>
                      <w:color w:val="auto"/>
                      <w:kern w:val="2"/>
                      <w:sz w:val="21"/>
                      <w:szCs w:val="21"/>
                    </w:rPr>
                  </w:pPr>
                </w:p>
              </w:tc>
              <w:tc>
                <w:tcPr>
                  <w:tcW w:w="795" w:type="dxa"/>
                  <w:vMerge w:val="continue"/>
                  <w:noWrap w:val="0"/>
                  <w:vAlign w:val="center"/>
                </w:tcPr>
                <w:p w14:paraId="4678FF97">
                  <w:pPr>
                    <w:pStyle w:val="3"/>
                    <w:snapToGrid/>
                    <w:spacing w:before="0" w:after="0" w:line="240" w:lineRule="exact"/>
                    <w:ind w:left="0" w:firstLine="0"/>
                    <w:jc w:val="center"/>
                    <w:rPr>
                      <w:rFonts w:hint="eastAsia" w:eastAsia="宋体"/>
                      <w:color w:val="auto"/>
                      <w:kern w:val="2"/>
                      <w:sz w:val="21"/>
                      <w:szCs w:val="21"/>
                    </w:rPr>
                  </w:pPr>
                </w:p>
              </w:tc>
              <w:tc>
                <w:tcPr>
                  <w:tcW w:w="3976" w:type="dxa"/>
                  <w:noWrap w:val="0"/>
                  <w:vAlign w:val="center"/>
                </w:tcPr>
                <w:p w14:paraId="4F0F5851">
                  <w:pPr>
                    <w:pStyle w:val="3"/>
                    <w:snapToGrid/>
                    <w:spacing w:before="0" w:after="0" w:line="240" w:lineRule="exact"/>
                    <w:ind w:left="0" w:firstLine="0"/>
                    <w:jc w:val="center"/>
                    <w:rPr>
                      <w:rFonts w:hint="default" w:eastAsia="宋体"/>
                      <w:color w:val="auto"/>
                      <w:kern w:val="2"/>
                      <w:sz w:val="21"/>
                      <w:szCs w:val="21"/>
                      <w:lang w:val="en-US" w:eastAsia="zh-CN"/>
                    </w:rPr>
                  </w:pPr>
                  <w:r>
                    <w:rPr>
                      <w:rFonts w:hint="eastAsia" w:eastAsia="宋体"/>
                      <w:color w:val="auto"/>
                      <w:kern w:val="2"/>
                      <w:sz w:val="21"/>
                      <w:szCs w:val="21"/>
                      <w:lang w:val="en-US" w:eastAsia="zh-CN"/>
                    </w:rPr>
                    <w:t>⑨生产检测中心有机废气：</w:t>
                  </w:r>
                  <w:r>
                    <w:rPr>
                      <w:rFonts w:hint="eastAsia" w:eastAsia="宋体"/>
                      <w:b w:val="0"/>
                      <w:bCs w:val="0"/>
                      <w:color w:val="auto"/>
                      <w:kern w:val="2"/>
                      <w:sz w:val="21"/>
                      <w:szCs w:val="21"/>
                      <w:lang w:val="en-US" w:eastAsia="zh-CN"/>
                    </w:rPr>
                    <w:t>加强通风。</w:t>
                  </w:r>
                </w:p>
              </w:tc>
              <w:tc>
                <w:tcPr>
                  <w:tcW w:w="920" w:type="dxa"/>
                  <w:vMerge w:val="continue"/>
                  <w:noWrap w:val="0"/>
                  <w:vAlign w:val="center"/>
                </w:tcPr>
                <w:p w14:paraId="092370EC">
                  <w:pPr>
                    <w:pStyle w:val="3"/>
                    <w:snapToGrid/>
                    <w:spacing w:before="0" w:after="0" w:line="240" w:lineRule="exact"/>
                    <w:ind w:left="0" w:firstLine="0"/>
                    <w:jc w:val="center"/>
                    <w:rPr>
                      <w:rFonts w:hint="eastAsia" w:eastAsia="宋体"/>
                      <w:color w:val="auto"/>
                      <w:kern w:val="2"/>
                      <w:sz w:val="21"/>
                      <w:szCs w:val="21"/>
                    </w:rPr>
                  </w:pPr>
                </w:p>
              </w:tc>
              <w:tc>
                <w:tcPr>
                  <w:tcW w:w="910" w:type="dxa"/>
                  <w:noWrap w:val="0"/>
                  <w:vAlign w:val="center"/>
                </w:tcPr>
                <w:p w14:paraId="5A1D08B2">
                  <w:pPr>
                    <w:pStyle w:val="3"/>
                    <w:snapToGrid/>
                    <w:spacing w:before="0" w:after="0" w:line="240" w:lineRule="exact"/>
                    <w:ind w:left="0" w:firstLine="0"/>
                    <w:jc w:val="center"/>
                    <w:rPr>
                      <w:rFonts w:hint="eastAsia" w:eastAsia="宋体"/>
                      <w:color w:val="auto"/>
                      <w:kern w:val="2"/>
                      <w:sz w:val="21"/>
                      <w:szCs w:val="21"/>
                    </w:rPr>
                  </w:pPr>
                  <w:r>
                    <w:rPr>
                      <w:rFonts w:hint="eastAsia" w:eastAsia="宋体"/>
                      <w:color w:val="auto"/>
                      <w:kern w:val="2"/>
                      <w:sz w:val="21"/>
                      <w:szCs w:val="21"/>
                    </w:rPr>
                    <w:t>/</w:t>
                  </w:r>
                </w:p>
              </w:tc>
              <w:tc>
                <w:tcPr>
                  <w:tcW w:w="797" w:type="dxa"/>
                  <w:noWrap w:val="0"/>
                  <w:vAlign w:val="center"/>
                </w:tcPr>
                <w:p w14:paraId="53D8777A">
                  <w:pPr>
                    <w:pStyle w:val="3"/>
                    <w:snapToGrid/>
                    <w:spacing w:before="0" w:after="0" w:line="240" w:lineRule="exact"/>
                    <w:ind w:left="0" w:firstLine="0"/>
                    <w:jc w:val="center"/>
                    <w:rPr>
                      <w:rFonts w:hint="eastAsia" w:eastAsia="宋体"/>
                      <w:b w:val="0"/>
                      <w:bCs w:val="0"/>
                      <w:color w:val="auto"/>
                      <w:kern w:val="2"/>
                      <w:sz w:val="21"/>
                      <w:szCs w:val="21"/>
                      <w:lang w:eastAsia="zh-CN"/>
                    </w:rPr>
                  </w:pPr>
                  <w:r>
                    <w:rPr>
                      <w:rFonts w:hint="eastAsia" w:eastAsia="宋体"/>
                      <w:b w:val="0"/>
                      <w:bCs w:val="0"/>
                      <w:color w:val="auto"/>
                      <w:kern w:val="2"/>
                      <w:sz w:val="21"/>
                      <w:szCs w:val="21"/>
                      <w:lang w:val="en-US" w:eastAsia="zh-CN"/>
                    </w:rPr>
                    <w:t>利旧</w:t>
                  </w:r>
                </w:p>
              </w:tc>
            </w:tr>
            <w:tr w14:paraId="7ACB315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continue"/>
                  <w:noWrap w:val="0"/>
                  <w:vAlign w:val="center"/>
                </w:tcPr>
                <w:p w14:paraId="598894E3">
                  <w:pPr>
                    <w:pStyle w:val="3"/>
                    <w:snapToGrid/>
                    <w:spacing w:before="0" w:after="0" w:line="240" w:lineRule="exact"/>
                    <w:ind w:left="0" w:firstLine="0"/>
                    <w:jc w:val="center"/>
                    <w:rPr>
                      <w:rFonts w:hint="eastAsia" w:eastAsia="宋体"/>
                      <w:color w:val="auto"/>
                      <w:kern w:val="2"/>
                      <w:sz w:val="21"/>
                      <w:szCs w:val="21"/>
                    </w:rPr>
                  </w:pPr>
                </w:p>
              </w:tc>
              <w:tc>
                <w:tcPr>
                  <w:tcW w:w="795" w:type="dxa"/>
                  <w:vMerge w:val="continue"/>
                  <w:noWrap w:val="0"/>
                  <w:vAlign w:val="center"/>
                </w:tcPr>
                <w:p w14:paraId="18083849">
                  <w:pPr>
                    <w:pStyle w:val="3"/>
                    <w:snapToGrid/>
                    <w:spacing w:before="0" w:after="0" w:line="240" w:lineRule="exact"/>
                    <w:ind w:left="0" w:firstLine="0"/>
                    <w:jc w:val="center"/>
                    <w:rPr>
                      <w:rFonts w:hint="eastAsia" w:eastAsia="宋体"/>
                      <w:color w:val="auto"/>
                      <w:kern w:val="2"/>
                      <w:sz w:val="21"/>
                      <w:szCs w:val="21"/>
                    </w:rPr>
                  </w:pPr>
                </w:p>
              </w:tc>
              <w:tc>
                <w:tcPr>
                  <w:tcW w:w="3976" w:type="dxa"/>
                  <w:noWrap w:val="0"/>
                  <w:vAlign w:val="center"/>
                </w:tcPr>
                <w:p w14:paraId="1B9917B0">
                  <w:pPr>
                    <w:pStyle w:val="3"/>
                    <w:snapToGrid/>
                    <w:spacing w:before="0" w:after="0" w:line="240" w:lineRule="exact"/>
                    <w:ind w:left="0" w:firstLine="0"/>
                    <w:jc w:val="center"/>
                    <w:rPr>
                      <w:rFonts w:hint="default" w:eastAsia="宋体"/>
                      <w:color w:val="auto"/>
                      <w:kern w:val="2"/>
                      <w:sz w:val="21"/>
                      <w:szCs w:val="21"/>
                      <w:lang w:val="en-US" w:eastAsia="zh-CN"/>
                    </w:rPr>
                  </w:pPr>
                  <w:r>
                    <w:rPr>
                      <w:rFonts w:hint="eastAsia" w:eastAsia="宋体"/>
                      <w:color w:val="auto"/>
                      <w:kern w:val="2"/>
                      <w:sz w:val="21"/>
                      <w:szCs w:val="21"/>
                      <w:lang w:val="en-US" w:eastAsia="zh-CN"/>
                    </w:rPr>
                    <w:t>⑩原料投料、装卸、堆场扬尘：</w:t>
                  </w:r>
                  <w:r>
                    <w:rPr>
                      <w:rFonts w:hint="eastAsia" w:eastAsia="宋体"/>
                      <w:b w:val="0"/>
                      <w:bCs w:val="0"/>
                      <w:color w:val="auto"/>
                      <w:kern w:val="2"/>
                      <w:sz w:val="21"/>
                      <w:szCs w:val="21"/>
                      <w:lang w:val="en-US" w:eastAsia="zh-CN"/>
                    </w:rPr>
                    <w:t>封闭厂房+喷雾降尘。</w:t>
                  </w:r>
                </w:p>
              </w:tc>
              <w:tc>
                <w:tcPr>
                  <w:tcW w:w="920" w:type="dxa"/>
                  <w:vMerge w:val="continue"/>
                  <w:noWrap w:val="0"/>
                  <w:vAlign w:val="center"/>
                </w:tcPr>
                <w:p w14:paraId="6265EA2F">
                  <w:pPr>
                    <w:pStyle w:val="3"/>
                    <w:snapToGrid/>
                    <w:spacing w:before="0" w:after="0" w:line="240" w:lineRule="exact"/>
                    <w:ind w:left="0" w:firstLine="0"/>
                    <w:jc w:val="center"/>
                    <w:rPr>
                      <w:rFonts w:hint="eastAsia" w:eastAsia="宋体"/>
                      <w:color w:val="auto"/>
                      <w:kern w:val="2"/>
                      <w:sz w:val="21"/>
                      <w:szCs w:val="21"/>
                    </w:rPr>
                  </w:pPr>
                </w:p>
              </w:tc>
              <w:tc>
                <w:tcPr>
                  <w:tcW w:w="910" w:type="dxa"/>
                  <w:noWrap w:val="0"/>
                  <w:vAlign w:val="center"/>
                </w:tcPr>
                <w:p w14:paraId="32EA4E4C">
                  <w:pPr>
                    <w:pStyle w:val="3"/>
                    <w:snapToGrid/>
                    <w:spacing w:before="0" w:after="0" w:line="240" w:lineRule="exact"/>
                    <w:ind w:left="0" w:firstLine="0"/>
                    <w:jc w:val="center"/>
                    <w:rPr>
                      <w:rFonts w:hint="eastAsia" w:eastAsia="宋体"/>
                      <w:color w:val="auto"/>
                      <w:kern w:val="2"/>
                      <w:sz w:val="21"/>
                      <w:szCs w:val="21"/>
                      <w:lang w:val="en-US" w:eastAsia="zh-CN"/>
                    </w:rPr>
                  </w:pPr>
                  <w:r>
                    <w:rPr>
                      <w:rFonts w:hint="eastAsia" w:eastAsia="宋体"/>
                      <w:color w:val="auto"/>
                      <w:kern w:val="2"/>
                      <w:sz w:val="21"/>
                      <w:szCs w:val="21"/>
                      <w:lang w:val="en-US" w:eastAsia="zh-CN"/>
                    </w:rPr>
                    <w:t>/</w:t>
                  </w:r>
                </w:p>
              </w:tc>
              <w:tc>
                <w:tcPr>
                  <w:tcW w:w="797" w:type="dxa"/>
                  <w:noWrap w:val="0"/>
                  <w:vAlign w:val="center"/>
                </w:tcPr>
                <w:p w14:paraId="0ECB9DF1">
                  <w:pPr>
                    <w:pStyle w:val="3"/>
                    <w:snapToGrid/>
                    <w:spacing w:before="0" w:after="0" w:line="240" w:lineRule="exact"/>
                    <w:ind w:left="0" w:firstLine="0"/>
                    <w:jc w:val="center"/>
                    <w:rPr>
                      <w:rFonts w:hint="default" w:eastAsia="宋体"/>
                      <w:b w:val="0"/>
                      <w:bCs w:val="0"/>
                      <w:color w:val="auto"/>
                      <w:kern w:val="2"/>
                      <w:sz w:val="21"/>
                      <w:szCs w:val="21"/>
                      <w:lang w:val="en-US" w:eastAsia="zh-CN"/>
                    </w:rPr>
                  </w:pPr>
                  <w:r>
                    <w:rPr>
                      <w:rFonts w:hint="eastAsia" w:eastAsia="宋体"/>
                      <w:b w:val="0"/>
                      <w:bCs w:val="0"/>
                      <w:color w:val="auto"/>
                      <w:kern w:val="2"/>
                      <w:sz w:val="21"/>
                      <w:szCs w:val="21"/>
                      <w:lang w:val="en-US" w:eastAsia="zh-CN"/>
                    </w:rPr>
                    <w:t>利旧</w:t>
                  </w:r>
                </w:p>
              </w:tc>
            </w:tr>
            <w:tr w14:paraId="4BE72FB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continue"/>
                  <w:noWrap w:val="0"/>
                  <w:vAlign w:val="center"/>
                </w:tcPr>
                <w:p w14:paraId="76169B3C">
                  <w:pPr>
                    <w:pStyle w:val="80"/>
                    <w:tabs>
                      <w:tab w:val="clear" w:pos="0"/>
                    </w:tabs>
                    <w:spacing w:line="240" w:lineRule="exact"/>
                    <w:jc w:val="center"/>
                    <w:rPr>
                      <w:rFonts w:eastAsia="宋体"/>
                      <w:sz w:val="21"/>
                      <w:szCs w:val="21"/>
                    </w:rPr>
                  </w:pPr>
                </w:p>
              </w:tc>
              <w:tc>
                <w:tcPr>
                  <w:tcW w:w="795" w:type="dxa"/>
                  <w:noWrap w:val="0"/>
                  <w:vAlign w:val="center"/>
                </w:tcPr>
                <w:p w14:paraId="67297B55">
                  <w:pPr>
                    <w:pStyle w:val="80"/>
                    <w:tabs>
                      <w:tab w:val="clear" w:pos="0"/>
                    </w:tabs>
                    <w:spacing w:line="240" w:lineRule="exact"/>
                    <w:jc w:val="center"/>
                    <w:rPr>
                      <w:rFonts w:hint="eastAsia" w:eastAsia="宋体"/>
                      <w:sz w:val="21"/>
                      <w:szCs w:val="21"/>
                      <w:highlight w:val="yellow"/>
                    </w:rPr>
                  </w:pPr>
                  <w:r>
                    <w:rPr>
                      <w:rFonts w:hint="eastAsia" w:eastAsia="宋体"/>
                      <w:sz w:val="21"/>
                      <w:szCs w:val="21"/>
                      <w:highlight w:val="none"/>
                    </w:rPr>
                    <w:t>一般固废</w:t>
                  </w:r>
                </w:p>
              </w:tc>
              <w:tc>
                <w:tcPr>
                  <w:tcW w:w="3976" w:type="dxa"/>
                  <w:noWrap w:val="0"/>
                  <w:vAlign w:val="center"/>
                </w:tcPr>
                <w:p w14:paraId="2AADEF0B">
                  <w:pPr>
                    <w:spacing w:line="240" w:lineRule="exact"/>
                    <w:jc w:val="center"/>
                    <w:rPr>
                      <w:rFonts w:hint="default" w:eastAsia="宋体"/>
                      <w:szCs w:val="21"/>
                      <w:highlight w:val="yellow"/>
                      <w:lang w:val="en-US" w:eastAsia="zh-CN"/>
                    </w:rPr>
                  </w:pPr>
                  <w:r>
                    <w:rPr>
                      <w:rFonts w:hint="default" w:eastAsia="宋体"/>
                      <w:szCs w:val="21"/>
                      <w:highlight w:val="none"/>
                      <w:lang w:val="en-US" w:eastAsia="zh-CN"/>
                    </w:rPr>
                    <w:t>筛分废料由骨料供应商回收；拌合残渣、废沥青、沥青混凝土、除尘器收尘、车间内沉降粉尘暂存于再生料仓内，作为原料返回生产线使用</w:t>
                  </w:r>
                  <w:r>
                    <w:rPr>
                      <w:rFonts w:hint="eastAsia"/>
                      <w:szCs w:val="21"/>
                      <w:highlight w:val="none"/>
                      <w:lang w:val="en-US" w:eastAsia="zh-CN"/>
                    </w:rPr>
                    <w:t>；</w:t>
                  </w:r>
                  <w:r>
                    <w:rPr>
                      <w:rFonts w:hint="default" w:eastAsia="宋体"/>
                      <w:szCs w:val="21"/>
                      <w:highlight w:val="none"/>
                      <w:lang w:val="en-US" w:eastAsia="zh-CN"/>
                    </w:rPr>
                    <w:t>沉淀池沉渣</w:t>
                  </w:r>
                  <w:r>
                    <w:rPr>
                      <w:rFonts w:hint="eastAsia"/>
                      <w:szCs w:val="21"/>
                      <w:highlight w:val="none"/>
                      <w:lang w:val="en-US" w:eastAsia="zh-CN"/>
                    </w:rPr>
                    <w:t>、喷淋塔沉渣</w:t>
                  </w:r>
                  <w:r>
                    <w:rPr>
                      <w:rFonts w:hint="default" w:eastAsia="宋体"/>
                      <w:szCs w:val="21"/>
                      <w:highlight w:val="none"/>
                      <w:lang w:val="en-US" w:eastAsia="zh-CN"/>
                    </w:rPr>
                    <w:t>定期清掏，作为原料返回生产线使用</w:t>
                  </w:r>
                  <w:r>
                    <w:rPr>
                      <w:rFonts w:hint="eastAsia"/>
                      <w:szCs w:val="21"/>
                      <w:highlight w:val="none"/>
                      <w:lang w:val="en-US" w:eastAsia="zh-CN"/>
                    </w:rPr>
                    <w:t>；</w:t>
                  </w:r>
                  <w:r>
                    <w:rPr>
                      <w:rFonts w:hint="default" w:eastAsia="宋体"/>
                      <w:szCs w:val="21"/>
                      <w:highlight w:val="none"/>
                      <w:lang w:val="en-US" w:eastAsia="zh-CN"/>
                    </w:rPr>
                    <w:t>办公区设置垃圾桶分类收集生活垃圾</w:t>
                  </w:r>
                  <w:r>
                    <w:rPr>
                      <w:rFonts w:hint="eastAsia"/>
                      <w:szCs w:val="21"/>
                      <w:highlight w:val="none"/>
                      <w:lang w:val="en-US" w:eastAsia="zh-CN"/>
                    </w:rPr>
                    <w:t>交由环卫部门统一清运处置；食堂设置专用收集桶，</w:t>
                  </w:r>
                  <w:r>
                    <w:rPr>
                      <w:rFonts w:hint="default" w:eastAsia="宋体"/>
                      <w:szCs w:val="21"/>
                      <w:highlight w:val="none"/>
                      <w:lang w:val="en-US" w:eastAsia="zh-CN"/>
                    </w:rPr>
                    <w:t>餐厨垃圾</w:t>
                  </w:r>
                  <w:r>
                    <w:rPr>
                      <w:rFonts w:hint="eastAsia"/>
                      <w:szCs w:val="21"/>
                      <w:highlight w:val="none"/>
                      <w:lang w:val="en-US" w:eastAsia="zh-CN"/>
                    </w:rPr>
                    <w:t>及废油脂经统一收集后24h内交由有资质单位处置</w:t>
                  </w:r>
                  <w:r>
                    <w:rPr>
                      <w:rFonts w:hint="default" w:eastAsia="宋体"/>
                      <w:szCs w:val="21"/>
                      <w:highlight w:val="none"/>
                      <w:lang w:val="en-US" w:eastAsia="zh-CN"/>
                    </w:rPr>
                    <w:t>。</w:t>
                  </w:r>
                </w:p>
              </w:tc>
              <w:tc>
                <w:tcPr>
                  <w:tcW w:w="920" w:type="dxa"/>
                  <w:vMerge w:val="continue"/>
                  <w:noWrap w:val="0"/>
                  <w:vAlign w:val="center"/>
                </w:tcPr>
                <w:p w14:paraId="1A798C31">
                  <w:pPr>
                    <w:spacing w:line="240" w:lineRule="exact"/>
                    <w:jc w:val="center"/>
                    <w:rPr>
                      <w:szCs w:val="21"/>
                    </w:rPr>
                  </w:pPr>
                </w:p>
              </w:tc>
              <w:tc>
                <w:tcPr>
                  <w:tcW w:w="910" w:type="dxa"/>
                  <w:noWrap w:val="0"/>
                  <w:vAlign w:val="center"/>
                </w:tcPr>
                <w:p w14:paraId="67A3FC38">
                  <w:pPr>
                    <w:spacing w:line="240" w:lineRule="exact"/>
                    <w:jc w:val="center"/>
                    <w:rPr>
                      <w:rFonts w:hint="eastAsia"/>
                      <w:szCs w:val="21"/>
                    </w:rPr>
                  </w:pPr>
                  <w:r>
                    <w:rPr>
                      <w:rFonts w:hint="eastAsia"/>
                      <w:szCs w:val="21"/>
                    </w:rPr>
                    <w:t>/</w:t>
                  </w:r>
                </w:p>
              </w:tc>
              <w:tc>
                <w:tcPr>
                  <w:tcW w:w="797" w:type="dxa"/>
                  <w:noWrap w:val="0"/>
                  <w:vAlign w:val="center"/>
                </w:tcPr>
                <w:p w14:paraId="100A3CFF">
                  <w:pPr>
                    <w:spacing w:line="240" w:lineRule="exact"/>
                    <w:jc w:val="center"/>
                    <w:rPr>
                      <w:rFonts w:hint="default" w:eastAsia="宋体"/>
                      <w:szCs w:val="21"/>
                      <w:lang w:val="en-US" w:eastAsia="zh-CN"/>
                    </w:rPr>
                  </w:pPr>
                  <w:r>
                    <w:rPr>
                      <w:rFonts w:hint="eastAsia"/>
                      <w:szCs w:val="21"/>
                      <w:lang w:val="en-US" w:eastAsia="zh-CN"/>
                    </w:rPr>
                    <w:t>新建</w:t>
                  </w:r>
                </w:p>
              </w:tc>
            </w:tr>
            <w:tr w14:paraId="468C91A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continue"/>
                  <w:noWrap w:val="0"/>
                  <w:vAlign w:val="center"/>
                </w:tcPr>
                <w:p w14:paraId="070D8A27">
                  <w:pPr>
                    <w:pStyle w:val="80"/>
                    <w:tabs>
                      <w:tab w:val="clear" w:pos="0"/>
                    </w:tabs>
                    <w:spacing w:line="240" w:lineRule="exact"/>
                    <w:jc w:val="center"/>
                    <w:rPr>
                      <w:rFonts w:eastAsia="宋体"/>
                      <w:sz w:val="21"/>
                      <w:szCs w:val="21"/>
                    </w:rPr>
                  </w:pPr>
                </w:p>
              </w:tc>
              <w:tc>
                <w:tcPr>
                  <w:tcW w:w="795" w:type="dxa"/>
                  <w:noWrap w:val="0"/>
                  <w:vAlign w:val="center"/>
                </w:tcPr>
                <w:p w14:paraId="15A40530">
                  <w:pPr>
                    <w:pStyle w:val="80"/>
                    <w:tabs>
                      <w:tab w:val="clear" w:pos="0"/>
                    </w:tabs>
                    <w:spacing w:line="240" w:lineRule="exact"/>
                    <w:jc w:val="center"/>
                    <w:rPr>
                      <w:rFonts w:hint="eastAsia" w:eastAsia="宋体"/>
                      <w:sz w:val="21"/>
                      <w:szCs w:val="21"/>
                    </w:rPr>
                  </w:pPr>
                  <w:r>
                    <w:rPr>
                      <w:rFonts w:hint="eastAsia" w:eastAsia="宋体"/>
                      <w:sz w:val="21"/>
                      <w:szCs w:val="21"/>
                    </w:rPr>
                    <w:t>危险废物</w:t>
                  </w:r>
                </w:p>
              </w:tc>
              <w:tc>
                <w:tcPr>
                  <w:tcW w:w="3976" w:type="dxa"/>
                  <w:noWrap w:val="0"/>
                  <w:vAlign w:val="center"/>
                </w:tcPr>
                <w:p w14:paraId="7BC4C3DA">
                  <w:pPr>
                    <w:spacing w:line="240" w:lineRule="exact"/>
                    <w:jc w:val="center"/>
                    <w:rPr>
                      <w:szCs w:val="21"/>
                    </w:rPr>
                  </w:pPr>
                  <w:r>
                    <w:rPr>
                      <w:rFonts w:hint="eastAsia"/>
                      <w:szCs w:val="21"/>
                      <w:lang w:val="en-US" w:eastAsia="zh-CN"/>
                    </w:rPr>
                    <w:t>依托厂区已设置的1间10</w:t>
                  </w:r>
                  <w:r>
                    <w:rPr>
                      <w:rFonts w:hint="eastAsia"/>
                      <w:szCs w:val="21"/>
                    </w:rPr>
                    <w:t>m</w:t>
                  </w:r>
                  <w:r>
                    <w:rPr>
                      <w:rFonts w:hint="eastAsia"/>
                      <w:szCs w:val="21"/>
                      <w:vertAlign w:val="superscript"/>
                      <w:lang w:val="en-US" w:eastAsia="zh-CN"/>
                    </w:rPr>
                    <w:t>2</w:t>
                  </w:r>
                  <w:r>
                    <w:rPr>
                      <w:rFonts w:hint="eastAsia"/>
                      <w:szCs w:val="21"/>
                    </w:rPr>
                    <w:t>的危险废物暂存间，</w:t>
                  </w:r>
                  <w:r>
                    <w:rPr>
                      <w:rFonts w:hint="eastAsia"/>
                      <w:szCs w:val="21"/>
                      <w:lang w:val="en-US" w:eastAsia="zh-CN"/>
                    </w:rPr>
                    <w:t>位于厂区西侧，生产过程</w:t>
                  </w:r>
                  <w:r>
                    <w:rPr>
                      <w:rFonts w:hint="eastAsia"/>
                      <w:szCs w:val="21"/>
                    </w:rPr>
                    <w:t>产生的危险废物经</w:t>
                  </w:r>
                  <w:r>
                    <w:rPr>
                      <w:rFonts w:hint="eastAsia"/>
                      <w:szCs w:val="21"/>
                      <w:lang w:val="en-US" w:eastAsia="zh-CN"/>
                    </w:rPr>
                    <w:t>统一收集后于</w:t>
                  </w:r>
                  <w:r>
                    <w:rPr>
                      <w:rFonts w:hint="eastAsia"/>
                      <w:szCs w:val="21"/>
                    </w:rPr>
                    <w:t>危废暂存间</w:t>
                  </w:r>
                  <w:r>
                    <w:rPr>
                      <w:rFonts w:hint="eastAsia"/>
                      <w:szCs w:val="21"/>
                      <w:lang w:val="en-US" w:eastAsia="zh-CN"/>
                    </w:rPr>
                    <w:t>分类收集</w:t>
                  </w:r>
                  <w:r>
                    <w:rPr>
                      <w:rFonts w:hint="eastAsia"/>
                      <w:szCs w:val="21"/>
                    </w:rPr>
                    <w:t>暂存后定期交由有资质单位处置。</w:t>
                  </w:r>
                </w:p>
              </w:tc>
              <w:tc>
                <w:tcPr>
                  <w:tcW w:w="920" w:type="dxa"/>
                  <w:vMerge w:val="continue"/>
                  <w:noWrap w:val="0"/>
                  <w:vAlign w:val="center"/>
                </w:tcPr>
                <w:p w14:paraId="4BD406B2">
                  <w:pPr>
                    <w:spacing w:line="240" w:lineRule="exact"/>
                    <w:jc w:val="center"/>
                    <w:rPr>
                      <w:szCs w:val="21"/>
                    </w:rPr>
                  </w:pPr>
                </w:p>
              </w:tc>
              <w:tc>
                <w:tcPr>
                  <w:tcW w:w="910" w:type="dxa"/>
                  <w:noWrap w:val="0"/>
                  <w:vAlign w:val="center"/>
                </w:tcPr>
                <w:p w14:paraId="61BECE8D">
                  <w:pPr>
                    <w:spacing w:line="240" w:lineRule="exact"/>
                    <w:jc w:val="center"/>
                    <w:rPr>
                      <w:rFonts w:hint="eastAsia"/>
                      <w:szCs w:val="21"/>
                    </w:rPr>
                  </w:pPr>
                  <w:r>
                    <w:rPr>
                      <w:rFonts w:hint="eastAsia"/>
                      <w:szCs w:val="21"/>
                    </w:rPr>
                    <w:t>/</w:t>
                  </w:r>
                </w:p>
              </w:tc>
              <w:tc>
                <w:tcPr>
                  <w:tcW w:w="797" w:type="dxa"/>
                  <w:noWrap w:val="0"/>
                  <w:vAlign w:val="center"/>
                </w:tcPr>
                <w:p w14:paraId="3CC3EF20">
                  <w:pPr>
                    <w:spacing w:line="240" w:lineRule="exact"/>
                    <w:jc w:val="center"/>
                    <w:rPr>
                      <w:rFonts w:hint="default" w:eastAsia="宋体"/>
                      <w:szCs w:val="21"/>
                      <w:lang w:val="en-US" w:eastAsia="zh-CN"/>
                    </w:rPr>
                  </w:pPr>
                  <w:r>
                    <w:rPr>
                      <w:rFonts w:hint="eastAsia"/>
                      <w:szCs w:val="21"/>
                      <w:lang w:val="en-US" w:eastAsia="zh-CN"/>
                    </w:rPr>
                    <w:t>利旧+整改</w:t>
                  </w:r>
                </w:p>
              </w:tc>
            </w:tr>
            <w:tr w14:paraId="7737CBD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92" w:type="dxa"/>
                  <w:vMerge w:val="continue"/>
                  <w:noWrap w:val="0"/>
                  <w:vAlign w:val="center"/>
                </w:tcPr>
                <w:p w14:paraId="522B9D64">
                  <w:pPr>
                    <w:pStyle w:val="80"/>
                    <w:tabs>
                      <w:tab w:val="clear" w:pos="0"/>
                    </w:tabs>
                    <w:spacing w:line="240" w:lineRule="exact"/>
                    <w:jc w:val="center"/>
                    <w:rPr>
                      <w:rFonts w:eastAsia="宋体"/>
                      <w:sz w:val="21"/>
                      <w:szCs w:val="21"/>
                    </w:rPr>
                  </w:pPr>
                </w:p>
              </w:tc>
              <w:tc>
                <w:tcPr>
                  <w:tcW w:w="795" w:type="dxa"/>
                  <w:noWrap w:val="0"/>
                  <w:vAlign w:val="center"/>
                </w:tcPr>
                <w:p w14:paraId="7AEAECC0">
                  <w:pPr>
                    <w:pStyle w:val="80"/>
                    <w:tabs>
                      <w:tab w:val="clear" w:pos="0"/>
                    </w:tabs>
                    <w:spacing w:line="240" w:lineRule="exact"/>
                    <w:jc w:val="center"/>
                    <w:rPr>
                      <w:rFonts w:hint="eastAsia" w:eastAsia="宋体"/>
                      <w:sz w:val="21"/>
                      <w:szCs w:val="21"/>
                    </w:rPr>
                  </w:pPr>
                  <w:r>
                    <w:rPr>
                      <w:rFonts w:hint="eastAsia" w:eastAsia="宋体"/>
                      <w:sz w:val="21"/>
                      <w:szCs w:val="21"/>
                    </w:rPr>
                    <w:t>设备及车辆噪声</w:t>
                  </w:r>
                </w:p>
              </w:tc>
              <w:tc>
                <w:tcPr>
                  <w:tcW w:w="3976" w:type="dxa"/>
                  <w:noWrap w:val="0"/>
                  <w:vAlign w:val="center"/>
                </w:tcPr>
                <w:p w14:paraId="55935D9E">
                  <w:pPr>
                    <w:spacing w:line="240" w:lineRule="exact"/>
                    <w:jc w:val="center"/>
                    <w:rPr>
                      <w:rFonts w:hint="eastAsia"/>
                      <w:szCs w:val="21"/>
                    </w:rPr>
                  </w:pPr>
                  <w:r>
                    <w:rPr>
                      <w:rFonts w:hint="eastAsia"/>
                      <w:szCs w:val="21"/>
                    </w:rPr>
                    <w:t>合理安排工作时间，合理布局，选用低噪声设备，基座减振、距离衰减等措施。</w:t>
                  </w:r>
                </w:p>
              </w:tc>
              <w:tc>
                <w:tcPr>
                  <w:tcW w:w="920" w:type="dxa"/>
                  <w:vMerge w:val="continue"/>
                  <w:noWrap w:val="0"/>
                  <w:vAlign w:val="center"/>
                </w:tcPr>
                <w:p w14:paraId="06FBE5F4">
                  <w:pPr>
                    <w:spacing w:line="240" w:lineRule="exact"/>
                    <w:jc w:val="center"/>
                    <w:rPr>
                      <w:szCs w:val="21"/>
                    </w:rPr>
                  </w:pPr>
                </w:p>
              </w:tc>
              <w:tc>
                <w:tcPr>
                  <w:tcW w:w="910" w:type="dxa"/>
                  <w:noWrap w:val="0"/>
                  <w:vAlign w:val="center"/>
                </w:tcPr>
                <w:p w14:paraId="04CC89BE">
                  <w:pPr>
                    <w:spacing w:line="240" w:lineRule="exact"/>
                    <w:jc w:val="center"/>
                    <w:rPr>
                      <w:rFonts w:hint="eastAsia"/>
                      <w:szCs w:val="21"/>
                    </w:rPr>
                  </w:pPr>
                  <w:r>
                    <w:rPr>
                      <w:rFonts w:hint="eastAsia"/>
                      <w:szCs w:val="21"/>
                    </w:rPr>
                    <w:t>/</w:t>
                  </w:r>
                </w:p>
              </w:tc>
              <w:tc>
                <w:tcPr>
                  <w:tcW w:w="797" w:type="dxa"/>
                  <w:noWrap w:val="0"/>
                  <w:vAlign w:val="center"/>
                </w:tcPr>
                <w:p w14:paraId="470591A8">
                  <w:pPr>
                    <w:spacing w:line="240" w:lineRule="exact"/>
                    <w:jc w:val="center"/>
                    <w:rPr>
                      <w:rFonts w:hint="eastAsia" w:eastAsia="宋体"/>
                      <w:szCs w:val="21"/>
                      <w:lang w:eastAsia="zh-CN"/>
                    </w:rPr>
                  </w:pPr>
                  <w:r>
                    <w:rPr>
                      <w:rFonts w:hint="eastAsia"/>
                      <w:szCs w:val="21"/>
                      <w:lang w:val="en-US" w:eastAsia="zh-CN"/>
                    </w:rPr>
                    <w:t>新建</w:t>
                  </w:r>
                </w:p>
              </w:tc>
            </w:tr>
          </w:tbl>
          <w:p w14:paraId="5556F2D2">
            <w:pPr>
              <w:keepNext w:val="0"/>
              <w:keepLines w:val="0"/>
              <w:pageBreakBefore w:val="0"/>
              <w:widowControl w:val="0"/>
              <w:tabs>
                <w:tab w:val="left" w:pos="676"/>
              </w:tabs>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b/>
                <w:bCs/>
                <w:sz w:val="21"/>
                <w:szCs w:val="21"/>
                <w:lang w:val="en-US" w:eastAsia="zh-CN"/>
              </w:rPr>
            </w:pPr>
          </w:p>
          <w:p w14:paraId="2AC72EE1">
            <w:pPr>
              <w:tabs>
                <w:tab w:val="left" w:pos="676"/>
              </w:tabs>
              <w:wordWrap w:val="0"/>
              <w:spacing w:line="360" w:lineRule="auto"/>
              <w:ind w:left="42" w:leftChars="20" w:right="42" w:rightChars="20" w:firstLine="482" w:firstLineChars="200"/>
              <w:rPr>
                <w:rFonts w:hint="eastAsia"/>
                <w:sz w:val="24"/>
                <w:szCs w:val="24"/>
                <w:highlight w:val="none"/>
                <w:lang w:val="en-US" w:eastAsia="zh-CN"/>
              </w:rPr>
            </w:pPr>
            <w:r>
              <w:rPr>
                <w:rFonts w:hint="eastAsia"/>
                <w:b/>
                <w:bCs/>
                <w:sz w:val="24"/>
                <w:szCs w:val="22"/>
                <w:highlight w:val="none"/>
                <w:lang w:val="en-US" w:eastAsia="zh-CN"/>
              </w:rPr>
              <w:t>5</w:t>
            </w:r>
            <w:r>
              <w:rPr>
                <w:b/>
                <w:bCs/>
                <w:sz w:val="24"/>
                <w:szCs w:val="22"/>
                <w:highlight w:val="none"/>
              </w:rPr>
              <w:t>、</w:t>
            </w:r>
            <w:r>
              <w:rPr>
                <w:rFonts w:hint="eastAsia" w:ascii="Times New Roman" w:hAnsi="Times New Roman" w:eastAsia="宋体" w:cs="Times New Roman"/>
                <w:b/>
                <w:bCs/>
                <w:sz w:val="24"/>
                <w:szCs w:val="22"/>
                <w:highlight w:val="none"/>
                <w:lang w:val="en-US" w:eastAsia="zh-CN"/>
              </w:rPr>
              <w:t>原辅材料及能源消耗</w:t>
            </w:r>
          </w:p>
          <w:p w14:paraId="6B3AF627">
            <w:pPr>
              <w:spacing w:line="360" w:lineRule="auto"/>
              <w:ind w:firstLine="480" w:firstLineChars="200"/>
              <w:rPr>
                <w:rFonts w:hint="eastAsia" w:eastAsia="宋体"/>
                <w:sz w:val="24"/>
                <w:szCs w:val="24"/>
                <w:highlight w:val="yellow"/>
                <w:lang w:eastAsia="zh-CN"/>
              </w:rPr>
            </w:pPr>
            <w:r>
              <w:rPr>
                <w:rFonts w:hint="eastAsia"/>
                <w:sz w:val="24"/>
                <w:szCs w:val="24"/>
                <w:highlight w:val="none"/>
                <w:lang w:val="en-US" w:eastAsia="zh-CN"/>
              </w:rPr>
              <w:t>本项目扩建完成后全厂</w:t>
            </w:r>
            <w:r>
              <w:rPr>
                <w:rFonts w:hint="eastAsia"/>
                <w:sz w:val="24"/>
                <w:szCs w:val="24"/>
                <w:highlight w:val="none"/>
              </w:rPr>
              <w:t>主要原辅材料及燃料种类和用量见下表：</w:t>
            </w:r>
          </w:p>
          <w:p w14:paraId="0169700E">
            <w:pPr>
              <w:numPr>
                <w:ilvl w:val="0"/>
                <w:numId w:val="4"/>
              </w:numPr>
              <w:tabs>
                <w:tab w:val="left" w:pos="0"/>
              </w:tabs>
              <w:wordWrap w:val="0"/>
              <w:ind w:left="0" w:firstLine="0"/>
              <w:jc w:val="center"/>
              <w:rPr>
                <w:rFonts w:hint="eastAsia" w:ascii="Times New Roman" w:hAnsi="Times New Roman" w:eastAsia="宋体" w:cs="Times New Roman"/>
                <w:b/>
                <w:szCs w:val="21"/>
              </w:rPr>
            </w:pPr>
            <w:r>
              <w:rPr>
                <w:rFonts w:hint="eastAsia" w:ascii="Times New Roman" w:hAnsi="Times New Roman" w:eastAsia="宋体" w:cs="Times New Roman"/>
                <w:b/>
                <w:szCs w:val="21"/>
              </w:rPr>
              <w:t>本项目扩建完成后</w:t>
            </w:r>
            <w:r>
              <w:rPr>
                <w:rFonts w:hint="eastAsia" w:cs="Times New Roman"/>
                <w:b/>
                <w:szCs w:val="21"/>
                <w:lang w:val="en-US" w:eastAsia="zh-CN"/>
              </w:rPr>
              <w:t>全厂</w:t>
            </w:r>
            <w:r>
              <w:rPr>
                <w:rFonts w:hint="eastAsia" w:ascii="Times New Roman" w:hAnsi="Times New Roman" w:eastAsia="宋体" w:cs="Times New Roman"/>
                <w:b/>
                <w:szCs w:val="21"/>
              </w:rPr>
              <w:t>主要原辅材料消耗表</w:t>
            </w:r>
          </w:p>
          <w:tbl>
            <w:tblPr>
              <w:tblStyle w:val="27"/>
              <w:tblW w:w="8032"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52"/>
              <w:gridCol w:w="1407"/>
              <w:gridCol w:w="879"/>
              <w:gridCol w:w="1013"/>
              <w:gridCol w:w="871"/>
              <w:gridCol w:w="1368"/>
              <w:gridCol w:w="1642"/>
            </w:tblGrid>
            <w:tr w14:paraId="25822A0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94" w:hRule="atLeast"/>
                <w:jc w:val="center"/>
              </w:trPr>
              <w:tc>
                <w:tcPr>
                  <w:tcW w:w="852" w:type="dxa"/>
                  <w:tcBorders>
                    <w:tl2br w:val="nil"/>
                    <w:tr2bl w:val="nil"/>
                  </w:tcBorders>
                  <w:noWrap w:val="0"/>
                  <w:vAlign w:val="center"/>
                </w:tcPr>
                <w:p w14:paraId="494CC22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分类</w:t>
                  </w:r>
                </w:p>
              </w:tc>
              <w:tc>
                <w:tcPr>
                  <w:tcW w:w="1407" w:type="dxa"/>
                  <w:tcBorders>
                    <w:tl2br w:val="nil"/>
                    <w:tr2bl w:val="nil"/>
                  </w:tcBorders>
                  <w:noWrap w:val="0"/>
                  <w:vAlign w:val="center"/>
                </w:tcPr>
                <w:p w14:paraId="5C8A1BD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原辅料种类和名称</w:t>
                  </w:r>
                </w:p>
              </w:tc>
              <w:tc>
                <w:tcPr>
                  <w:tcW w:w="879" w:type="dxa"/>
                  <w:tcBorders>
                    <w:tl2br w:val="nil"/>
                    <w:tr2bl w:val="nil"/>
                  </w:tcBorders>
                  <w:noWrap w:val="0"/>
                  <w:vAlign w:val="center"/>
                </w:tcPr>
                <w:p w14:paraId="3F3918F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单位</w:t>
                  </w:r>
                </w:p>
              </w:tc>
              <w:tc>
                <w:tcPr>
                  <w:tcW w:w="1013" w:type="dxa"/>
                  <w:tcBorders>
                    <w:tl2br w:val="nil"/>
                    <w:tr2bl w:val="nil"/>
                  </w:tcBorders>
                  <w:noWrap w:val="0"/>
                  <w:vAlign w:val="center"/>
                </w:tcPr>
                <w:p w14:paraId="62B3D69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年用量</w:t>
                  </w:r>
                </w:p>
              </w:tc>
              <w:tc>
                <w:tcPr>
                  <w:tcW w:w="871" w:type="dxa"/>
                  <w:tcBorders>
                    <w:tl2br w:val="nil"/>
                    <w:tr2bl w:val="nil"/>
                  </w:tcBorders>
                  <w:noWrap w:val="0"/>
                  <w:vAlign w:val="center"/>
                </w:tcPr>
                <w:p w14:paraId="417DFA6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最大</w:t>
                  </w:r>
                  <w:r>
                    <w:rPr>
                      <w:rFonts w:hint="eastAsia" w:ascii="Times New Roman" w:hAnsi="Times New Roman" w:eastAsia="宋体" w:cs="Times New Roman"/>
                      <w:b/>
                      <w:bCs/>
                      <w:sz w:val="21"/>
                      <w:szCs w:val="21"/>
                      <w:vertAlign w:val="baseline"/>
                      <w:lang w:val="en-US" w:eastAsia="zh-CN"/>
                    </w:rPr>
                    <w:t>储存</w:t>
                  </w:r>
                  <w:r>
                    <w:rPr>
                      <w:rFonts w:hint="default" w:ascii="Times New Roman" w:hAnsi="Times New Roman" w:eastAsia="宋体" w:cs="Times New Roman"/>
                      <w:b/>
                      <w:bCs/>
                      <w:sz w:val="21"/>
                      <w:szCs w:val="21"/>
                      <w:vertAlign w:val="baseline"/>
                      <w:lang w:val="en-US" w:eastAsia="zh-CN"/>
                    </w:rPr>
                    <w:t>量</w:t>
                  </w:r>
                  <w:r>
                    <w:rPr>
                      <w:rFonts w:hint="eastAsia" w:cs="Times New Roman"/>
                      <w:b/>
                      <w:bCs/>
                      <w:sz w:val="21"/>
                      <w:szCs w:val="21"/>
                      <w:vertAlign w:val="baseline"/>
                      <w:lang w:val="en-US" w:eastAsia="zh-CN"/>
                    </w:rPr>
                    <w:t>/在线量</w:t>
                  </w:r>
                </w:p>
              </w:tc>
              <w:tc>
                <w:tcPr>
                  <w:tcW w:w="1368" w:type="dxa"/>
                  <w:tcBorders>
                    <w:tl2br w:val="nil"/>
                    <w:tr2bl w:val="nil"/>
                  </w:tcBorders>
                  <w:noWrap w:val="0"/>
                  <w:vAlign w:val="center"/>
                </w:tcPr>
                <w:p w14:paraId="6A467B1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储存位置</w:t>
                  </w:r>
                </w:p>
              </w:tc>
              <w:tc>
                <w:tcPr>
                  <w:tcW w:w="1642" w:type="dxa"/>
                  <w:tcBorders>
                    <w:tl2br w:val="nil"/>
                    <w:tr2bl w:val="nil"/>
                  </w:tcBorders>
                  <w:noWrap w:val="0"/>
                  <w:vAlign w:val="center"/>
                </w:tcPr>
                <w:p w14:paraId="341A7CE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备注</w:t>
                  </w:r>
                </w:p>
              </w:tc>
            </w:tr>
            <w:tr w14:paraId="230AE19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032" w:type="dxa"/>
                  <w:gridSpan w:val="7"/>
                  <w:tcBorders>
                    <w:tl2br w:val="nil"/>
                    <w:tr2bl w:val="nil"/>
                  </w:tcBorders>
                  <w:noWrap w:val="0"/>
                  <w:vAlign w:val="center"/>
                </w:tcPr>
                <w:p w14:paraId="24DDA41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煤粉</w:t>
                  </w:r>
                </w:p>
              </w:tc>
            </w:tr>
            <w:tr w14:paraId="0AF2124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52" w:type="dxa"/>
                  <w:vMerge w:val="restart"/>
                  <w:tcBorders>
                    <w:tl2br w:val="nil"/>
                    <w:tr2bl w:val="nil"/>
                  </w:tcBorders>
                  <w:noWrap w:val="0"/>
                  <w:vAlign w:val="center"/>
                </w:tcPr>
                <w:p w14:paraId="0A05DEE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原（辅）料</w:t>
                  </w:r>
                </w:p>
              </w:tc>
              <w:tc>
                <w:tcPr>
                  <w:tcW w:w="1407" w:type="dxa"/>
                  <w:tcBorders>
                    <w:tl2br w:val="nil"/>
                    <w:tr2bl w:val="nil"/>
                  </w:tcBorders>
                  <w:noWrap w:val="0"/>
                  <w:vAlign w:val="center"/>
                </w:tcPr>
                <w:p w14:paraId="5D0973E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中煤</w:t>
                  </w:r>
                </w:p>
              </w:tc>
              <w:tc>
                <w:tcPr>
                  <w:tcW w:w="879" w:type="dxa"/>
                  <w:tcBorders>
                    <w:tl2br w:val="nil"/>
                    <w:tr2bl w:val="nil"/>
                  </w:tcBorders>
                  <w:noWrap w:val="0"/>
                  <w:vAlign w:val="center"/>
                </w:tcPr>
                <w:p w14:paraId="55B668B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t/a</w:t>
                  </w:r>
                </w:p>
              </w:tc>
              <w:tc>
                <w:tcPr>
                  <w:tcW w:w="1013" w:type="dxa"/>
                  <w:tcBorders>
                    <w:tl2br w:val="nil"/>
                    <w:tr2bl w:val="nil"/>
                  </w:tcBorders>
                  <w:noWrap w:val="0"/>
                  <w:vAlign w:val="center"/>
                </w:tcPr>
                <w:p w14:paraId="772AF61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100005</w:t>
                  </w:r>
                </w:p>
              </w:tc>
              <w:tc>
                <w:tcPr>
                  <w:tcW w:w="871" w:type="dxa"/>
                  <w:tcBorders>
                    <w:tl2br w:val="nil"/>
                    <w:tr2bl w:val="nil"/>
                  </w:tcBorders>
                  <w:noWrap w:val="0"/>
                  <w:vAlign w:val="center"/>
                </w:tcPr>
                <w:p w14:paraId="3888D51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8000</w:t>
                  </w:r>
                </w:p>
              </w:tc>
              <w:tc>
                <w:tcPr>
                  <w:tcW w:w="1368" w:type="dxa"/>
                  <w:tcBorders>
                    <w:tl2br w:val="nil"/>
                    <w:tr2bl w:val="nil"/>
                  </w:tcBorders>
                  <w:noWrap w:val="0"/>
                  <w:vAlign w:val="center"/>
                </w:tcPr>
                <w:p w14:paraId="5408CEE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中煤料仓</w:t>
                  </w:r>
                </w:p>
              </w:tc>
              <w:tc>
                <w:tcPr>
                  <w:tcW w:w="1642" w:type="dxa"/>
                  <w:tcBorders>
                    <w:tl2br w:val="nil"/>
                    <w:tr2bl w:val="nil"/>
                  </w:tcBorders>
                  <w:noWrap w:val="0"/>
                  <w:vAlign w:val="center"/>
                </w:tcPr>
                <w:p w14:paraId="529E6E6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四川川煤华荣能源有限责任公司石板选煤发电厂</w:t>
                  </w:r>
                  <w:r>
                    <w:rPr>
                      <w:rFonts w:hint="eastAsia" w:cs="Times New Roman"/>
                      <w:b w:val="0"/>
                      <w:bCs w:val="0"/>
                      <w:sz w:val="21"/>
                      <w:szCs w:val="21"/>
                      <w:vertAlign w:val="baseline"/>
                      <w:lang w:val="en-US" w:eastAsia="zh-CN"/>
                    </w:rPr>
                    <w:t>购买</w:t>
                  </w:r>
                </w:p>
              </w:tc>
            </w:tr>
            <w:tr w14:paraId="6ACA081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52" w:type="dxa"/>
                  <w:vMerge w:val="continue"/>
                  <w:tcBorders>
                    <w:tl2br w:val="nil"/>
                    <w:tr2bl w:val="nil"/>
                  </w:tcBorders>
                  <w:noWrap w:val="0"/>
                  <w:vAlign w:val="center"/>
                </w:tcPr>
                <w:p w14:paraId="043DC8A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sz w:val="21"/>
                      <w:szCs w:val="21"/>
                      <w:vertAlign w:val="baseline"/>
                      <w:lang w:val="en-US" w:eastAsia="zh-CN"/>
                    </w:rPr>
                  </w:pPr>
                </w:p>
              </w:tc>
              <w:tc>
                <w:tcPr>
                  <w:tcW w:w="1407" w:type="dxa"/>
                  <w:tcBorders>
                    <w:tl2br w:val="nil"/>
                    <w:tr2bl w:val="nil"/>
                  </w:tcBorders>
                  <w:noWrap w:val="0"/>
                  <w:vAlign w:val="center"/>
                </w:tcPr>
                <w:p w14:paraId="530F97A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氮气</w:t>
                  </w:r>
                </w:p>
              </w:tc>
              <w:tc>
                <w:tcPr>
                  <w:tcW w:w="879" w:type="dxa"/>
                  <w:tcBorders>
                    <w:tl2br w:val="nil"/>
                    <w:tr2bl w:val="nil"/>
                  </w:tcBorders>
                  <w:noWrap w:val="0"/>
                  <w:vAlign w:val="center"/>
                </w:tcPr>
                <w:p w14:paraId="06A18E9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m</w:t>
                  </w:r>
                  <w:r>
                    <w:rPr>
                      <w:rFonts w:hint="default" w:ascii="Times New Roman" w:hAnsi="Times New Roman" w:eastAsia="宋体" w:cs="Times New Roman"/>
                      <w:b w:val="0"/>
                      <w:bCs w:val="0"/>
                      <w:sz w:val="21"/>
                      <w:szCs w:val="21"/>
                      <w:highlight w:val="none"/>
                      <w:vertAlign w:val="superscript"/>
                      <w:lang w:val="en-US" w:eastAsia="zh-CN"/>
                    </w:rPr>
                    <w:t>3</w:t>
                  </w:r>
                  <w:r>
                    <w:rPr>
                      <w:rFonts w:hint="eastAsia" w:ascii="Times New Roman" w:hAnsi="Times New Roman" w:eastAsia="宋体" w:cs="Times New Roman"/>
                      <w:b w:val="0"/>
                      <w:bCs w:val="0"/>
                      <w:sz w:val="21"/>
                      <w:szCs w:val="21"/>
                      <w:highlight w:val="none"/>
                      <w:vertAlign w:val="baseline"/>
                      <w:lang w:val="en-US" w:eastAsia="zh-CN"/>
                    </w:rPr>
                    <w:t>/a</w:t>
                  </w:r>
                </w:p>
              </w:tc>
              <w:tc>
                <w:tcPr>
                  <w:tcW w:w="1013" w:type="dxa"/>
                  <w:tcBorders>
                    <w:tl2br w:val="nil"/>
                    <w:tr2bl w:val="nil"/>
                  </w:tcBorders>
                  <w:noWrap w:val="0"/>
                  <w:vAlign w:val="center"/>
                </w:tcPr>
                <w:p w14:paraId="36463A2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10000</w:t>
                  </w:r>
                </w:p>
              </w:tc>
              <w:tc>
                <w:tcPr>
                  <w:tcW w:w="871" w:type="dxa"/>
                  <w:tcBorders>
                    <w:tl2br w:val="nil"/>
                    <w:tr2bl w:val="nil"/>
                  </w:tcBorders>
                  <w:noWrap w:val="0"/>
                  <w:vAlign w:val="center"/>
                </w:tcPr>
                <w:p w14:paraId="3394B72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w:t>
                  </w:r>
                </w:p>
              </w:tc>
              <w:tc>
                <w:tcPr>
                  <w:tcW w:w="1368" w:type="dxa"/>
                  <w:tcBorders>
                    <w:tl2br w:val="nil"/>
                    <w:tr2bl w:val="nil"/>
                  </w:tcBorders>
                  <w:noWrap w:val="0"/>
                  <w:vAlign w:val="center"/>
                </w:tcPr>
                <w:p w14:paraId="0FA6D50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氮气储气罐</w:t>
                  </w:r>
                </w:p>
              </w:tc>
              <w:tc>
                <w:tcPr>
                  <w:tcW w:w="1642" w:type="dxa"/>
                  <w:tcBorders>
                    <w:tl2br w:val="nil"/>
                    <w:tr2bl w:val="nil"/>
                  </w:tcBorders>
                  <w:noWrap w:val="0"/>
                  <w:vAlign w:val="center"/>
                </w:tcPr>
                <w:p w14:paraId="2A52750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外购</w:t>
                  </w:r>
                </w:p>
              </w:tc>
            </w:tr>
            <w:tr w14:paraId="0C6137B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032" w:type="dxa"/>
                  <w:gridSpan w:val="7"/>
                  <w:tcBorders>
                    <w:tl2br w:val="nil"/>
                    <w:tr2bl w:val="nil"/>
                  </w:tcBorders>
                  <w:noWrap w:val="0"/>
                  <w:vAlign w:val="center"/>
                </w:tcPr>
                <w:p w14:paraId="7B41B4D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普通沥青混凝土</w:t>
                  </w:r>
                </w:p>
              </w:tc>
            </w:tr>
            <w:tr w14:paraId="3F24046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52" w:type="dxa"/>
                  <w:vMerge w:val="restart"/>
                  <w:tcBorders>
                    <w:tl2br w:val="nil"/>
                    <w:tr2bl w:val="nil"/>
                  </w:tcBorders>
                  <w:noWrap w:val="0"/>
                  <w:vAlign w:val="center"/>
                </w:tcPr>
                <w:p w14:paraId="76773EE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原（辅）料</w:t>
                  </w:r>
                </w:p>
              </w:tc>
              <w:tc>
                <w:tcPr>
                  <w:tcW w:w="1407" w:type="dxa"/>
                  <w:tcBorders>
                    <w:tl2br w:val="nil"/>
                    <w:tr2bl w:val="nil"/>
                  </w:tcBorders>
                  <w:noWrap w:val="0"/>
                  <w:vAlign w:val="center"/>
                </w:tcPr>
                <w:p w14:paraId="5493AC3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普通沥青</w:t>
                  </w:r>
                </w:p>
              </w:tc>
              <w:tc>
                <w:tcPr>
                  <w:tcW w:w="879" w:type="dxa"/>
                  <w:tcBorders>
                    <w:tl2br w:val="nil"/>
                    <w:tr2bl w:val="nil"/>
                  </w:tcBorders>
                  <w:noWrap w:val="0"/>
                  <w:vAlign w:val="center"/>
                </w:tcPr>
                <w:p w14:paraId="7CC873D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t/a</w:t>
                  </w:r>
                </w:p>
              </w:tc>
              <w:tc>
                <w:tcPr>
                  <w:tcW w:w="1013" w:type="dxa"/>
                  <w:tcBorders>
                    <w:tl2br w:val="nil"/>
                    <w:tr2bl w:val="nil"/>
                  </w:tcBorders>
                  <w:noWrap w:val="0"/>
                  <w:vAlign w:val="center"/>
                </w:tcPr>
                <w:p w14:paraId="13F1B43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12500</w:t>
                  </w:r>
                </w:p>
              </w:tc>
              <w:tc>
                <w:tcPr>
                  <w:tcW w:w="871" w:type="dxa"/>
                  <w:tcBorders>
                    <w:tl2br w:val="nil"/>
                    <w:tr2bl w:val="nil"/>
                  </w:tcBorders>
                  <w:noWrap w:val="0"/>
                  <w:vAlign w:val="center"/>
                </w:tcPr>
                <w:p w14:paraId="1A6CFA0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100</w:t>
                  </w:r>
                </w:p>
              </w:tc>
              <w:tc>
                <w:tcPr>
                  <w:tcW w:w="1368" w:type="dxa"/>
                  <w:tcBorders>
                    <w:tl2br w:val="nil"/>
                    <w:tr2bl w:val="nil"/>
                  </w:tcBorders>
                  <w:noWrap w:val="0"/>
                  <w:vAlign w:val="center"/>
                </w:tcPr>
                <w:p w14:paraId="0199B12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沥青储罐</w:t>
                  </w:r>
                </w:p>
              </w:tc>
              <w:tc>
                <w:tcPr>
                  <w:tcW w:w="1642" w:type="dxa"/>
                  <w:tcBorders>
                    <w:tl2br w:val="nil"/>
                    <w:tr2bl w:val="nil"/>
                  </w:tcBorders>
                  <w:noWrap w:val="0"/>
                  <w:vAlign w:val="center"/>
                </w:tcPr>
                <w:p w14:paraId="42A4D46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外购</w:t>
                  </w:r>
                </w:p>
              </w:tc>
            </w:tr>
            <w:tr w14:paraId="10FE6A8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52" w:type="dxa"/>
                  <w:vMerge w:val="continue"/>
                  <w:tcBorders>
                    <w:tl2br w:val="nil"/>
                    <w:tr2bl w:val="nil"/>
                  </w:tcBorders>
                  <w:noWrap w:val="0"/>
                  <w:vAlign w:val="center"/>
                </w:tcPr>
                <w:p w14:paraId="2C6E59F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sz w:val="21"/>
                      <w:szCs w:val="21"/>
                      <w:vertAlign w:val="baseline"/>
                      <w:lang w:val="en-US" w:eastAsia="zh-CN"/>
                    </w:rPr>
                  </w:pPr>
                </w:p>
              </w:tc>
              <w:tc>
                <w:tcPr>
                  <w:tcW w:w="1407" w:type="dxa"/>
                  <w:tcBorders>
                    <w:tl2br w:val="nil"/>
                    <w:tr2bl w:val="nil"/>
                  </w:tcBorders>
                  <w:noWrap w:val="0"/>
                  <w:vAlign w:val="center"/>
                </w:tcPr>
                <w:p w14:paraId="2CD10E1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普通碎石</w:t>
                  </w:r>
                </w:p>
              </w:tc>
              <w:tc>
                <w:tcPr>
                  <w:tcW w:w="879" w:type="dxa"/>
                  <w:tcBorders>
                    <w:tl2br w:val="nil"/>
                    <w:tr2bl w:val="nil"/>
                  </w:tcBorders>
                  <w:noWrap w:val="0"/>
                  <w:vAlign w:val="center"/>
                </w:tcPr>
                <w:p w14:paraId="599913D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t/a</w:t>
                  </w:r>
                </w:p>
              </w:tc>
              <w:tc>
                <w:tcPr>
                  <w:tcW w:w="1013" w:type="dxa"/>
                  <w:tcBorders>
                    <w:tl2br w:val="nil"/>
                    <w:tr2bl w:val="nil"/>
                  </w:tcBorders>
                  <w:noWrap w:val="0"/>
                  <w:vAlign w:val="center"/>
                </w:tcPr>
                <w:p w14:paraId="3F864D9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196000</w:t>
                  </w:r>
                </w:p>
              </w:tc>
              <w:tc>
                <w:tcPr>
                  <w:tcW w:w="871" w:type="dxa"/>
                  <w:tcBorders>
                    <w:tl2br w:val="nil"/>
                    <w:tr2bl w:val="nil"/>
                  </w:tcBorders>
                  <w:noWrap w:val="0"/>
                  <w:vAlign w:val="center"/>
                </w:tcPr>
                <w:p w14:paraId="39B3E30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3000</w:t>
                  </w:r>
                </w:p>
              </w:tc>
              <w:tc>
                <w:tcPr>
                  <w:tcW w:w="1368" w:type="dxa"/>
                  <w:tcBorders>
                    <w:tl2br w:val="nil"/>
                    <w:tr2bl w:val="nil"/>
                  </w:tcBorders>
                  <w:noWrap w:val="0"/>
                  <w:vAlign w:val="center"/>
                </w:tcPr>
                <w:p w14:paraId="3AE987B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砂石骨料仓</w:t>
                  </w:r>
                </w:p>
              </w:tc>
              <w:tc>
                <w:tcPr>
                  <w:tcW w:w="1642" w:type="dxa"/>
                  <w:tcBorders>
                    <w:tl2br w:val="nil"/>
                    <w:tr2bl w:val="nil"/>
                  </w:tcBorders>
                  <w:noWrap w:val="0"/>
                  <w:vAlign w:val="center"/>
                </w:tcPr>
                <w:p w14:paraId="15979CB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外购</w:t>
                  </w:r>
                </w:p>
              </w:tc>
            </w:tr>
            <w:tr w14:paraId="3070A3F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52" w:type="dxa"/>
                  <w:vMerge w:val="continue"/>
                  <w:tcBorders>
                    <w:tl2br w:val="nil"/>
                    <w:tr2bl w:val="nil"/>
                  </w:tcBorders>
                  <w:noWrap w:val="0"/>
                  <w:vAlign w:val="center"/>
                </w:tcPr>
                <w:p w14:paraId="799D961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sz w:val="21"/>
                      <w:szCs w:val="21"/>
                      <w:vertAlign w:val="baseline"/>
                      <w:lang w:val="en-US" w:eastAsia="zh-CN"/>
                    </w:rPr>
                  </w:pPr>
                </w:p>
              </w:tc>
              <w:tc>
                <w:tcPr>
                  <w:tcW w:w="1407" w:type="dxa"/>
                  <w:tcBorders>
                    <w:tl2br w:val="nil"/>
                    <w:tr2bl w:val="nil"/>
                  </w:tcBorders>
                  <w:noWrap w:val="0"/>
                  <w:vAlign w:val="center"/>
                </w:tcPr>
                <w:p w14:paraId="6662E96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粉料</w:t>
                  </w:r>
                </w:p>
              </w:tc>
              <w:tc>
                <w:tcPr>
                  <w:tcW w:w="879" w:type="dxa"/>
                  <w:tcBorders>
                    <w:tl2br w:val="nil"/>
                    <w:tr2bl w:val="nil"/>
                  </w:tcBorders>
                  <w:noWrap w:val="0"/>
                  <w:vAlign w:val="center"/>
                </w:tcPr>
                <w:p w14:paraId="19A0C37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t/a</w:t>
                  </w:r>
                </w:p>
              </w:tc>
              <w:tc>
                <w:tcPr>
                  <w:tcW w:w="1013" w:type="dxa"/>
                  <w:tcBorders>
                    <w:tl2br w:val="nil"/>
                    <w:tr2bl w:val="nil"/>
                  </w:tcBorders>
                  <w:noWrap w:val="0"/>
                  <w:vAlign w:val="center"/>
                </w:tcPr>
                <w:p w14:paraId="5F96002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12200</w:t>
                  </w:r>
                </w:p>
              </w:tc>
              <w:tc>
                <w:tcPr>
                  <w:tcW w:w="871" w:type="dxa"/>
                  <w:tcBorders>
                    <w:tl2br w:val="nil"/>
                    <w:tr2bl w:val="nil"/>
                  </w:tcBorders>
                  <w:noWrap w:val="0"/>
                  <w:vAlign w:val="center"/>
                </w:tcPr>
                <w:p w14:paraId="4DD1915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80</w:t>
                  </w:r>
                </w:p>
              </w:tc>
              <w:tc>
                <w:tcPr>
                  <w:tcW w:w="1368" w:type="dxa"/>
                  <w:tcBorders>
                    <w:tl2br w:val="nil"/>
                    <w:tr2bl w:val="nil"/>
                  </w:tcBorders>
                  <w:noWrap w:val="0"/>
                  <w:vAlign w:val="center"/>
                </w:tcPr>
                <w:p w14:paraId="1A8BF59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粉料筒仓</w:t>
                  </w:r>
                </w:p>
              </w:tc>
              <w:tc>
                <w:tcPr>
                  <w:tcW w:w="1642" w:type="dxa"/>
                  <w:tcBorders>
                    <w:tl2br w:val="nil"/>
                    <w:tr2bl w:val="nil"/>
                  </w:tcBorders>
                  <w:noWrap w:val="0"/>
                  <w:vAlign w:val="center"/>
                </w:tcPr>
                <w:p w14:paraId="29FF13C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外购</w:t>
                  </w:r>
                </w:p>
              </w:tc>
            </w:tr>
            <w:tr w14:paraId="53F1259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52" w:type="dxa"/>
                  <w:vMerge w:val="continue"/>
                  <w:tcBorders>
                    <w:tl2br w:val="nil"/>
                    <w:tr2bl w:val="nil"/>
                  </w:tcBorders>
                  <w:noWrap w:val="0"/>
                  <w:vAlign w:val="center"/>
                </w:tcPr>
                <w:p w14:paraId="67420C8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sz w:val="21"/>
                      <w:szCs w:val="21"/>
                      <w:vertAlign w:val="baseline"/>
                      <w:lang w:val="en-US" w:eastAsia="zh-CN"/>
                    </w:rPr>
                  </w:pPr>
                </w:p>
              </w:tc>
              <w:tc>
                <w:tcPr>
                  <w:tcW w:w="1407" w:type="dxa"/>
                  <w:tcBorders>
                    <w:tl2br w:val="nil"/>
                    <w:tr2bl w:val="nil"/>
                  </w:tcBorders>
                  <w:noWrap w:val="0"/>
                  <w:vAlign w:val="center"/>
                </w:tcPr>
                <w:p w14:paraId="5A34551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机砂</w:t>
                  </w:r>
                </w:p>
              </w:tc>
              <w:tc>
                <w:tcPr>
                  <w:tcW w:w="879" w:type="dxa"/>
                  <w:tcBorders>
                    <w:tl2br w:val="nil"/>
                    <w:tr2bl w:val="nil"/>
                  </w:tcBorders>
                  <w:noWrap w:val="0"/>
                  <w:vAlign w:val="center"/>
                </w:tcPr>
                <w:p w14:paraId="0D58A43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t/a</w:t>
                  </w:r>
                </w:p>
              </w:tc>
              <w:tc>
                <w:tcPr>
                  <w:tcW w:w="1013" w:type="dxa"/>
                  <w:tcBorders>
                    <w:tl2br w:val="nil"/>
                    <w:tr2bl w:val="nil"/>
                  </w:tcBorders>
                  <w:noWrap w:val="0"/>
                  <w:vAlign w:val="center"/>
                </w:tcPr>
                <w:p w14:paraId="43B4031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79900</w:t>
                  </w:r>
                </w:p>
              </w:tc>
              <w:tc>
                <w:tcPr>
                  <w:tcW w:w="871" w:type="dxa"/>
                  <w:tcBorders>
                    <w:tl2br w:val="nil"/>
                    <w:tr2bl w:val="nil"/>
                  </w:tcBorders>
                  <w:noWrap w:val="0"/>
                  <w:vAlign w:val="center"/>
                </w:tcPr>
                <w:p w14:paraId="756C5CD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1000</w:t>
                  </w:r>
                </w:p>
              </w:tc>
              <w:tc>
                <w:tcPr>
                  <w:tcW w:w="1368" w:type="dxa"/>
                  <w:tcBorders>
                    <w:tl2br w:val="nil"/>
                    <w:tr2bl w:val="nil"/>
                  </w:tcBorders>
                  <w:noWrap w:val="0"/>
                  <w:vAlign w:val="center"/>
                </w:tcPr>
                <w:p w14:paraId="4944060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砂石骨料仓</w:t>
                  </w:r>
                </w:p>
              </w:tc>
              <w:tc>
                <w:tcPr>
                  <w:tcW w:w="1642" w:type="dxa"/>
                  <w:tcBorders>
                    <w:tl2br w:val="nil"/>
                    <w:tr2bl w:val="nil"/>
                  </w:tcBorders>
                  <w:noWrap w:val="0"/>
                  <w:vAlign w:val="center"/>
                </w:tcPr>
                <w:p w14:paraId="2003FDA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外购</w:t>
                  </w:r>
                </w:p>
              </w:tc>
            </w:tr>
            <w:tr w14:paraId="39D46C2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032" w:type="dxa"/>
                  <w:gridSpan w:val="7"/>
                  <w:tcBorders>
                    <w:tl2br w:val="nil"/>
                    <w:tr2bl w:val="nil"/>
                  </w:tcBorders>
                  <w:noWrap w:val="0"/>
                  <w:vAlign w:val="center"/>
                </w:tcPr>
                <w:p w14:paraId="39FC11D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热再生沥青混凝土</w:t>
                  </w:r>
                </w:p>
              </w:tc>
            </w:tr>
            <w:tr w14:paraId="19F846E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52" w:type="dxa"/>
                  <w:vMerge w:val="restart"/>
                  <w:tcBorders>
                    <w:tl2br w:val="nil"/>
                    <w:tr2bl w:val="nil"/>
                  </w:tcBorders>
                  <w:noWrap w:val="0"/>
                  <w:vAlign w:val="center"/>
                </w:tcPr>
                <w:p w14:paraId="5B18BAD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原（辅）料</w:t>
                  </w:r>
                </w:p>
              </w:tc>
              <w:tc>
                <w:tcPr>
                  <w:tcW w:w="1407" w:type="dxa"/>
                  <w:tcBorders>
                    <w:tl2br w:val="nil"/>
                    <w:tr2bl w:val="nil"/>
                  </w:tcBorders>
                  <w:noWrap w:val="0"/>
                  <w:vAlign w:val="center"/>
                </w:tcPr>
                <w:p w14:paraId="2518EAF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再生料（沥青混凝土层）</w:t>
                  </w:r>
                </w:p>
              </w:tc>
              <w:tc>
                <w:tcPr>
                  <w:tcW w:w="879" w:type="dxa"/>
                  <w:tcBorders>
                    <w:tl2br w:val="nil"/>
                    <w:tr2bl w:val="nil"/>
                  </w:tcBorders>
                  <w:noWrap w:val="0"/>
                  <w:vAlign w:val="center"/>
                </w:tcPr>
                <w:p w14:paraId="5C58AB2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t/a</w:t>
                  </w:r>
                </w:p>
              </w:tc>
              <w:tc>
                <w:tcPr>
                  <w:tcW w:w="1013" w:type="dxa"/>
                  <w:tcBorders>
                    <w:tl2br w:val="nil"/>
                    <w:tr2bl w:val="nil"/>
                  </w:tcBorders>
                  <w:noWrap w:val="0"/>
                  <w:vAlign w:val="center"/>
                </w:tcPr>
                <w:p w14:paraId="2A2B284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33410</w:t>
                  </w:r>
                </w:p>
              </w:tc>
              <w:tc>
                <w:tcPr>
                  <w:tcW w:w="871" w:type="dxa"/>
                  <w:tcBorders>
                    <w:tl2br w:val="nil"/>
                    <w:tr2bl w:val="nil"/>
                  </w:tcBorders>
                  <w:noWrap w:val="0"/>
                  <w:vAlign w:val="center"/>
                </w:tcPr>
                <w:p w14:paraId="07BBAB9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2000</w:t>
                  </w:r>
                </w:p>
              </w:tc>
              <w:tc>
                <w:tcPr>
                  <w:tcW w:w="1368" w:type="dxa"/>
                  <w:tcBorders>
                    <w:tl2br w:val="nil"/>
                    <w:tr2bl w:val="nil"/>
                  </w:tcBorders>
                  <w:noWrap w:val="0"/>
                  <w:vAlign w:val="center"/>
                </w:tcPr>
                <w:p w14:paraId="0F644EC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再生料仓</w:t>
                  </w:r>
                </w:p>
              </w:tc>
              <w:tc>
                <w:tcPr>
                  <w:tcW w:w="1642" w:type="dxa"/>
                  <w:tcBorders>
                    <w:tl2br w:val="nil"/>
                    <w:tr2bl w:val="nil"/>
                  </w:tcBorders>
                  <w:noWrap w:val="0"/>
                  <w:vAlign w:val="center"/>
                </w:tcPr>
                <w:p w14:paraId="0644A4B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外购</w:t>
                  </w:r>
                </w:p>
              </w:tc>
            </w:tr>
            <w:tr w14:paraId="650E878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52" w:type="dxa"/>
                  <w:vMerge w:val="continue"/>
                  <w:tcBorders>
                    <w:tl2br w:val="nil"/>
                    <w:tr2bl w:val="nil"/>
                  </w:tcBorders>
                  <w:noWrap w:val="0"/>
                  <w:vAlign w:val="center"/>
                </w:tcPr>
                <w:p w14:paraId="577A55E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sz w:val="21"/>
                      <w:szCs w:val="21"/>
                      <w:vertAlign w:val="baseline"/>
                      <w:lang w:val="en-US" w:eastAsia="zh-CN"/>
                    </w:rPr>
                  </w:pPr>
                </w:p>
              </w:tc>
              <w:tc>
                <w:tcPr>
                  <w:tcW w:w="1407" w:type="dxa"/>
                  <w:tcBorders>
                    <w:tl2br w:val="nil"/>
                    <w:tr2bl w:val="nil"/>
                  </w:tcBorders>
                  <w:noWrap w:val="0"/>
                  <w:vAlign w:val="center"/>
                </w:tcPr>
                <w:p w14:paraId="0C9B755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普通沥青</w:t>
                  </w:r>
                </w:p>
              </w:tc>
              <w:tc>
                <w:tcPr>
                  <w:tcW w:w="879" w:type="dxa"/>
                  <w:tcBorders>
                    <w:tl2br w:val="nil"/>
                    <w:tr2bl w:val="nil"/>
                  </w:tcBorders>
                  <w:noWrap w:val="0"/>
                  <w:vAlign w:val="center"/>
                </w:tcPr>
                <w:p w14:paraId="026966A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t/a</w:t>
                  </w:r>
                </w:p>
              </w:tc>
              <w:tc>
                <w:tcPr>
                  <w:tcW w:w="1013" w:type="dxa"/>
                  <w:tcBorders>
                    <w:tl2br w:val="nil"/>
                    <w:tr2bl w:val="nil"/>
                  </w:tcBorders>
                  <w:noWrap w:val="0"/>
                  <w:vAlign w:val="center"/>
                </w:tcPr>
                <w:p w14:paraId="18A837C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3134</w:t>
                  </w:r>
                </w:p>
              </w:tc>
              <w:tc>
                <w:tcPr>
                  <w:tcW w:w="871" w:type="dxa"/>
                  <w:tcBorders>
                    <w:tl2br w:val="nil"/>
                    <w:tr2bl w:val="nil"/>
                  </w:tcBorders>
                  <w:noWrap w:val="0"/>
                  <w:vAlign w:val="center"/>
                </w:tcPr>
                <w:p w14:paraId="60D93D9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50</w:t>
                  </w:r>
                </w:p>
              </w:tc>
              <w:tc>
                <w:tcPr>
                  <w:tcW w:w="1368" w:type="dxa"/>
                  <w:tcBorders>
                    <w:tl2br w:val="nil"/>
                    <w:tr2bl w:val="nil"/>
                  </w:tcBorders>
                  <w:noWrap w:val="0"/>
                  <w:vAlign w:val="center"/>
                </w:tcPr>
                <w:p w14:paraId="1EC10DF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沥青储罐</w:t>
                  </w:r>
                </w:p>
              </w:tc>
              <w:tc>
                <w:tcPr>
                  <w:tcW w:w="1642" w:type="dxa"/>
                  <w:tcBorders>
                    <w:tl2br w:val="nil"/>
                    <w:tr2bl w:val="nil"/>
                  </w:tcBorders>
                  <w:noWrap w:val="0"/>
                  <w:vAlign w:val="center"/>
                </w:tcPr>
                <w:p w14:paraId="106D68A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外购</w:t>
                  </w:r>
                </w:p>
              </w:tc>
            </w:tr>
            <w:tr w14:paraId="1B73EB2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52" w:type="dxa"/>
                  <w:vMerge w:val="continue"/>
                  <w:tcBorders>
                    <w:tl2br w:val="nil"/>
                    <w:tr2bl w:val="nil"/>
                  </w:tcBorders>
                  <w:noWrap w:val="0"/>
                  <w:vAlign w:val="center"/>
                </w:tcPr>
                <w:p w14:paraId="59FABD1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sz w:val="21"/>
                      <w:szCs w:val="21"/>
                      <w:vertAlign w:val="baseline"/>
                      <w:lang w:val="en-US" w:eastAsia="zh-CN"/>
                    </w:rPr>
                  </w:pPr>
                </w:p>
              </w:tc>
              <w:tc>
                <w:tcPr>
                  <w:tcW w:w="1407" w:type="dxa"/>
                  <w:tcBorders>
                    <w:tl2br w:val="nil"/>
                    <w:tr2bl w:val="nil"/>
                  </w:tcBorders>
                  <w:noWrap w:val="0"/>
                  <w:vAlign w:val="center"/>
                </w:tcPr>
                <w:p w14:paraId="239988C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普通碎石</w:t>
                  </w:r>
                </w:p>
              </w:tc>
              <w:tc>
                <w:tcPr>
                  <w:tcW w:w="879" w:type="dxa"/>
                  <w:tcBorders>
                    <w:tl2br w:val="nil"/>
                    <w:tr2bl w:val="nil"/>
                  </w:tcBorders>
                  <w:noWrap w:val="0"/>
                  <w:vAlign w:val="center"/>
                </w:tcPr>
                <w:p w14:paraId="22C504B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t/a</w:t>
                  </w:r>
                </w:p>
              </w:tc>
              <w:tc>
                <w:tcPr>
                  <w:tcW w:w="1013" w:type="dxa"/>
                  <w:tcBorders>
                    <w:tl2br w:val="nil"/>
                    <w:tr2bl w:val="nil"/>
                  </w:tcBorders>
                  <w:noWrap w:val="0"/>
                  <w:vAlign w:val="center"/>
                </w:tcPr>
                <w:p w14:paraId="352883D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43350</w:t>
                  </w:r>
                </w:p>
              </w:tc>
              <w:tc>
                <w:tcPr>
                  <w:tcW w:w="871" w:type="dxa"/>
                  <w:tcBorders>
                    <w:tl2br w:val="nil"/>
                    <w:tr2bl w:val="nil"/>
                  </w:tcBorders>
                  <w:noWrap w:val="0"/>
                  <w:vAlign w:val="center"/>
                </w:tcPr>
                <w:p w14:paraId="0922197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3000</w:t>
                  </w:r>
                </w:p>
              </w:tc>
              <w:tc>
                <w:tcPr>
                  <w:tcW w:w="1368" w:type="dxa"/>
                  <w:tcBorders>
                    <w:tl2br w:val="nil"/>
                    <w:tr2bl w:val="nil"/>
                  </w:tcBorders>
                  <w:noWrap w:val="0"/>
                  <w:vAlign w:val="center"/>
                </w:tcPr>
                <w:p w14:paraId="44A26DC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砂石骨料仓</w:t>
                  </w:r>
                </w:p>
              </w:tc>
              <w:tc>
                <w:tcPr>
                  <w:tcW w:w="1642" w:type="dxa"/>
                  <w:tcBorders>
                    <w:tl2br w:val="nil"/>
                    <w:tr2bl w:val="nil"/>
                  </w:tcBorders>
                  <w:noWrap w:val="0"/>
                  <w:vAlign w:val="center"/>
                </w:tcPr>
                <w:p w14:paraId="1B91EF9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外购</w:t>
                  </w:r>
                </w:p>
              </w:tc>
            </w:tr>
            <w:tr w14:paraId="5D1A574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52" w:type="dxa"/>
                  <w:vMerge w:val="continue"/>
                  <w:tcBorders>
                    <w:tl2br w:val="nil"/>
                    <w:tr2bl w:val="nil"/>
                  </w:tcBorders>
                  <w:noWrap w:val="0"/>
                  <w:vAlign w:val="center"/>
                </w:tcPr>
                <w:p w14:paraId="645E1B2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sz w:val="21"/>
                      <w:szCs w:val="21"/>
                      <w:vertAlign w:val="baseline"/>
                      <w:lang w:val="en-US" w:eastAsia="zh-CN"/>
                    </w:rPr>
                  </w:pPr>
                </w:p>
              </w:tc>
              <w:tc>
                <w:tcPr>
                  <w:tcW w:w="1407" w:type="dxa"/>
                  <w:tcBorders>
                    <w:tl2br w:val="nil"/>
                    <w:tr2bl w:val="nil"/>
                  </w:tcBorders>
                  <w:shd w:val="clear" w:color="auto" w:fill="auto"/>
                  <w:noWrap w:val="0"/>
                  <w:vAlign w:val="center"/>
                </w:tcPr>
                <w:p w14:paraId="2D525A2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粉料</w:t>
                  </w:r>
                </w:p>
              </w:tc>
              <w:tc>
                <w:tcPr>
                  <w:tcW w:w="879" w:type="dxa"/>
                  <w:tcBorders>
                    <w:tl2br w:val="nil"/>
                    <w:tr2bl w:val="nil"/>
                  </w:tcBorders>
                  <w:noWrap w:val="0"/>
                  <w:vAlign w:val="center"/>
                </w:tcPr>
                <w:p w14:paraId="0DFB6F6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t/a</w:t>
                  </w:r>
                </w:p>
              </w:tc>
              <w:tc>
                <w:tcPr>
                  <w:tcW w:w="1013" w:type="dxa"/>
                  <w:tcBorders>
                    <w:tl2br w:val="nil"/>
                    <w:tr2bl w:val="nil"/>
                  </w:tcBorders>
                  <w:noWrap w:val="0"/>
                  <w:vAlign w:val="center"/>
                </w:tcPr>
                <w:p w14:paraId="0894DD8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2692</w:t>
                  </w:r>
                </w:p>
              </w:tc>
              <w:tc>
                <w:tcPr>
                  <w:tcW w:w="871" w:type="dxa"/>
                  <w:tcBorders>
                    <w:tl2br w:val="nil"/>
                    <w:tr2bl w:val="nil"/>
                  </w:tcBorders>
                  <w:noWrap w:val="0"/>
                  <w:vAlign w:val="center"/>
                </w:tcPr>
                <w:p w14:paraId="058F44E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80</w:t>
                  </w:r>
                </w:p>
              </w:tc>
              <w:tc>
                <w:tcPr>
                  <w:tcW w:w="1368" w:type="dxa"/>
                  <w:tcBorders>
                    <w:tl2br w:val="nil"/>
                    <w:tr2bl w:val="nil"/>
                  </w:tcBorders>
                  <w:noWrap w:val="0"/>
                  <w:vAlign w:val="center"/>
                </w:tcPr>
                <w:p w14:paraId="3EE98F0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粉料筒仓</w:t>
                  </w:r>
                </w:p>
              </w:tc>
              <w:tc>
                <w:tcPr>
                  <w:tcW w:w="1642" w:type="dxa"/>
                  <w:tcBorders>
                    <w:tl2br w:val="nil"/>
                    <w:tr2bl w:val="nil"/>
                  </w:tcBorders>
                  <w:noWrap w:val="0"/>
                  <w:vAlign w:val="center"/>
                </w:tcPr>
                <w:p w14:paraId="772AE7D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外购</w:t>
                  </w:r>
                </w:p>
              </w:tc>
            </w:tr>
            <w:tr w14:paraId="4CEEBE9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52" w:type="dxa"/>
                  <w:vMerge w:val="continue"/>
                  <w:tcBorders>
                    <w:tl2br w:val="nil"/>
                    <w:tr2bl w:val="nil"/>
                  </w:tcBorders>
                  <w:noWrap w:val="0"/>
                  <w:vAlign w:val="center"/>
                </w:tcPr>
                <w:p w14:paraId="40DF3FD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sz w:val="21"/>
                      <w:szCs w:val="21"/>
                      <w:vertAlign w:val="baseline"/>
                      <w:lang w:val="en-US" w:eastAsia="zh-CN"/>
                    </w:rPr>
                  </w:pPr>
                </w:p>
              </w:tc>
              <w:tc>
                <w:tcPr>
                  <w:tcW w:w="1407" w:type="dxa"/>
                  <w:tcBorders>
                    <w:tl2br w:val="nil"/>
                    <w:tr2bl w:val="nil"/>
                  </w:tcBorders>
                  <w:shd w:val="clear" w:color="auto" w:fill="auto"/>
                  <w:noWrap w:val="0"/>
                  <w:vAlign w:val="center"/>
                </w:tcPr>
                <w:p w14:paraId="3112EBF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机砂</w:t>
                  </w:r>
                </w:p>
              </w:tc>
              <w:tc>
                <w:tcPr>
                  <w:tcW w:w="879" w:type="dxa"/>
                  <w:tcBorders>
                    <w:tl2br w:val="nil"/>
                    <w:tr2bl w:val="nil"/>
                  </w:tcBorders>
                  <w:noWrap w:val="0"/>
                  <w:vAlign w:val="center"/>
                </w:tcPr>
                <w:p w14:paraId="3ECECFB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t/a</w:t>
                  </w:r>
                </w:p>
              </w:tc>
              <w:tc>
                <w:tcPr>
                  <w:tcW w:w="1013" w:type="dxa"/>
                  <w:tcBorders>
                    <w:tl2br w:val="nil"/>
                    <w:tr2bl w:val="nil"/>
                  </w:tcBorders>
                  <w:noWrap w:val="0"/>
                  <w:vAlign w:val="center"/>
                </w:tcPr>
                <w:p w14:paraId="33BE182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17705</w:t>
                  </w:r>
                </w:p>
              </w:tc>
              <w:tc>
                <w:tcPr>
                  <w:tcW w:w="871" w:type="dxa"/>
                  <w:tcBorders>
                    <w:tl2br w:val="nil"/>
                    <w:tr2bl w:val="nil"/>
                  </w:tcBorders>
                  <w:noWrap w:val="0"/>
                  <w:vAlign w:val="center"/>
                </w:tcPr>
                <w:p w14:paraId="067D078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1000</w:t>
                  </w:r>
                </w:p>
              </w:tc>
              <w:tc>
                <w:tcPr>
                  <w:tcW w:w="1368" w:type="dxa"/>
                  <w:tcBorders>
                    <w:tl2br w:val="nil"/>
                    <w:tr2bl w:val="nil"/>
                  </w:tcBorders>
                  <w:noWrap w:val="0"/>
                  <w:vAlign w:val="center"/>
                </w:tcPr>
                <w:p w14:paraId="725F938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砂石骨料仓</w:t>
                  </w:r>
                </w:p>
              </w:tc>
              <w:tc>
                <w:tcPr>
                  <w:tcW w:w="1642" w:type="dxa"/>
                  <w:tcBorders>
                    <w:tl2br w:val="nil"/>
                    <w:tr2bl w:val="nil"/>
                  </w:tcBorders>
                  <w:noWrap w:val="0"/>
                  <w:vAlign w:val="center"/>
                </w:tcPr>
                <w:p w14:paraId="3553512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外购</w:t>
                  </w:r>
                </w:p>
              </w:tc>
            </w:tr>
            <w:tr w14:paraId="275D39C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032" w:type="dxa"/>
                  <w:gridSpan w:val="7"/>
                  <w:tcBorders>
                    <w:tl2br w:val="nil"/>
                    <w:tr2bl w:val="nil"/>
                  </w:tcBorders>
                  <w:noWrap w:val="0"/>
                  <w:vAlign w:val="center"/>
                </w:tcPr>
                <w:p w14:paraId="6151595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乳化沥青</w:t>
                  </w:r>
                </w:p>
              </w:tc>
            </w:tr>
            <w:tr w14:paraId="14E8FB5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52" w:type="dxa"/>
                  <w:vMerge w:val="restart"/>
                  <w:tcBorders>
                    <w:tl2br w:val="nil"/>
                    <w:tr2bl w:val="nil"/>
                  </w:tcBorders>
                  <w:noWrap w:val="0"/>
                  <w:vAlign w:val="center"/>
                </w:tcPr>
                <w:p w14:paraId="7BCDFDA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原（辅）料</w:t>
                  </w:r>
                </w:p>
              </w:tc>
              <w:tc>
                <w:tcPr>
                  <w:tcW w:w="1407" w:type="dxa"/>
                  <w:tcBorders>
                    <w:tl2br w:val="nil"/>
                    <w:tr2bl w:val="nil"/>
                  </w:tcBorders>
                  <w:shd w:val="clear" w:color="auto" w:fill="auto"/>
                  <w:noWrap w:val="0"/>
                  <w:vAlign w:val="center"/>
                </w:tcPr>
                <w:p w14:paraId="12953B9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普通沥青</w:t>
                  </w:r>
                </w:p>
              </w:tc>
              <w:tc>
                <w:tcPr>
                  <w:tcW w:w="879" w:type="dxa"/>
                  <w:tcBorders>
                    <w:tl2br w:val="nil"/>
                    <w:tr2bl w:val="nil"/>
                  </w:tcBorders>
                  <w:noWrap w:val="0"/>
                  <w:vAlign w:val="center"/>
                </w:tcPr>
                <w:p w14:paraId="2287D1B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t/a</w:t>
                  </w:r>
                </w:p>
              </w:tc>
              <w:tc>
                <w:tcPr>
                  <w:tcW w:w="1013" w:type="dxa"/>
                  <w:tcBorders>
                    <w:tl2br w:val="nil"/>
                    <w:tr2bl w:val="nil"/>
                  </w:tcBorders>
                  <w:noWrap w:val="0"/>
                  <w:vAlign w:val="center"/>
                </w:tcPr>
                <w:p w14:paraId="6389189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3000</w:t>
                  </w:r>
                </w:p>
              </w:tc>
              <w:tc>
                <w:tcPr>
                  <w:tcW w:w="871" w:type="dxa"/>
                  <w:tcBorders>
                    <w:tl2br w:val="nil"/>
                    <w:tr2bl w:val="nil"/>
                  </w:tcBorders>
                  <w:noWrap w:val="0"/>
                  <w:vAlign w:val="center"/>
                </w:tcPr>
                <w:p w14:paraId="3E28838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50</w:t>
                  </w:r>
                </w:p>
              </w:tc>
              <w:tc>
                <w:tcPr>
                  <w:tcW w:w="1368" w:type="dxa"/>
                  <w:tcBorders>
                    <w:tl2br w:val="nil"/>
                    <w:tr2bl w:val="nil"/>
                  </w:tcBorders>
                  <w:noWrap w:val="0"/>
                  <w:vAlign w:val="center"/>
                </w:tcPr>
                <w:p w14:paraId="7992B49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沥青储罐</w:t>
                  </w:r>
                </w:p>
              </w:tc>
              <w:tc>
                <w:tcPr>
                  <w:tcW w:w="1642" w:type="dxa"/>
                  <w:tcBorders>
                    <w:tl2br w:val="nil"/>
                    <w:tr2bl w:val="nil"/>
                  </w:tcBorders>
                  <w:noWrap w:val="0"/>
                  <w:vAlign w:val="center"/>
                </w:tcPr>
                <w:p w14:paraId="1362332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外购</w:t>
                  </w:r>
                </w:p>
              </w:tc>
            </w:tr>
            <w:tr w14:paraId="3962B26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52" w:type="dxa"/>
                  <w:vMerge w:val="continue"/>
                  <w:tcBorders>
                    <w:tl2br w:val="nil"/>
                    <w:tr2bl w:val="nil"/>
                  </w:tcBorders>
                  <w:noWrap w:val="0"/>
                  <w:vAlign w:val="center"/>
                </w:tcPr>
                <w:p w14:paraId="12FEDE1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sz w:val="21"/>
                      <w:szCs w:val="21"/>
                      <w:vertAlign w:val="baseline"/>
                      <w:lang w:val="en-US" w:eastAsia="zh-CN"/>
                    </w:rPr>
                  </w:pPr>
                </w:p>
              </w:tc>
              <w:tc>
                <w:tcPr>
                  <w:tcW w:w="1407" w:type="dxa"/>
                  <w:tcBorders>
                    <w:tl2br w:val="nil"/>
                    <w:tr2bl w:val="nil"/>
                  </w:tcBorders>
                  <w:shd w:val="clear" w:color="auto" w:fill="auto"/>
                  <w:noWrap w:val="0"/>
                  <w:vAlign w:val="center"/>
                </w:tcPr>
                <w:p w14:paraId="1F597B2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乳化剂</w:t>
                  </w:r>
                </w:p>
              </w:tc>
              <w:tc>
                <w:tcPr>
                  <w:tcW w:w="879" w:type="dxa"/>
                  <w:tcBorders>
                    <w:tl2br w:val="nil"/>
                    <w:tr2bl w:val="nil"/>
                  </w:tcBorders>
                  <w:noWrap w:val="0"/>
                  <w:vAlign w:val="center"/>
                </w:tcPr>
                <w:p w14:paraId="7BE00E2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t/a</w:t>
                  </w:r>
                </w:p>
              </w:tc>
              <w:tc>
                <w:tcPr>
                  <w:tcW w:w="1013" w:type="dxa"/>
                  <w:tcBorders>
                    <w:tl2br w:val="nil"/>
                    <w:tr2bl w:val="nil"/>
                  </w:tcBorders>
                  <w:noWrap w:val="0"/>
                  <w:vAlign w:val="center"/>
                </w:tcPr>
                <w:p w14:paraId="39534D8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300</w:t>
                  </w:r>
                </w:p>
              </w:tc>
              <w:tc>
                <w:tcPr>
                  <w:tcW w:w="871" w:type="dxa"/>
                  <w:tcBorders>
                    <w:tl2br w:val="nil"/>
                    <w:tr2bl w:val="nil"/>
                  </w:tcBorders>
                  <w:noWrap w:val="0"/>
                  <w:vAlign w:val="center"/>
                </w:tcPr>
                <w:p w14:paraId="3720338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2.5</w:t>
                  </w:r>
                </w:p>
              </w:tc>
              <w:tc>
                <w:tcPr>
                  <w:tcW w:w="1368" w:type="dxa"/>
                  <w:tcBorders>
                    <w:tl2br w:val="nil"/>
                    <w:tr2bl w:val="nil"/>
                  </w:tcBorders>
                  <w:noWrap w:val="0"/>
                  <w:vAlign w:val="center"/>
                </w:tcPr>
                <w:p w14:paraId="5133287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桶装，25kg/桶，化学品库房</w:t>
                  </w:r>
                </w:p>
              </w:tc>
              <w:tc>
                <w:tcPr>
                  <w:tcW w:w="1642" w:type="dxa"/>
                  <w:tcBorders>
                    <w:tl2br w:val="nil"/>
                    <w:tr2bl w:val="nil"/>
                  </w:tcBorders>
                  <w:noWrap w:val="0"/>
                  <w:vAlign w:val="center"/>
                </w:tcPr>
                <w:p w14:paraId="13BF3E8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外购</w:t>
                  </w:r>
                </w:p>
              </w:tc>
            </w:tr>
            <w:tr w14:paraId="3CFA50E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52" w:type="dxa"/>
                  <w:vMerge w:val="continue"/>
                  <w:tcBorders>
                    <w:tl2br w:val="nil"/>
                    <w:tr2bl w:val="nil"/>
                  </w:tcBorders>
                  <w:noWrap w:val="0"/>
                  <w:vAlign w:val="center"/>
                </w:tcPr>
                <w:p w14:paraId="1996C7E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sz w:val="21"/>
                      <w:szCs w:val="21"/>
                      <w:vertAlign w:val="baseline"/>
                      <w:lang w:val="en-US" w:eastAsia="zh-CN"/>
                    </w:rPr>
                  </w:pPr>
                </w:p>
              </w:tc>
              <w:tc>
                <w:tcPr>
                  <w:tcW w:w="1407" w:type="dxa"/>
                  <w:tcBorders>
                    <w:tl2br w:val="nil"/>
                    <w:tr2bl w:val="nil"/>
                  </w:tcBorders>
                  <w:shd w:val="clear" w:color="auto" w:fill="auto"/>
                  <w:noWrap w:val="0"/>
                  <w:vAlign w:val="center"/>
                </w:tcPr>
                <w:p w14:paraId="259072D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水</w:t>
                  </w:r>
                </w:p>
              </w:tc>
              <w:tc>
                <w:tcPr>
                  <w:tcW w:w="879" w:type="dxa"/>
                  <w:tcBorders>
                    <w:tl2br w:val="nil"/>
                    <w:tr2bl w:val="nil"/>
                  </w:tcBorders>
                  <w:noWrap w:val="0"/>
                  <w:vAlign w:val="center"/>
                </w:tcPr>
                <w:p w14:paraId="1346947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t/a</w:t>
                  </w:r>
                </w:p>
              </w:tc>
              <w:tc>
                <w:tcPr>
                  <w:tcW w:w="1013" w:type="dxa"/>
                  <w:tcBorders>
                    <w:tl2br w:val="nil"/>
                    <w:tr2bl w:val="nil"/>
                  </w:tcBorders>
                  <w:noWrap w:val="0"/>
                  <w:vAlign w:val="center"/>
                </w:tcPr>
                <w:p w14:paraId="5087DA9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2700</w:t>
                  </w:r>
                </w:p>
              </w:tc>
              <w:tc>
                <w:tcPr>
                  <w:tcW w:w="871" w:type="dxa"/>
                  <w:tcBorders>
                    <w:tl2br w:val="nil"/>
                    <w:tr2bl w:val="nil"/>
                  </w:tcBorders>
                  <w:noWrap w:val="0"/>
                  <w:vAlign w:val="center"/>
                </w:tcPr>
                <w:p w14:paraId="6617BFF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368" w:type="dxa"/>
                  <w:tcBorders>
                    <w:tl2br w:val="nil"/>
                    <w:tr2bl w:val="nil"/>
                  </w:tcBorders>
                  <w:noWrap w:val="0"/>
                  <w:vAlign w:val="center"/>
                </w:tcPr>
                <w:p w14:paraId="1E13E8B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642" w:type="dxa"/>
                  <w:tcBorders>
                    <w:tl2br w:val="nil"/>
                    <w:tr2bl w:val="nil"/>
                  </w:tcBorders>
                  <w:noWrap w:val="0"/>
                  <w:vAlign w:val="center"/>
                </w:tcPr>
                <w:p w14:paraId="504C7EB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自来水管网</w:t>
                  </w:r>
                </w:p>
              </w:tc>
            </w:tr>
            <w:tr w14:paraId="737E887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032" w:type="dxa"/>
                  <w:gridSpan w:val="7"/>
                  <w:tcBorders>
                    <w:tl2br w:val="nil"/>
                    <w:tr2bl w:val="nil"/>
                  </w:tcBorders>
                  <w:noWrap w:val="0"/>
                  <w:vAlign w:val="center"/>
                </w:tcPr>
                <w:p w14:paraId="1F9163E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其他</w:t>
                  </w:r>
                </w:p>
              </w:tc>
            </w:tr>
            <w:tr w14:paraId="46A865E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52" w:type="dxa"/>
                  <w:vMerge w:val="restart"/>
                  <w:tcBorders>
                    <w:tl2br w:val="nil"/>
                    <w:tr2bl w:val="nil"/>
                  </w:tcBorders>
                  <w:noWrap w:val="0"/>
                  <w:vAlign w:val="center"/>
                </w:tcPr>
                <w:p w14:paraId="552D083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其他</w:t>
                  </w:r>
                </w:p>
              </w:tc>
              <w:tc>
                <w:tcPr>
                  <w:tcW w:w="1407" w:type="dxa"/>
                  <w:tcBorders>
                    <w:tl2br w:val="nil"/>
                    <w:tr2bl w:val="nil"/>
                  </w:tcBorders>
                  <w:noWrap w:val="0"/>
                  <w:vAlign w:val="center"/>
                </w:tcPr>
                <w:p w14:paraId="335725D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导热油</w:t>
                  </w:r>
                </w:p>
              </w:tc>
              <w:tc>
                <w:tcPr>
                  <w:tcW w:w="879" w:type="dxa"/>
                  <w:tcBorders>
                    <w:tl2br w:val="nil"/>
                    <w:tr2bl w:val="nil"/>
                  </w:tcBorders>
                  <w:noWrap w:val="0"/>
                  <w:vAlign w:val="center"/>
                </w:tcPr>
                <w:p w14:paraId="3F536A2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t/a</w:t>
                  </w:r>
                </w:p>
              </w:tc>
              <w:tc>
                <w:tcPr>
                  <w:tcW w:w="1013" w:type="dxa"/>
                  <w:tcBorders>
                    <w:tl2br w:val="nil"/>
                    <w:tr2bl w:val="nil"/>
                  </w:tcBorders>
                  <w:noWrap w:val="0"/>
                  <w:vAlign w:val="center"/>
                </w:tcPr>
                <w:p w14:paraId="0D69CE5D">
                  <w:pPr>
                    <w:keepNext w:val="0"/>
                    <w:keepLines w:val="0"/>
                    <w:pageBreakBefore w:val="0"/>
                    <w:widowControl w:val="0"/>
                    <w:tabs>
                      <w:tab w:val="left" w:pos="548"/>
                    </w:tabs>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871" w:type="dxa"/>
                  <w:tcBorders>
                    <w:tl2br w:val="nil"/>
                    <w:tr2bl w:val="nil"/>
                  </w:tcBorders>
                  <w:noWrap w:val="0"/>
                  <w:vAlign w:val="center"/>
                </w:tcPr>
                <w:p w14:paraId="1DC7C53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1368" w:type="dxa"/>
                  <w:tcBorders>
                    <w:tl2br w:val="nil"/>
                    <w:tr2bl w:val="nil"/>
                  </w:tcBorders>
                  <w:noWrap w:val="0"/>
                  <w:vAlign w:val="center"/>
                </w:tcPr>
                <w:p w14:paraId="6D87F60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c>
                <w:tcPr>
                  <w:tcW w:w="1642" w:type="dxa"/>
                  <w:tcBorders>
                    <w:tl2br w:val="nil"/>
                    <w:tr2bl w:val="nil"/>
                  </w:tcBorders>
                  <w:noWrap w:val="0"/>
                  <w:vAlign w:val="center"/>
                </w:tcPr>
                <w:p w14:paraId="28D1B41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外购</w:t>
                  </w:r>
                </w:p>
              </w:tc>
            </w:tr>
            <w:tr w14:paraId="3393FEA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52" w:type="dxa"/>
                  <w:vMerge w:val="continue"/>
                  <w:tcBorders>
                    <w:tl2br w:val="nil"/>
                    <w:tr2bl w:val="nil"/>
                  </w:tcBorders>
                  <w:noWrap w:val="0"/>
                  <w:vAlign w:val="center"/>
                </w:tcPr>
                <w:p w14:paraId="41EC626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sz w:val="21"/>
                      <w:szCs w:val="21"/>
                      <w:vertAlign w:val="baseline"/>
                      <w:lang w:val="en-US" w:eastAsia="zh-CN"/>
                    </w:rPr>
                  </w:pPr>
                </w:p>
              </w:tc>
              <w:tc>
                <w:tcPr>
                  <w:tcW w:w="1407" w:type="dxa"/>
                  <w:tcBorders>
                    <w:tl2br w:val="nil"/>
                    <w:tr2bl w:val="nil"/>
                  </w:tcBorders>
                  <w:noWrap w:val="0"/>
                  <w:vAlign w:val="center"/>
                </w:tcPr>
                <w:p w14:paraId="0AF91C1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润滑油</w:t>
                  </w:r>
                </w:p>
              </w:tc>
              <w:tc>
                <w:tcPr>
                  <w:tcW w:w="879" w:type="dxa"/>
                  <w:tcBorders>
                    <w:tl2br w:val="nil"/>
                    <w:tr2bl w:val="nil"/>
                  </w:tcBorders>
                  <w:noWrap w:val="0"/>
                  <w:vAlign w:val="center"/>
                </w:tcPr>
                <w:p w14:paraId="23983E2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t/a</w:t>
                  </w:r>
                </w:p>
              </w:tc>
              <w:tc>
                <w:tcPr>
                  <w:tcW w:w="1013" w:type="dxa"/>
                  <w:tcBorders>
                    <w:tl2br w:val="nil"/>
                    <w:tr2bl w:val="nil"/>
                  </w:tcBorders>
                  <w:noWrap w:val="0"/>
                  <w:vAlign w:val="center"/>
                </w:tcPr>
                <w:p w14:paraId="032D9F3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2.5</w:t>
                  </w:r>
                </w:p>
              </w:tc>
              <w:tc>
                <w:tcPr>
                  <w:tcW w:w="871" w:type="dxa"/>
                  <w:tcBorders>
                    <w:tl2br w:val="nil"/>
                    <w:tr2bl w:val="nil"/>
                  </w:tcBorders>
                  <w:noWrap w:val="0"/>
                  <w:vAlign w:val="center"/>
                </w:tcPr>
                <w:p w14:paraId="0DFB9F9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0.5</w:t>
                  </w:r>
                </w:p>
              </w:tc>
              <w:tc>
                <w:tcPr>
                  <w:tcW w:w="1368" w:type="dxa"/>
                  <w:tcBorders>
                    <w:tl2br w:val="nil"/>
                    <w:tr2bl w:val="nil"/>
                  </w:tcBorders>
                  <w:noWrap w:val="0"/>
                  <w:vAlign w:val="center"/>
                </w:tcPr>
                <w:p w14:paraId="34954C9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桶装，25kg/桶，化学品库房</w:t>
                  </w:r>
                </w:p>
              </w:tc>
              <w:tc>
                <w:tcPr>
                  <w:tcW w:w="1642" w:type="dxa"/>
                  <w:tcBorders>
                    <w:tl2br w:val="nil"/>
                    <w:tr2bl w:val="nil"/>
                  </w:tcBorders>
                  <w:noWrap w:val="0"/>
                  <w:vAlign w:val="center"/>
                </w:tcPr>
                <w:p w14:paraId="0189759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外购</w:t>
                  </w:r>
                </w:p>
              </w:tc>
            </w:tr>
            <w:tr w14:paraId="6F963ED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52" w:type="dxa"/>
                  <w:vMerge w:val="restart"/>
                  <w:tcBorders>
                    <w:tl2br w:val="nil"/>
                    <w:tr2bl w:val="nil"/>
                  </w:tcBorders>
                  <w:noWrap w:val="0"/>
                  <w:vAlign w:val="center"/>
                </w:tcPr>
                <w:p w14:paraId="11E15A2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能源</w:t>
                  </w:r>
                </w:p>
              </w:tc>
              <w:tc>
                <w:tcPr>
                  <w:tcW w:w="1407" w:type="dxa"/>
                  <w:tcBorders>
                    <w:tl2br w:val="nil"/>
                    <w:tr2bl w:val="nil"/>
                  </w:tcBorders>
                  <w:noWrap w:val="0"/>
                  <w:vAlign w:val="center"/>
                </w:tcPr>
                <w:p w14:paraId="5B43C25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电</w:t>
                  </w:r>
                </w:p>
              </w:tc>
              <w:tc>
                <w:tcPr>
                  <w:tcW w:w="879" w:type="dxa"/>
                  <w:tcBorders>
                    <w:tl2br w:val="nil"/>
                    <w:tr2bl w:val="nil"/>
                  </w:tcBorders>
                  <w:noWrap w:val="0"/>
                  <w:vAlign w:val="center"/>
                </w:tcPr>
                <w:p w14:paraId="2BEB697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kW•h</w:t>
                  </w:r>
                  <w:r>
                    <w:rPr>
                      <w:rFonts w:hint="eastAsia" w:ascii="Times New Roman" w:hAnsi="Times New Roman" w:eastAsia="宋体" w:cs="Times New Roman"/>
                      <w:b w:val="0"/>
                      <w:bCs w:val="0"/>
                      <w:sz w:val="21"/>
                      <w:szCs w:val="21"/>
                      <w:highlight w:val="none"/>
                      <w:vertAlign w:val="baseline"/>
                      <w:lang w:val="en-US" w:eastAsia="zh-CN"/>
                    </w:rPr>
                    <w:t>/a</w:t>
                  </w:r>
                </w:p>
              </w:tc>
              <w:tc>
                <w:tcPr>
                  <w:tcW w:w="1013" w:type="dxa"/>
                  <w:tcBorders>
                    <w:tl2br w:val="nil"/>
                    <w:tr2bl w:val="nil"/>
                  </w:tcBorders>
                  <w:noWrap w:val="0"/>
                  <w:vAlign w:val="center"/>
                </w:tcPr>
                <w:p w14:paraId="044FA60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200</w:t>
                  </w:r>
                </w:p>
              </w:tc>
              <w:tc>
                <w:tcPr>
                  <w:tcW w:w="2239" w:type="dxa"/>
                  <w:gridSpan w:val="2"/>
                  <w:vMerge w:val="restart"/>
                  <w:tcBorders>
                    <w:tl2br w:val="nil"/>
                    <w:tr2bl w:val="nil"/>
                  </w:tcBorders>
                  <w:noWrap w:val="0"/>
                  <w:vAlign w:val="center"/>
                </w:tcPr>
                <w:p w14:paraId="095DB2B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val="en-US" w:eastAsia="zh-CN"/>
                    </w:rPr>
                    <w:t>/</w:t>
                  </w:r>
                </w:p>
              </w:tc>
              <w:tc>
                <w:tcPr>
                  <w:tcW w:w="1642" w:type="dxa"/>
                  <w:tcBorders>
                    <w:tl2br w:val="nil"/>
                    <w:tr2bl w:val="nil"/>
                  </w:tcBorders>
                  <w:noWrap w:val="0"/>
                  <w:vAlign w:val="center"/>
                </w:tcPr>
                <w:p w14:paraId="31F5D07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国家电网</w:t>
                  </w:r>
                </w:p>
              </w:tc>
            </w:tr>
            <w:tr w14:paraId="1889DB0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52" w:type="dxa"/>
                  <w:vMerge w:val="continue"/>
                  <w:tcBorders>
                    <w:tl2br w:val="nil"/>
                    <w:tr2bl w:val="nil"/>
                  </w:tcBorders>
                  <w:noWrap w:val="0"/>
                  <w:vAlign w:val="center"/>
                </w:tcPr>
                <w:p w14:paraId="3503050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rPr>
                  </w:pPr>
                </w:p>
              </w:tc>
              <w:tc>
                <w:tcPr>
                  <w:tcW w:w="1407" w:type="dxa"/>
                  <w:tcBorders>
                    <w:tl2br w:val="nil"/>
                    <w:tr2bl w:val="nil"/>
                  </w:tcBorders>
                  <w:noWrap w:val="0"/>
                  <w:vAlign w:val="center"/>
                </w:tcPr>
                <w:p w14:paraId="7D3B720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水</w:t>
                  </w:r>
                </w:p>
              </w:tc>
              <w:tc>
                <w:tcPr>
                  <w:tcW w:w="879" w:type="dxa"/>
                  <w:tcBorders>
                    <w:tl2br w:val="nil"/>
                    <w:tr2bl w:val="nil"/>
                  </w:tcBorders>
                  <w:noWrap w:val="0"/>
                  <w:vAlign w:val="center"/>
                </w:tcPr>
                <w:p w14:paraId="2D11860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m</w:t>
                  </w:r>
                  <w:r>
                    <w:rPr>
                      <w:rFonts w:hint="default" w:ascii="Times New Roman" w:hAnsi="Times New Roman" w:eastAsia="宋体" w:cs="Times New Roman"/>
                      <w:b w:val="0"/>
                      <w:bCs w:val="0"/>
                      <w:sz w:val="21"/>
                      <w:szCs w:val="21"/>
                      <w:highlight w:val="none"/>
                      <w:vertAlign w:val="superscript"/>
                      <w:lang w:val="en-US" w:eastAsia="zh-CN"/>
                    </w:rPr>
                    <w:t>3</w:t>
                  </w:r>
                  <w:r>
                    <w:rPr>
                      <w:rFonts w:hint="eastAsia" w:ascii="Times New Roman" w:hAnsi="Times New Roman" w:eastAsia="宋体" w:cs="Times New Roman"/>
                      <w:b w:val="0"/>
                      <w:bCs w:val="0"/>
                      <w:sz w:val="21"/>
                      <w:szCs w:val="21"/>
                      <w:highlight w:val="none"/>
                      <w:vertAlign w:val="baseline"/>
                      <w:lang w:val="en-US" w:eastAsia="zh-CN"/>
                    </w:rPr>
                    <w:t>/a</w:t>
                  </w:r>
                </w:p>
              </w:tc>
              <w:tc>
                <w:tcPr>
                  <w:tcW w:w="1013" w:type="dxa"/>
                  <w:tcBorders>
                    <w:tl2br w:val="nil"/>
                    <w:tr2bl w:val="nil"/>
                  </w:tcBorders>
                  <w:noWrap w:val="0"/>
                  <w:vAlign w:val="center"/>
                </w:tcPr>
                <w:p w14:paraId="1C88D95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9776.91</w:t>
                  </w:r>
                </w:p>
              </w:tc>
              <w:tc>
                <w:tcPr>
                  <w:tcW w:w="2239" w:type="dxa"/>
                  <w:gridSpan w:val="2"/>
                  <w:vMerge w:val="continue"/>
                  <w:tcBorders>
                    <w:tl2br w:val="nil"/>
                    <w:tr2bl w:val="nil"/>
                  </w:tcBorders>
                  <w:noWrap w:val="0"/>
                  <w:vAlign w:val="center"/>
                </w:tcPr>
                <w:p w14:paraId="219CAFB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rPr>
                  </w:pPr>
                </w:p>
              </w:tc>
              <w:tc>
                <w:tcPr>
                  <w:tcW w:w="1642" w:type="dxa"/>
                  <w:tcBorders>
                    <w:tl2br w:val="nil"/>
                    <w:tr2bl w:val="nil"/>
                  </w:tcBorders>
                  <w:noWrap w:val="0"/>
                  <w:vAlign w:val="center"/>
                </w:tcPr>
                <w:p w14:paraId="5BFE4ED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自来水管网</w:t>
                  </w:r>
                </w:p>
              </w:tc>
            </w:tr>
            <w:tr w14:paraId="6A97FD7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52" w:type="dxa"/>
                  <w:vMerge w:val="continue"/>
                  <w:tcBorders>
                    <w:tl2br w:val="nil"/>
                    <w:tr2bl w:val="nil"/>
                  </w:tcBorders>
                  <w:noWrap w:val="0"/>
                  <w:vAlign w:val="center"/>
                </w:tcPr>
                <w:p w14:paraId="2F0A353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rPr>
                  </w:pPr>
                </w:p>
              </w:tc>
              <w:tc>
                <w:tcPr>
                  <w:tcW w:w="1407" w:type="dxa"/>
                  <w:tcBorders>
                    <w:tl2br w:val="nil"/>
                    <w:tr2bl w:val="nil"/>
                  </w:tcBorders>
                  <w:noWrap w:val="0"/>
                  <w:vAlign w:val="center"/>
                </w:tcPr>
                <w:p w14:paraId="48E1E6C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天然气</w:t>
                  </w:r>
                </w:p>
              </w:tc>
              <w:tc>
                <w:tcPr>
                  <w:tcW w:w="879" w:type="dxa"/>
                  <w:tcBorders>
                    <w:tl2br w:val="nil"/>
                    <w:tr2bl w:val="nil"/>
                  </w:tcBorders>
                  <w:noWrap w:val="0"/>
                  <w:vAlign w:val="center"/>
                </w:tcPr>
                <w:p w14:paraId="2ED778C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m</w:t>
                  </w:r>
                  <w:r>
                    <w:rPr>
                      <w:rFonts w:hint="default" w:ascii="Times New Roman" w:hAnsi="Times New Roman" w:eastAsia="宋体" w:cs="Times New Roman"/>
                      <w:b w:val="0"/>
                      <w:bCs w:val="0"/>
                      <w:sz w:val="21"/>
                      <w:szCs w:val="21"/>
                      <w:highlight w:val="none"/>
                      <w:vertAlign w:val="superscript"/>
                      <w:lang w:val="en-US" w:eastAsia="zh-CN"/>
                    </w:rPr>
                    <w:t>3</w:t>
                  </w:r>
                  <w:r>
                    <w:rPr>
                      <w:rFonts w:hint="eastAsia" w:ascii="Times New Roman" w:hAnsi="Times New Roman" w:eastAsia="宋体" w:cs="Times New Roman"/>
                      <w:b w:val="0"/>
                      <w:bCs w:val="0"/>
                      <w:sz w:val="21"/>
                      <w:szCs w:val="21"/>
                      <w:highlight w:val="none"/>
                      <w:vertAlign w:val="baseline"/>
                      <w:lang w:val="en-US" w:eastAsia="zh-CN"/>
                    </w:rPr>
                    <w:t>/a</w:t>
                  </w:r>
                </w:p>
              </w:tc>
              <w:tc>
                <w:tcPr>
                  <w:tcW w:w="1013" w:type="dxa"/>
                  <w:tcBorders>
                    <w:tl2br w:val="nil"/>
                    <w:tr2bl w:val="nil"/>
                  </w:tcBorders>
                  <w:noWrap w:val="0"/>
                  <w:vAlign w:val="center"/>
                </w:tcPr>
                <w:p w14:paraId="153A76B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cs="Times New Roman"/>
                      <w:b w:val="0"/>
                      <w:bCs w:val="0"/>
                      <w:sz w:val="21"/>
                      <w:szCs w:val="21"/>
                      <w:highlight w:val="none"/>
                      <w:vertAlign w:val="baseline"/>
                      <w:lang w:val="en-US" w:eastAsia="zh-CN"/>
                    </w:rPr>
                    <w:t>2743000</w:t>
                  </w:r>
                </w:p>
              </w:tc>
              <w:tc>
                <w:tcPr>
                  <w:tcW w:w="2239" w:type="dxa"/>
                  <w:gridSpan w:val="2"/>
                  <w:vMerge w:val="continue"/>
                  <w:tcBorders>
                    <w:tl2br w:val="nil"/>
                    <w:tr2bl w:val="nil"/>
                  </w:tcBorders>
                  <w:noWrap w:val="0"/>
                  <w:vAlign w:val="center"/>
                </w:tcPr>
                <w:p w14:paraId="48467B0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rPr>
                  </w:pPr>
                </w:p>
              </w:tc>
              <w:tc>
                <w:tcPr>
                  <w:tcW w:w="1642" w:type="dxa"/>
                  <w:tcBorders>
                    <w:tl2br w:val="nil"/>
                    <w:tr2bl w:val="nil"/>
                  </w:tcBorders>
                  <w:noWrap w:val="0"/>
                  <w:vAlign w:val="center"/>
                </w:tcPr>
                <w:p w14:paraId="6B659A3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天然气管网</w:t>
                  </w:r>
                </w:p>
              </w:tc>
            </w:tr>
          </w:tbl>
          <w:p w14:paraId="5BA2B6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val="0"/>
                <w:bCs w:val="0"/>
                <w:szCs w:val="21"/>
                <w:lang w:val="en-US" w:eastAsia="zh-CN"/>
              </w:rPr>
            </w:pPr>
          </w:p>
          <w:p w14:paraId="45429A5B">
            <w:pPr>
              <w:spacing w:line="360" w:lineRule="auto"/>
              <w:ind w:firstLine="482" w:firstLineChars="200"/>
              <w:rPr>
                <w:rFonts w:hint="eastAsia"/>
                <w:b/>
                <w:bCs w:val="0"/>
                <w:sz w:val="24"/>
                <w:highlight w:val="none"/>
                <w:lang w:val="en-US" w:eastAsia="zh-CN"/>
              </w:rPr>
            </w:pPr>
            <w:r>
              <w:rPr>
                <w:rFonts w:hint="eastAsia"/>
                <w:b/>
                <w:bCs w:val="0"/>
                <w:sz w:val="24"/>
                <w:highlight w:val="none"/>
                <w:lang w:val="en-US" w:eastAsia="zh-CN"/>
              </w:rPr>
              <w:t>主要原辅料特性：</w:t>
            </w:r>
          </w:p>
          <w:p w14:paraId="000E122C">
            <w:pPr>
              <w:spacing w:line="360" w:lineRule="auto"/>
              <w:ind w:firstLine="482" w:firstLineChars="200"/>
              <w:rPr>
                <w:rFonts w:hint="eastAsia"/>
                <w:b w:val="0"/>
                <w:bCs/>
                <w:sz w:val="24"/>
                <w:highlight w:val="none"/>
                <w:lang w:val="en-US" w:eastAsia="zh-CN"/>
              </w:rPr>
            </w:pPr>
            <w:r>
              <w:rPr>
                <w:rFonts w:hint="eastAsia"/>
                <w:b/>
                <w:bCs w:val="0"/>
                <w:sz w:val="24"/>
                <w:highlight w:val="none"/>
                <w:lang w:val="en-US" w:eastAsia="zh-CN"/>
              </w:rPr>
              <w:t>①普通沥青：</w:t>
            </w:r>
            <w:r>
              <w:rPr>
                <w:rFonts w:hint="eastAsia"/>
                <w:b w:val="0"/>
                <w:bCs/>
                <w:sz w:val="24"/>
                <w:highlight w:val="none"/>
                <w:lang w:val="en-US" w:eastAsia="zh-CN"/>
              </w:rPr>
              <w:t>沥青是原油加工过程的一种产品，在常温下是黑色或黑褐色的粘稠的液体、半固体或固体，主要含有可溶于氯仿的烃类及非烃类衍生物，其性质和组成随原油来源和生产方法的不同而变化。沥青的主要组分是油分、树脂和地沥青质。还含2%-3%的沥青碳和似碳物，还含有蜡。沥青中的油分和树脂能浸润沥青质。沥青的结构以地沥青质为核心，吸附部分树脂和油分，构成胶团。沥青闪点204.4℃，遇高热、明火能燃烧。</w:t>
            </w:r>
          </w:p>
          <w:p w14:paraId="66BEC223">
            <w:pPr>
              <w:wordWrap w:val="0"/>
              <w:spacing w:line="360" w:lineRule="auto"/>
              <w:ind w:left="42" w:leftChars="20" w:right="42" w:rightChars="20" w:firstLine="482" w:firstLineChars="200"/>
              <w:rPr>
                <w:rFonts w:hint="eastAsia"/>
                <w:b w:val="0"/>
                <w:bCs w:val="0"/>
                <w:sz w:val="24"/>
                <w:lang w:val="en-US" w:eastAsia="zh-CN"/>
              </w:rPr>
            </w:pPr>
            <w:r>
              <w:rPr>
                <w:rFonts w:hint="eastAsia"/>
                <w:b/>
                <w:bCs/>
                <w:sz w:val="24"/>
                <w:lang w:val="en-US" w:eastAsia="zh-CN"/>
              </w:rPr>
              <w:t>②再生料（沥青混凝土层）：</w:t>
            </w:r>
            <w:r>
              <w:rPr>
                <w:rFonts w:hint="eastAsia"/>
                <w:b w:val="0"/>
                <w:bCs w:val="0"/>
                <w:sz w:val="24"/>
                <w:lang w:val="en-US" w:eastAsia="zh-CN"/>
              </w:rPr>
              <w:t>重铺沥青混凝土路面前，常因拆除旧路面而产生大量废沥青混凝土，废沥青混凝土属于建筑垃圾。发达国家每年因拆除公路路面产生大量废沥青混凝土，其回收利用已成为垃圾废料用作建筑材料的主要部分之一。我国随着公路建设的发展，每年产生废沥青混凝土的数量也逐年增加。废沥青混凝土可作为铺筑新沥青混凝土路面的建筑材料加以回收利用。将经粉碎后的废沥青混凝土作为部分骨料掺入新沥青混凝土中，制成再生沥青混凝土。</w:t>
            </w:r>
          </w:p>
          <w:p w14:paraId="484C7D6B">
            <w:pPr>
              <w:wordWrap w:val="0"/>
              <w:spacing w:line="360" w:lineRule="auto"/>
              <w:ind w:left="42" w:leftChars="20" w:right="42" w:rightChars="20" w:firstLine="480" w:firstLineChars="200"/>
              <w:rPr>
                <w:rFonts w:hint="eastAsia"/>
                <w:b/>
                <w:bCs/>
                <w:sz w:val="24"/>
                <w:lang w:val="en-US" w:eastAsia="zh-CN"/>
              </w:rPr>
            </w:pPr>
            <w:r>
              <w:rPr>
                <w:rFonts w:hint="eastAsia"/>
                <w:b w:val="0"/>
                <w:bCs w:val="0"/>
                <w:sz w:val="24"/>
                <w:lang w:val="en-US" w:eastAsia="zh-CN"/>
              </w:rPr>
              <w:t>再生沥青混凝土的施工方法和普通沥青混凝土相同，因此拆除再生沥青混凝土路面后所产生的废再生沥青混凝土块还可作为再生骨料多次重复使用。</w:t>
            </w:r>
          </w:p>
          <w:p w14:paraId="1BE04912">
            <w:pPr>
              <w:wordWrap w:val="0"/>
              <w:spacing w:line="360" w:lineRule="auto"/>
              <w:ind w:left="42" w:leftChars="20" w:right="42" w:rightChars="20" w:firstLine="482" w:firstLineChars="200"/>
              <w:rPr>
                <w:rFonts w:hint="eastAsia"/>
                <w:b/>
                <w:bCs/>
                <w:sz w:val="24"/>
                <w:lang w:val="en-US" w:eastAsia="zh-CN"/>
              </w:rPr>
            </w:pPr>
            <w:r>
              <w:rPr>
                <w:rFonts w:hint="eastAsia"/>
                <w:b/>
                <w:bCs/>
                <w:sz w:val="24"/>
                <w:lang w:val="en-US" w:eastAsia="zh-CN"/>
              </w:rPr>
              <w:t>③普通碎石：</w:t>
            </w:r>
            <w:r>
              <w:rPr>
                <w:rFonts w:hint="eastAsia"/>
                <w:b w:val="0"/>
                <w:bCs w:val="0"/>
                <w:sz w:val="24"/>
                <w:lang w:val="en-US" w:eastAsia="zh-CN"/>
              </w:rPr>
              <w:t>主要为普通碎石或玄武岩碎石，是沥青混凝土的主要原料，骨料规格为10~31.5mm，外购，经汽车运输至砂石骨料仓内暂存。</w:t>
            </w:r>
          </w:p>
          <w:p w14:paraId="3C6F714E">
            <w:pPr>
              <w:wordWrap w:val="0"/>
              <w:spacing w:line="360" w:lineRule="auto"/>
              <w:ind w:left="42" w:leftChars="20" w:right="42" w:rightChars="20" w:firstLine="482" w:firstLineChars="200"/>
              <w:rPr>
                <w:rFonts w:hint="eastAsia"/>
                <w:b/>
                <w:bCs/>
                <w:sz w:val="24"/>
                <w:lang w:val="en-US" w:eastAsia="zh-CN"/>
              </w:rPr>
            </w:pPr>
            <w:r>
              <w:rPr>
                <w:rFonts w:hint="eastAsia"/>
                <w:b/>
                <w:bCs/>
                <w:sz w:val="24"/>
                <w:lang w:val="en-US" w:eastAsia="zh-CN"/>
              </w:rPr>
              <w:t>④粉料：</w:t>
            </w:r>
            <w:r>
              <w:rPr>
                <w:rFonts w:hint="eastAsia"/>
                <w:b w:val="0"/>
                <w:bCs w:val="0"/>
                <w:sz w:val="24"/>
                <w:lang w:val="en-US" w:eastAsia="zh-CN"/>
              </w:rPr>
              <w:t>为石灰石粉末，质白细，散装；外购，采用粉质罐车运输入厂区，贮放于粉料筒仓内。</w:t>
            </w:r>
          </w:p>
          <w:p w14:paraId="5AD871DA">
            <w:pPr>
              <w:wordWrap w:val="0"/>
              <w:spacing w:line="360" w:lineRule="auto"/>
              <w:ind w:left="42" w:leftChars="20" w:right="42" w:rightChars="20" w:firstLine="482" w:firstLineChars="200"/>
              <w:rPr>
                <w:rFonts w:hint="eastAsia"/>
                <w:b/>
                <w:bCs/>
                <w:sz w:val="24"/>
                <w:lang w:val="en-US" w:eastAsia="zh-CN"/>
              </w:rPr>
            </w:pPr>
            <w:r>
              <w:rPr>
                <w:rFonts w:hint="eastAsia"/>
                <w:b/>
                <w:bCs/>
                <w:sz w:val="24"/>
                <w:lang w:val="en-US" w:eastAsia="zh-CN"/>
              </w:rPr>
              <w:t>⑤机砂：</w:t>
            </w:r>
            <w:r>
              <w:rPr>
                <w:rFonts w:hint="eastAsia"/>
                <w:b w:val="0"/>
                <w:bCs w:val="0"/>
                <w:sz w:val="24"/>
                <w:lang w:val="en-US" w:eastAsia="zh-CN"/>
              </w:rPr>
              <w:t>粒径0-5mm的细砂，散装，外购，经汽车运输至砂石骨料仓内暂存。</w:t>
            </w:r>
          </w:p>
          <w:p w14:paraId="41F6196A">
            <w:pPr>
              <w:wordWrap w:val="0"/>
              <w:spacing w:line="360" w:lineRule="auto"/>
              <w:ind w:left="42" w:leftChars="20" w:right="42" w:rightChars="20" w:firstLine="482" w:firstLineChars="200"/>
              <w:rPr>
                <w:rFonts w:hint="eastAsia"/>
                <w:b w:val="0"/>
                <w:bCs w:val="0"/>
                <w:sz w:val="24"/>
                <w:lang w:val="en-US" w:eastAsia="zh-CN"/>
              </w:rPr>
            </w:pPr>
            <w:r>
              <w:rPr>
                <w:rFonts w:hint="eastAsia"/>
                <w:b/>
                <w:bCs/>
                <w:sz w:val="24"/>
                <w:lang w:val="en-US" w:eastAsia="zh-CN"/>
              </w:rPr>
              <w:t>⑥导热油：</w:t>
            </w:r>
            <w:r>
              <w:rPr>
                <w:rFonts w:hint="eastAsia"/>
                <w:b w:val="0"/>
                <w:bCs w:val="0"/>
                <w:sz w:val="24"/>
                <w:lang w:val="en-US" w:eastAsia="zh-CN"/>
              </w:rPr>
              <w:t>又称传热油，也称热导油，热煤油等。目前占据导热油市场的主要是以联苯系列、烷基联苯系列，苄基甲苯系列的产品（同属合成芳烃系列）。除此之外，还有有机硅类、氟素类产品。导热油型号种类很多，通有成分：有机铜（导热油专用成分），聚合芳烃（12C链，24C链等），长链烷烃，抗冻剂（乙二醇）等。</w:t>
            </w:r>
          </w:p>
          <w:p w14:paraId="4F5B2A4B">
            <w:pPr>
              <w:wordWrap w:val="0"/>
              <w:spacing w:line="360" w:lineRule="auto"/>
              <w:ind w:left="42" w:leftChars="20" w:right="42" w:rightChars="20" w:firstLine="480" w:firstLineChars="200"/>
              <w:rPr>
                <w:rFonts w:hint="eastAsia"/>
                <w:b w:val="0"/>
                <w:bCs w:val="0"/>
                <w:sz w:val="24"/>
                <w:lang w:val="en-US" w:eastAsia="zh-CN"/>
              </w:rPr>
            </w:pPr>
            <w:r>
              <w:rPr>
                <w:rFonts w:hint="eastAsia"/>
                <w:b w:val="0"/>
                <w:bCs w:val="0"/>
                <w:sz w:val="24"/>
                <w:lang w:val="en-US" w:eastAsia="zh-CN"/>
              </w:rPr>
              <w:t>工业上使用的导热油，以前使用三氯联苯，性能非常优越，但由于毒性问题，已经禁止使用多年，目前使用最多的是矿物型（石油琉份）导热油，使用合成油（12烷基笨）等等。本项目选用T56导热油，不采用国际公约禁用物质。其导热油物性指标见下表：</w:t>
            </w:r>
          </w:p>
          <w:p w14:paraId="22D6225D">
            <w:pPr>
              <w:numPr>
                <w:ilvl w:val="0"/>
                <w:numId w:val="4"/>
              </w:numPr>
              <w:tabs>
                <w:tab w:val="left" w:pos="0"/>
              </w:tabs>
              <w:wordWrap w:val="0"/>
              <w:ind w:left="0" w:firstLine="0"/>
              <w:jc w:val="center"/>
              <w:rPr>
                <w:rFonts w:hint="eastAsia"/>
                <w:b/>
                <w:szCs w:val="21"/>
                <w:lang w:val="en-US" w:eastAsia="zh-CN"/>
              </w:rPr>
            </w:pPr>
            <w:r>
              <w:rPr>
                <w:rFonts w:hint="eastAsia"/>
                <w:b/>
                <w:szCs w:val="21"/>
                <w:lang w:val="en-US" w:eastAsia="zh-CN"/>
              </w:rPr>
              <w:t>导热油T56物性指标表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575"/>
              <w:gridCol w:w="1575"/>
              <w:gridCol w:w="1575"/>
              <w:gridCol w:w="1575"/>
              <w:gridCol w:w="1576"/>
            </w:tblGrid>
            <w:tr w14:paraId="4159239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75" w:type="dxa"/>
                  <w:tcBorders>
                    <w:tl2br w:val="nil"/>
                    <w:tr2bl w:val="nil"/>
                  </w:tcBorders>
                  <w:vAlign w:val="center"/>
                </w:tcPr>
                <w:p w14:paraId="41C845CA">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序号</w:t>
                  </w:r>
                </w:p>
              </w:tc>
              <w:tc>
                <w:tcPr>
                  <w:tcW w:w="1575" w:type="dxa"/>
                  <w:tcBorders>
                    <w:tl2br w:val="nil"/>
                    <w:tr2bl w:val="nil"/>
                  </w:tcBorders>
                  <w:vAlign w:val="center"/>
                </w:tcPr>
                <w:p w14:paraId="10C6BC07">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项目</w:t>
                  </w:r>
                </w:p>
              </w:tc>
              <w:tc>
                <w:tcPr>
                  <w:tcW w:w="1575" w:type="dxa"/>
                  <w:tcBorders>
                    <w:tl2br w:val="nil"/>
                    <w:tr2bl w:val="nil"/>
                  </w:tcBorders>
                  <w:vAlign w:val="center"/>
                </w:tcPr>
                <w:p w14:paraId="79BAAE0D">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单位</w:t>
                  </w:r>
                </w:p>
              </w:tc>
              <w:tc>
                <w:tcPr>
                  <w:tcW w:w="1575" w:type="dxa"/>
                  <w:tcBorders>
                    <w:tl2br w:val="nil"/>
                    <w:tr2bl w:val="nil"/>
                  </w:tcBorders>
                  <w:vAlign w:val="center"/>
                </w:tcPr>
                <w:p w14:paraId="6738737C">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数值</w:t>
                  </w:r>
                </w:p>
              </w:tc>
              <w:tc>
                <w:tcPr>
                  <w:tcW w:w="1576" w:type="dxa"/>
                  <w:tcBorders>
                    <w:tl2br w:val="nil"/>
                    <w:tr2bl w:val="nil"/>
                  </w:tcBorders>
                  <w:vAlign w:val="center"/>
                </w:tcPr>
                <w:p w14:paraId="35E4FD4B">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备注</w:t>
                  </w:r>
                </w:p>
              </w:tc>
            </w:tr>
            <w:tr w14:paraId="38B4959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75" w:type="dxa"/>
                  <w:tcBorders>
                    <w:tl2br w:val="nil"/>
                    <w:tr2bl w:val="nil"/>
                  </w:tcBorders>
                  <w:vAlign w:val="center"/>
                </w:tcPr>
                <w:p w14:paraId="2DBF1D03">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1</w:t>
                  </w:r>
                </w:p>
              </w:tc>
              <w:tc>
                <w:tcPr>
                  <w:tcW w:w="1575" w:type="dxa"/>
                  <w:tcBorders>
                    <w:tl2br w:val="nil"/>
                    <w:tr2bl w:val="nil"/>
                  </w:tcBorders>
                  <w:vAlign w:val="center"/>
                </w:tcPr>
                <w:p w14:paraId="4AAC051B">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密度</w:t>
                  </w:r>
                </w:p>
              </w:tc>
              <w:tc>
                <w:tcPr>
                  <w:tcW w:w="1575" w:type="dxa"/>
                  <w:tcBorders>
                    <w:tl2br w:val="nil"/>
                    <w:tr2bl w:val="nil"/>
                  </w:tcBorders>
                  <w:vAlign w:val="center"/>
                </w:tcPr>
                <w:p w14:paraId="418D4ECE">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g/cm</w:t>
                  </w:r>
                  <w:r>
                    <w:rPr>
                      <w:rFonts w:hint="eastAsia"/>
                      <w:b w:val="0"/>
                      <w:bCs w:val="0"/>
                      <w:sz w:val="21"/>
                      <w:szCs w:val="21"/>
                      <w:vertAlign w:val="superscript"/>
                      <w:lang w:val="en-US" w:eastAsia="zh-CN"/>
                    </w:rPr>
                    <w:t>3</w:t>
                  </w:r>
                </w:p>
              </w:tc>
              <w:tc>
                <w:tcPr>
                  <w:tcW w:w="1575" w:type="dxa"/>
                  <w:tcBorders>
                    <w:tl2br w:val="nil"/>
                    <w:tr2bl w:val="nil"/>
                  </w:tcBorders>
                  <w:vAlign w:val="center"/>
                </w:tcPr>
                <w:p w14:paraId="7E257B78">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0.869</w:t>
                  </w:r>
                </w:p>
              </w:tc>
              <w:tc>
                <w:tcPr>
                  <w:tcW w:w="1576" w:type="dxa"/>
                  <w:tcBorders>
                    <w:tl2br w:val="nil"/>
                    <w:tr2bl w:val="nil"/>
                  </w:tcBorders>
                  <w:vAlign w:val="center"/>
                </w:tcPr>
                <w:p w14:paraId="72FF75FC">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25℃</w:t>
                  </w:r>
                </w:p>
              </w:tc>
            </w:tr>
            <w:tr w14:paraId="625A29E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75" w:type="dxa"/>
                  <w:tcBorders>
                    <w:tl2br w:val="nil"/>
                    <w:tr2bl w:val="nil"/>
                  </w:tcBorders>
                  <w:vAlign w:val="center"/>
                </w:tcPr>
                <w:p w14:paraId="3912A851">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2</w:t>
                  </w:r>
                </w:p>
              </w:tc>
              <w:tc>
                <w:tcPr>
                  <w:tcW w:w="1575" w:type="dxa"/>
                  <w:tcBorders>
                    <w:tl2br w:val="nil"/>
                    <w:tr2bl w:val="nil"/>
                  </w:tcBorders>
                  <w:vAlign w:val="center"/>
                </w:tcPr>
                <w:p w14:paraId="00526460">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闪点</w:t>
                  </w:r>
                </w:p>
              </w:tc>
              <w:tc>
                <w:tcPr>
                  <w:tcW w:w="1575" w:type="dxa"/>
                  <w:tcBorders>
                    <w:tl2br w:val="nil"/>
                    <w:tr2bl w:val="nil"/>
                  </w:tcBorders>
                  <w:vAlign w:val="center"/>
                </w:tcPr>
                <w:p w14:paraId="4646D914">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w:t>
                  </w:r>
                </w:p>
              </w:tc>
              <w:tc>
                <w:tcPr>
                  <w:tcW w:w="1575" w:type="dxa"/>
                  <w:tcBorders>
                    <w:tl2br w:val="nil"/>
                    <w:tr2bl w:val="nil"/>
                  </w:tcBorders>
                  <w:vAlign w:val="center"/>
                </w:tcPr>
                <w:p w14:paraId="37BBF9E6">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193</w:t>
                  </w:r>
                </w:p>
              </w:tc>
              <w:tc>
                <w:tcPr>
                  <w:tcW w:w="1576" w:type="dxa"/>
                  <w:tcBorders>
                    <w:tl2br w:val="nil"/>
                    <w:tr2bl w:val="nil"/>
                  </w:tcBorders>
                  <w:vAlign w:val="center"/>
                </w:tcPr>
                <w:p w14:paraId="3F760DAA">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in</w:t>
                  </w:r>
                </w:p>
              </w:tc>
            </w:tr>
            <w:tr w14:paraId="6689586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75" w:type="dxa"/>
                  <w:tcBorders>
                    <w:tl2br w:val="nil"/>
                    <w:tr2bl w:val="nil"/>
                  </w:tcBorders>
                  <w:vAlign w:val="center"/>
                </w:tcPr>
                <w:p w14:paraId="7F54E98E">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3</w:t>
                  </w:r>
                </w:p>
              </w:tc>
              <w:tc>
                <w:tcPr>
                  <w:tcW w:w="1575" w:type="dxa"/>
                  <w:tcBorders>
                    <w:tl2br w:val="nil"/>
                    <w:tr2bl w:val="nil"/>
                  </w:tcBorders>
                  <w:vAlign w:val="center"/>
                </w:tcPr>
                <w:p w14:paraId="206B420B">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自燃点</w:t>
                  </w:r>
                </w:p>
              </w:tc>
              <w:tc>
                <w:tcPr>
                  <w:tcW w:w="1575" w:type="dxa"/>
                  <w:tcBorders>
                    <w:tl2br w:val="nil"/>
                    <w:tr2bl w:val="nil"/>
                  </w:tcBorders>
                  <w:vAlign w:val="center"/>
                </w:tcPr>
                <w:p w14:paraId="2C353375">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w:t>
                  </w:r>
                </w:p>
              </w:tc>
              <w:tc>
                <w:tcPr>
                  <w:tcW w:w="1575" w:type="dxa"/>
                  <w:tcBorders>
                    <w:tl2br w:val="nil"/>
                    <w:tr2bl w:val="nil"/>
                  </w:tcBorders>
                  <w:vAlign w:val="center"/>
                </w:tcPr>
                <w:p w14:paraId="5B79EAF5">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366</w:t>
                  </w:r>
                </w:p>
              </w:tc>
              <w:tc>
                <w:tcPr>
                  <w:tcW w:w="1576" w:type="dxa"/>
                  <w:tcBorders>
                    <w:tl2br w:val="nil"/>
                    <w:tr2bl w:val="nil"/>
                  </w:tcBorders>
                  <w:vAlign w:val="center"/>
                </w:tcPr>
                <w:p w14:paraId="0B76EB65">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Min</w:t>
                  </w:r>
                </w:p>
              </w:tc>
            </w:tr>
            <w:tr w14:paraId="646EA0E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75" w:type="dxa"/>
                  <w:tcBorders>
                    <w:tl2br w:val="nil"/>
                    <w:tr2bl w:val="nil"/>
                  </w:tcBorders>
                  <w:vAlign w:val="center"/>
                </w:tcPr>
                <w:p w14:paraId="5BC854CD">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4</w:t>
                  </w:r>
                </w:p>
              </w:tc>
              <w:tc>
                <w:tcPr>
                  <w:tcW w:w="1575" w:type="dxa"/>
                  <w:tcBorders>
                    <w:tl2br w:val="nil"/>
                    <w:tr2bl w:val="nil"/>
                  </w:tcBorders>
                  <w:vAlign w:val="center"/>
                </w:tcPr>
                <w:p w14:paraId="67AE4058">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允许使用温度</w:t>
                  </w:r>
                </w:p>
              </w:tc>
              <w:tc>
                <w:tcPr>
                  <w:tcW w:w="1575" w:type="dxa"/>
                  <w:tcBorders>
                    <w:tl2br w:val="nil"/>
                    <w:tr2bl w:val="nil"/>
                  </w:tcBorders>
                  <w:vAlign w:val="center"/>
                </w:tcPr>
                <w:p w14:paraId="1DE28500">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w:t>
                  </w:r>
                </w:p>
              </w:tc>
              <w:tc>
                <w:tcPr>
                  <w:tcW w:w="1575" w:type="dxa"/>
                  <w:tcBorders>
                    <w:tl2br w:val="nil"/>
                    <w:tr2bl w:val="nil"/>
                  </w:tcBorders>
                  <w:vAlign w:val="center"/>
                </w:tcPr>
                <w:p w14:paraId="0C34E99E">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315</w:t>
                  </w:r>
                </w:p>
              </w:tc>
              <w:tc>
                <w:tcPr>
                  <w:tcW w:w="1576" w:type="dxa"/>
                  <w:tcBorders>
                    <w:tl2br w:val="nil"/>
                    <w:tr2bl w:val="nil"/>
                  </w:tcBorders>
                  <w:vAlign w:val="center"/>
                </w:tcPr>
                <w:p w14:paraId="2C7ED22D">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Max</w:t>
                  </w:r>
                </w:p>
              </w:tc>
            </w:tr>
            <w:tr w14:paraId="3244CA7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75" w:type="dxa"/>
                  <w:tcBorders>
                    <w:tl2br w:val="nil"/>
                    <w:tr2bl w:val="nil"/>
                  </w:tcBorders>
                  <w:vAlign w:val="center"/>
                </w:tcPr>
                <w:p w14:paraId="5B9059FE">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5</w:t>
                  </w:r>
                </w:p>
              </w:tc>
              <w:tc>
                <w:tcPr>
                  <w:tcW w:w="1575" w:type="dxa"/>
                  <w:tcBorders>
                    <w:tl2br w:val="nil"/>
                    <w:tr2bl w:val="nil"/>
                  </w:tcBorders>
                  <w:vAlign w:val="center"/>
                </w:tcPr>
                <w:p w14:paraId="2D6B8784">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粘度</w:t>
                  </w:r>
                </w:p>
              </w:tc>
              <w:tc>
                <w:tcPr>
                  <w:tcW w:w="1575" w:type="dxa"/>
                  <w:tcBorders>
                    <w:tl2br w:val="nil"/>
                    <w:tr2bl w:val="nil"/>
                  </w:tcBorders>
                  <w:vAlign w:val="center"/>
                </w:tcPr>
                <w:p w14:paraId="06C5B793">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mm</w:t>
                  </w:r>
                  <w:r>
                    <w:rPr>
                      <w:rFonts w:hint="eastAsia"/>
                      <w:b w:val="0"/>
                      <w:bCs w:val="0"/>
                      <w:sz w:val="21"/>
                      <w:szCs w:val="21"/>
                      <w:vertAlign w:val="superscript"/>
                      <w:lang w:val="en-US" w:eastAsia="zh-CN"/>
                    </w:rPr>
                    <w:t>2</w:t>
                  </w:r>
                  <w:r>
                    <w:rPr>
                      <w:rFonts w:hint="eastAsia"/>
                      <w:b w:val="0"/>
                      <w:bCs w:val="0"/>
                      <w:sz w:val="21"/>
                      <w:szCs w:val="21"/>
                      <w:vertAlign w:val="baseline"/>
                      <w:lang w:val="en-US" w:eastAsia="zh-CN"/>
                    </w:rPr>
                    <w:t>/s</w:t>
                  </w:r>
                </w:p>
              </w:tc>
              <w:tc>
                <w:tcPr>
                  <w:tcW w:w="1575" w:type="dxa"/>
                  <w:tcBorders>
                    <w:tl2br w:val="nil"/>
                    <w:tr2bl w:val="nil"/>
                  </w:tcBorders>
                  <w:vAlign w:val="center"/>
                </w:tcPr>
                <w:p w14:paraId="0DF9BA72">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19.0</w:t>
                  </w:r>
                </w:p>
              </w:tc>
              <w:tc>
                <w:tcPr>
                  <w:tcW w:w="1576" w:type="dxa"/>
                  <w:tcBorders>
                    <w:tl2br w:val="nil"/>
                    <w:tr2bl w:val="nil"/>
                  </w:tcBorders>
                  <w:vAlign w:val="center"/>
                </w:tcPr>
                <w:p w14:paraId="11C8F030">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40℃</w:t>
                  </w:r>
                </w:p>
              </w:tc>
            </w:tr>
            <w:tr w14:paraId="2808947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75" w:type="dxa"/>
                  <w:tcBorders>
                    <w:tl2br w:val="nil"/>
                    <w:tr2bl w:val="nil"/>
                  </w:tcBorders>
                  <w:vAlign w:val="center"/>
                </w:tcPr>
                <w:p w14:paraId="0E1D46FD">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6</w:t>
                  </w:r>
                </w:p>
              </w:tc>
              <w:tc>
                <w:tcPr>
                  <w:tcW w:w="1575" w:type="dxa"/>
                  <w:tcBorders>
                    <w:tl2br w:val="nil"/>
                    <w:tr2bl w:val="nil"/>
                  </w:tcBorders>
                  <w:shd w:val="clear" w:color="auto" w:fill="auto"/>
                  <w:vAlign w:val="center"/>
                </w:tcPr>
                <w:p w14:paraId="57D4A74D">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hint="eastAsia"/>
                      <w:b w:val="0"/>
                      <w:bCs w:val="0"/>
                      <w:sz w:val="21"/>
                      <w:szCs w:val="21"/>
                      <w:vertAlign w:val="baseline"/>
                      <w:lang w:val="en-US" w:eastAsia="zh-CN"/>
                    </w:rPr>
                    <w:t>粘度</w:t>
                  </w:r>
                </w:p>
              </w:tc>
              <w:tc>
                <w:tcPr>
                  <w:tcW w:w="1575" w:type="dxa"/>
                  <w:tcBorders>
                    <w:tl2br w:val="nil"/>
                    <w:tr2bl w:val="nil"/>
                  </w:tcBorders>
                  <w:shd w:val="clear" w:color="auto" w:fill="auto"/>
                  <w:vAlign w:val="center"/>
                </w:tcPr>
                <w:p w14:paraId="45CD85E9">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hint="eastAsia"/>
                      <w:b w:val="0"/>
                      <w:bCs w:val="0"/>
                      <w:sz w:val="21"/>
                      <w:szCs w:val="21"/>
                      <w:vertAlign w:val="baseline"/>
                      <w:lang w:val="en-US" w:eastAsia="zh-CN"/>
                    </w:rPr>
                    <w:t>mm</w:t>
                  </w:r>
                  <w:r>
                    <w:rPr>
                      <w:rFonts w:hint="eastAsia"/>
                      <w:b w:val="0"/>
                      <w:bCs w:val="0"/>
                      <w:sz w:val="21"/>
                      <w:szCs w:val="21"/>
                      <w:vertAlign w:val="superscript"/>
                      <w:lang w:val="en-US" w:eastAsia="zh-CN"/>
                    </w:rPr>
                    <w:t>2</w:t>
                  </w:r>
                  <w:r>
                    <w:rPr>
                      <w:rFonts w:hint="eastAsia"/>
                      <w:b w:val="0"/>
                      <w:bCs w:val="0"/>
                      <w:sz w:val="21"/>
                      <w:szCs w:val="21"/>
                      <w:vertAlign w:val="baseline"/>
                      <w:lang w:val="en-US" w:eastAsia="zh-CN"/>
                    </w:rPr>
                    <w:t>/s</w:t>
                  </w:r>
                </w:p>
              </w:tc>
              <w:tc>
                <w:tcPr>
                  <w:tcW w:w="1575" w:type="dxa"/>
                  <w:tcBorders>
                    <w:tl2br w:val="nil"/>
                    <w:tr2bl w:val="nil"/>
                  </w:tcBorders>
                  <w:vAlign w:val="center"/>
                </w:tcPr>
                <w:p w14:paraId="217F0096">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3.5</w:t>
                  </w:r>
                </w:p>
              </w:tc>
              <w:tc>
                <w:tcPr>
                  <w:tcW w:w="1576" w:type="dxa"/>
                  <w:tcBorders>
                    <w:tl2br w:val="nil"/>
                    <w:tr2bl w:val="nil"/>
                  </w:tcBorders>
                  <w:vAlign w:val="center"/>
                </w:tcPr>
                <w:p w14:paraId="312D9AE3">
                  <w:pPr>
                    <w:keepNext w:val="0"/>
                    <w:keepLines w:val="0"/>
                    <w:pageBreakBefore w:val="0"/>
                    <w:widowControl w:val="0"/>
                    <w:kinsoku/>
                    <w:wordWrap w:val="0"/>
                    <w:overflowPunct/>
                    <w:topLinePunct w:val="0"/>
                    <w:autoSpaceDE/>
                    <w:autoSpaceDN/>
                    <w:bidi w:val="0"/>
                    <w:adjustRightInd/>
                    <w:snapToGrid/>
                    <w:spacing w:line="240" w:lineRule="exact"/>
                    <w:ind w:right="42" w:rightChars="2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100℃</w:t>
                  </w:r>
                </w:p>
              </w:tc>
            </w:tr>
          </w:tbl>
          <w:p w14:paraId="0451A5DE">
            <w:pPr>
              <w:wordWrap w:val="0"/>
              <w:spacing w:line="240" w:lineRule="auto"/>
              <w:ind w:left="42" w:leftChars="20" w:right="42" w:rightChars="20" w:firstLine="420" w:firstLineChars="200"/>
              <w:jc w:val="center"/>
              <w:rPr>
                <w:rFonts w:hint="eastAsia"/>
                <w:b w:val="0"/>
                <w:bCs w:val="0"/>
                <w:sz w:val="21"/>
                <w:szCs w:val="21"/>
                <w:lang w:val="en-US" w:eastAsia="zh-CN"/>
              </w:rPr>
            </w:pPr>
          </w:p>
          <w:p w14:paraId="181DB6BB">
            <w:pPr>
              <w:wordWrap w:val="0"/>
              <w:spacing w:line="360" w:lineRule="auto"/>
              <w:ind w:left="42" w:leftChars="20" w:right="42" w:rightChars="20" w:firstLine="482" w:firstLineChars="200"/>
              <w:rPr>
                <w:rFonts w:hint="eastAsia"/>
                <w:b/>
                <w:bCs/>
                <w:sz w:val="24"/>
                <w:lang w:val="en-US" w:eastAsia="zh-CN"/>
              </w:rPr>
            </w:pPr>
            <w:r>
              <w:rPr>
                <w:rFonts w:hint="eastAsia"/>
                <w:b/>
                <w:bCs/>
                <w:sz w:val="24"/>
                <w:lang w:val="en-US" w:eastAsia="zh-CN"/>
              </w:rPr>
              <w:t>⑦润滑油：</w:t>
            </w:r>
            <w:r>
              <w:rPr>
                <w:rFonts w:hint="eastAsia"/>
                <w:b w:val="0"/>
                <w:bCs w:val="0"/>
                <w:sz w:val="24"/>
                <w:lang w:val="en-US" w:eastAsia="zh-CN"/>
              </w:rPr>
              <w:t>油状液体，淡黄色至褐色，无气味或略带异味。不溶于水，遇明火和高热可燃。</w:t>
            </w:r>
          </w:p>
          <w:p w14:paraId="10EE0190">
            <w:pPr>
              <w:wordWrap w:val="0"/>
              <w:spacing w:line="360" w:lineRule="auto"/>
              <w:ind w:left="42" w:leftChars="20" w:right="42" w:rightChars="20" w:firstLine="482" w:firstLineChars="200"/>
              <w:rPr>
                <w:rFonts w:hint="eastAsia"/>
                <w:b w:val="0"/>
                <w:bCs w:val="0"/>
                <w:sz w:val="24"/>
                <w:lang w:val="en-US" w:eastAsia="zh-CN"/>
              </w:rPr>
            </w:pPr>
            <w:r>
              <w:rPr>
                <w:rFonts w:hint="eastAsia"/>
                <w:b/>
                <w:bCs/>
                <w:sz w:val="24"/>
                <w:lang w:val="en-US" w:eastAsia="zh-CN"/>
              </w:rPr>
              <w:t>⑧中煤：</w:t>
            </w:r>
            <w:r>
              <w:rPr>
                <w:rFonts w:hint="eastAsia"/>
                <w:b w:val="0"/>
                <w:bCs w:val="0"/>
                <w:sz w:val="24"/>
                <w:lang w:val="en-US" w:eastAsia="zh-CN"/>
              </w:rPr>
              <w:t>本项目煤粉生产过程使用的中煤原料经煤矸石厂洗选后拉运至本项目厂区内，原煤中矸石已经过筛分，本项目不产生矸石，原料为块状散煤，原料粒径1-3cm，故本项目无洗煤及筛分工序。</w:t>
            </w:r>
          </w:p>
          <w:p w14:paraId="44994512">
            <w:pPr>
              <w:wordWrap w:val="0"/>
              <w:spacing w:line="360" w:lineRule="auto"/>
              <w:ind w:left="42" w:leftChars="20" w:right="42" w:rightChars="20" w:firstLine="482" w:firstLineChars="200"/>
              <w:rPr>
                <w:rFonts w:hint="default"/>
                <w:b/>
                <w:bCs/>
                <w:sz w:val="24"/>
                <w:lang w:val="en-US" w:eastAsia="zh-CN"/>
              </w:rPr>
            </w:pPr>
            <w:r>
              <w:rPr>
                <w:rFonts w:hint="eastAsia"/>
                <w:b/>
                <w:bCs/>
                <w:sz w:val="24"/>
                <w:lang w:val="en-US" w:eastAsia="zh-CN"/>
              </w:rPr>
              <w:t>⑨乳化剂：</w:t>
            </w:r>
            <w:r>
              <w:rPr>
                <w:rFonts w:hint="eastAsia"/>
                <w:b w:val="0"/>
                <w:bCs w:val="0"/>
                <w:sz w:val="24"/>
                <w:lang w:val="en-US" w:eastAsia="zh-CN"/>
              </w:rPr>
              <w:t>沥青乳化剂的核心成分主要包括表面活性剂、胶体稳定剂以及碱性物质。表面活性剂，特别是阴离子类型的，如十二烷基苯磺酸钠，能让沥青与水分子间产生亲和力，使沥青形成带电微胶粒，与水相互吸引并保持稳定。胶体稳定剂，如聚乙烯醇和羧甲基纤维素，通过吸附在沥青微胶粒表面，形成保护胶体层，有效防止微胶粒聚集，确保乳化液的粘度和稳定性。而碱性物质，如氢氧化钠和碳酸钠，则负责中和沥青中的酸性成分，使沥青呈现碱性，更易于被表面活性剂吸附和乳化。</w:t>
            </w:r>
          </w:p>
          <w:p w14:paraId="2E986E1B">
            <w:pPr>
              <w:wordWrap w:val="0"/>
              <w:spacing w:line="360" w:lineRule="auto"/>
              <w:ind w:left="42" w:leftChars="20" w:right="42" w:rightChars="20" w:firstLine="482" w:firstLineChars="200"/>
              <w:rPr>
                <w:rFonts w:hint="default" w:eastAsia="宋体"/>
                <w:sz w:val="24"/>
                <w:lang w:val="en-US" w:eastAsia="zh-CN"/>
              </w:rPr>
            </w:pPr>
            <w:r>
              <w:rPr>
                <w:rFonts w:hint="eastAsia"/>
                <w:b/>
                <w:bCs/>
                <w:sz w:val="24"/>
                <w:lang w:val="en-US" w:eastAsia="zh-CN"/>
              </w:rPr>
              <w:t>6、主要生产设备</w:t>
            </w:r>
          </w:p>
          <w:p w14:paraId="02385298">
            <w:pPr>
              <w:wordWrap w:val="0"/>
              <w:spacing w:line="360" w:lineRule="auto"/>
              <w:ind w:left="42" w:leftChars="20" w:right="42" w:rightChars="20" w:firstLine="480" w:firstLineChars="200"/>
              <w:rPr>
                <w:rFonts w:hint="eastAsia"/>
                <w:sz w:val="24"/>
              </w:rPr>
            </w:pPr>
            <w:r>
              <w:rPr>
                <w:rFonts w:hint="eastAsia"/>
                <w:sz w:val="24"/>
              </w:rPr>
              <w:t>本项目生产工序所用到的主要生产设备详见下表：</w:t>
            </w:r>
          </w:p>
          <w:p w14:paraId="10415D36">
            <w:pPr>
              <w:numPr>
                <w:ilvl w:val="0"/>
                <w:numId w:val="4"/>
              </w:numPr>
              <w:tabs>
                <w:tab w:val="left" w:pos="0"/>
              </w:tabs>
              <w:wordWrap w:val="0"/>
              <w:ind w:left="0" w:firstLine="0"/>
              <w:jc w:val="center"/>
              <w:rPr>
                <w:rFonts w:hint="eastAsia" w:ascii="Times New Roman" w:hAnsi="Times New Roman" w:eastAsia="宋体" w:cs="Times New Roman"/>
                <w:b/>
                <w:szCs w:val="21"/>
                <w:lang w:val="en-US" w:eastAsia="zh-CN"/>
              </w:rPr>
            </w:pPr>
            <w:r>
              <w:rPr>
                <w:rFonts w:hint="eastAsia" w:ascii="Times New Roman" w:hAnsi="Times New Roman" w:eastAsia="宋体" w:cs="Times New Roman"/>
                <w:b/>
                <w:szCs w:val="21"/>
                <w:lang w:val="en-US" w:eastAsia="zh-CN"/>
              </w:rPr>
              <w:t>本项目主要设备设施一览表</w:t>
            </w:r>
          </w:p>
          <w:tbl>
            <w:tblPr>
              <w:tblStyle w:val="27"/>
              <w:tblW w:w="8126"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553"/>
              <w:gridCol w:w="2150"/>
              <w:gridCol w:w="2172"/>
              <w:gridCol w:w="1191"/>
              <w:gridCol w:w="2060"/>
            </w:tblGrid>
            <w:tr w14:paraId="72A7004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90" w:hRule="atLeast"/>
                <w:jc w:val="center"/>
              </w:trPr>
              <w:tc>
                <w:tcPr>
                  <w:tcW w:w="553" w:type="dxa"/>
                  <w:tcBorders>
                    <w:tl2br w:val="nil"/>
                    <w:tr2bl w:val="nil"/>
                  </w:tcBorders>
                  <w:vAlign w:val="center"/>
                </w:tcPr>
                <w:p w14:paraId="5422BA9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序号</w:t>
                  </w:r>
                </w:p>
              </w:tc>
              <w:tc>
                <w:tcPr>
                  <w:tcW w:w="2150" w:type="dxa"/>
                  <w:tcBorders>
                    <w:tl2br w:val="nil"/>
                    <w:tr2bl w:val="nil"/>
                  </w:tcBorders>
                  <w:vAlign w:val="center"/>
                </w:tcPr>
                <w:p w14:paraId="4D1BF49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设备名称</w:t>
                  </w:r>
                </w:p>
              </w:tc>
              <w:tc>
                <w:tcPr>
                  <w:tcW w:w="2172" w:type="dxa"/>
                  <w:tcBorders>
                    <w:tl2br w:val="nil"/>
                    <w:tr2bl w:val="nil"/>
                  </w:tcBorders>
                  <w:vAlign w:val="center"/>
                </w:tcPr>
                <w:p w14:paraId="1377F73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型号规格</w:t>
                  </w:r>
                </w:p>
              </w:tc>
              <w:tc>
                <w:tcPr>
                  <w:tcW w:w="1191" w:type="dxa"/>
                  <w:tcBorders>
                    <w:tl2br w:val="nil"/>
                    <w:tr2bl w:val="nil"/>
                  </w:tcBorders>
                  <w:vAlign w:val="center"/>
                </w:tcPr>
                <w:p w14:paraId="1E4BA67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数量（单位：套/台）</w:t>
                  </w:r>
                </w:p>
              </w:tc>
              <w:tc>
                <w:tcPr>
                  <w:tcW w:w="2060" w:type="dxa"/>
                  <w:tcBorders>
                    <w:tl2br w:val="nil"/>
                    <w:tr2bl w:val="nil"/>
                  </w:tcBorders>
                  <w:vAlign w:val="center"/>
                </w:tcPr>
                <w:p w14:paraId="01A5DD5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用途</w:t>
                  </w:r>
                </w:p>
              </w:tc>
            </w:tr>
            <w:tr w14:paraId="7AE586B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126" w:type="dxa"/>
                  <w:gridSpan w:val="5"/>
                  <w:tcBorders>
                    <w:tl2br w:val="nil"/>
                    <w:tr2bl w:val="nil"/>
                  </w:tcBorders>
                  <w:vAlign w:val="center"/>
                </w:tcPr>
                <w:p w14:paraId="248AFC2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主要生产设备</w:t>
                  </w:r>
                </w:p>
              </w:tc>
            </w:tr>
            <w:tr w14:paraId="5F92F79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53" w:type="dxa"/>
                  <w:tcBorders>
                    <w:tl2br w:val="nil"/>
                    <w:tr2bl w:val="nil"/>
                  </w:tcBorders>
                  <w:vAlign w:val="center"/>
                </w:tcPr>
                <w:p w14:paraId="37E7FB5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2150" w:type="dxa"/>
                  <w:tcBorders>
                    <w:tl2br w:val="nil"/>
                    <w:tr2bl w:val="nil"/>
                  </w:tcBorders>
                  <w:vAlign w:val="center"/>
                </w:tcPr>
                <w:p w14:paraId="62D3B1B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环保型整体式沥青搅拌设备</w:t>
                  </w:r>
                </w:p>
              </w:tc>
              <w:tc>
                <w:tcPr>
                  <w:tcW w:w="2172" w:type="dxa"/>
                  <w:tcBorders>
                    <w:tl2br w:val="nil"/>
                    <w:tr2bl w:val="nil"/>
                  </w:tcBorders>
                  <w:vAlign w:val="center"/>
                </w:tcPr>
                <w:p w14:paraId="4E59059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DGR4000</w:t>
                  </w:r>
                </w:p>
              </w:tc>
              <w:tc>
                <w:tcPr>
                  <w:tcW w:w="1191" w:type="dxa"/>
                  <w:tcBorders>
                    <w:tl2br w:val="nil"/>
                    <w:tr2bl w:val="nil"/>
                  </w:tcBorders>
                  <w:vAlign w:val="center"/>
                </w:tcPr>
                <w:p w14:paraId="000F177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2060" w:type="dxa"/>
                  <w:tcBorders>
                    <w:tl2br w:val="nil"/>
                    <w:tr2bl w:val="nil"/>
                  </w:tcBorders>
                  <w:vAlign w:val="center"/>
                </w:tcPr>
                <w:p w14:paraId="1EF933C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生产各种沥青混凝土</w:t>
                  </w:r>
                </w:p>
              </w:tc>
            </w:tr>
            <w:tr w14:paraId="1F18D43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53" w:type="dxa"/>
                  <w:tcBorders>
                    <w:tl2br w:val="nil"/>
                    <w:tr2bl w:val="nil"/>
                  </w:tcBorders>
                  <w:vAlign w:val="center"/>
                </w:tcPr>
                <w:p w14:paraId="7042181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w:t>
                  </w:r>
                </w:p>
              </w:tc>
              <w:tc>
                <w:tcPr>
                  <w:tcW w:w="2150" w:type="dxa"/>
                  <w:tcBorders>
                    <w:tl2br w:val="nil"/>
                    <w:tr2bl w:val="nil"/>
                  </w:tcBorders>
                  <w:vAlign w:val="center"/>
                </w:tcPr>
                <w:p w14:paraId="2E179A9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煤粉生产设备</w:t>
                  </w:r>
                </w:p>
              </w:tc>
              <w:tc>
                <w:tcPr>
                  <w:tcW w:w="2172" w:type="dxa"/>
                  <w:tcBorders>
                    <w:tl2br w:val="nil"/>
                    <w:tr2bl w:val="nil"/>
                  </w:tcBorders>
                  <w:vAlign w:val="center"/>
                </w:tcPr>
                <w:p w14:paraId="73E4833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191" w:type="dxa"/>
                  <w:tcBorders>
                    <w:tl2br w:val="nil"/>
                    <w:tr2bl w:val="nil"/>
                  </w:tcBorders>
                  <w:vAlign w:val="center"/>
                </w:tcPr>
                <w:p w14:paraId="517405E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2060" w:type="dxa"/>
                  <w:tcBorders>
                    <w:tl2br w:val="nil"/>
                    <w:tr2bl w:val="nil"/>
                  </w:tcBorders>
                  <w:vAlign w:val="center"/>
                </w:tcPr>
                <w:p w14:paraId="7D39DD2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煤粉生产</w:t>
                  </w:r>
                </w:p>
              </w:tc>
            </w:tr>
            <w:tr w14:paraId="646FCAB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53" w:type="dxa"/>
                  <w:tcBorders>
                    <w:tl2br w:val="nil"/>
                    <w:tr2bl w:val="nil"/>
                  </w:tcBorders>
                  <w:vAlign w:val="center"/>
                </w:tcPr>
                <w:p w14:paraId="4FE7001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w:t>
                  </w:r>
                </w:p>
              </w:tc>
              <w:tc>
                <w:tcPr>
                  <w:tcW w:w="2150" w:type="dxa"/>
                  <w:tcBorders>
                    <w:tl2br w:val="nil"/>
                    <w:tr2bl w:val="nil"/>
                  </w:tcBorders>
                  <w:vAlign w:val="center"/>
                </w:tcPr>
                <w:p w14:paraId="7019949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val="en-US" w:eastAsia="zh-CN"/>
                    </w:rPr>
                    <w:t>鄂破机</w:t>
                  </w:r>
                </w:p>
              </w:tc>
              <w:tc>
                <w:tcPr>
                  <w:tcW w:w="2172" w:type="dxa"/>
                  <w:tcBorders>
                    <w:tl2br w:val="nil"/>
                    <w:tr2bl w:val="nil"/>
                  </w:tcBorders>
                  <w:vAlign w:val="center"/>
                </w:tcPr>
                <w:p w14:paraId="407DDDE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110kw</w:t>
                  </w:r>
                </w:p>
              </w:tc>
              <w:tc>
                <w:tcPr>
                  <w:tcW w:w="1191" w:type="dxa"/>
                  <w:tcBorders>
                    <w:tl2br w:val="nil"/>
                    <w:tr2bl w:val="nil"/>
                  </w:tcBorders>
                  <w:vAlign w:val="center"/>
                </w:tcPr>
                <w:p w14:paraId="5B49523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2060" w:type="dxa"/>
                  <w:vMerge w:val="restart"/>
                  <w:tcBorders>
                    <w:tl2br w:val="nil"/>
                    <w:tr2bl w:val="nil"/>
                  </w:tcBorders>
                  <w:vAlign w:val="center"/>
                </w:tcPr>
                <w:p w14:paraId="3DFA13D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再生料破碎</w:t>
                  </w:r>
                </w:p>
              </w:tc>
            </w:tr>
            <w:tr w14:paraId="5F7174D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53" w:type="dxa"/>
                  <w:tcBorders>
                    <w:tl2br w:val="nil"/>
                    <w:tr2bl w:val="nil"/>
                  </w:tcBorders>
                  <w:shd w:val="clear" w:color="auto" w:fill="auto"/>
                  <w:vAlign w:val="center"/>
                </w:tcPr>
                <w:p w14:paraId="34F7BF0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4</w:t>
                  </w:r>
                </w:p>
              </w:tc>
              <w:tc>
                <w:tcPr>
                  <w:tcW w:w="2150" w:type="dxa"/>
                  <w:tcBorders>
                    <w:tl2br w:val="nil"/>
                    <w:tr2bl w:val="nil"/>
                  </w:tcBorders>
                  <w:vAlign w:val="center"/>
                </w:tcPr>
                <w:p w14:paraId="309025F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振动筛</w:t>
                  </w:r>
                </w:p>
              </w:tc>
              <w:tc>
                <w:tcPr>
                  <w:tcW w:w="2172" w:type="dxa"/>
                  <w:tcBorders>
                    <w:tl2br w:val="nil"/>
                    <w:tr2bl w:val="nil"/>
                  </w:tcBorders>
                  <w:vAlign w:val="center"/>
                </w:tcPr>
                <w:p w14:paraId="0FA4E27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30kw</w:t>
                  </w:r>
                </w:p>
              </w:tc>
              <w:tc>
                <w:tcPr>
                  <w:tcW w:w="1191" w:type="dxa"/>
                  <w:tcBorders>
                    <w:tl2br w:val="nil"/>
                    <w:tr2bl w:val="nil"/>
                  </w:tcBorders>
                  <w:vAlign w:val="center"/>
                </w:tcPr>
                <w:p w14:paraId="58FA7C0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2060" w:type="dxa"/>
                  <w:vMerge w:val="continue"/>
                  <w:tcBorders>
                    <w:tl2br w:val="nil"/>
                    <w:tr2bl w:val="nil"/>
                  </w:tcBorders>
                  <w:vAlign w:val="center"/>
                </w:tcPr>
                <w:p w14:paraId="6C9D6F2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r>
            <w:tr w14:paraId="0D37983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53" w:type="dxa"/>
                  <w:tcBorders>
                    <w:tl2br w:val="nil"/>
                    <w:tr2bl w:val="nil"/>
                  </w:tcBorders>
                  <w:shd w:val="clear" w:color="auto" w:fill="auto"/>
                  <w:vAlign w:val="center"/>
                </w:tcPr>
                <w:p w14:paraId="145CCFE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5</w:t>
                  </w:r>
                </w:p>
              </w:tc>
              <w:tc>
                <w:tcPr>
                  <w:tcW w:w="2150" w:type="dxa"/>
                  <w:tcBorders>
                    <w:tl2br w:val="nil"/>
                    <w:tr2bl w:val="nil"/>
                  </w:tcBorders>
                  <w:vAlign w:val="center"/>
                </w:tcPr>
                <w:p w14:paraId="0B5DF52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给料机</w:t>
                  </w:r>
                </w:p>
              </w:tc>
              <w:tc>
                <w:tcPr>
                  <w:tcW w:w="2172" w:type="dxa"/>
                  <w:tcBorders>
                    <w:tl2br w:val="nil"/>
                    <w:tr2bl w:val="nil"/>
                  </w:tcBorders>
                  <w:vAlign w:val="center"/>
                </w:tcPr>
                <w:p w14:paraId="1999473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30kw</w:t>
                  </w:r>
                </w:p>
              </w:tc>
              <w:tc>
                <w:tcPr>
                  <w:tcW w:w="1191" w:type="dxa"/>
                  <w:tcBorders>
                    <w:tl2br w:val="nil"/>
                    <w:tr2bl w:val="nil"/>
                  </w:tcBorders>
                  <w:vAlign w:val="center"/>
                </w:tcPr>
                <w:p w14:paraId="4767022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2060" w:type="dxa"/>
                  <w:vMerge w:val="continue"/>
                  <w:tcBorders>
                    <w:tl2br w:val="nil"/>
                    <w:tr2bl w:val="nil"/>
                  </w:tcBorders>
                  <w:vAlign w:val="center"/>
                </w:tcPr>
                <w:p w14:paraId="4634EA2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r>
            <w:tr w14:paraId="3BF1787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53" w:type="dxa"/>
                  <w:tcBorders>
                    <w:tl2br w:val="nil"/>
                    <w:tr2bl w:val="nil"/>
                  </w:tcBorders>
                  <w:shd w:val="clear" w:color="auto" w:fill="auto"/>
                  <w:vAlign w:val="center"/>
                </w:tcPr>
                <w:p w14:paraId="01B818E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6</w:t>
                  </w:r>
                </w:p>
              </w:tc>
              <w:tc>
                <w:tcPr>
                  <w:tcW w:w="2150" w:type="dxa"/>
                  <w:tcBorders>
                    <w:tl2br w:val="nil"/>
                    <w:tr2bl w:val="nil"/>
                  </w:tcBorders>
                  <w:vAlign w:val="center"/>
                </w:tcPr>
                <w:p w14:paraId="77B6F0C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皮带输送机</w:t>
                  </w:r>
                </w:p>
              </w:tc>
              <w:tc>
                <w:tcPr>
                  <w:tcW w:w="2172" w:type="dxa"/>
                  <w:tcBorders>
                    <w:tl2br w:val="nil"/>
                    <w:tr2bl w:val="nil"/>
                  </w:tcBorders>
                  <w:vAlign w:val="center"/>
                </w:tcPr>
                <w:p w14:paraId="1B3A77D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3.0m/1.2m</w:t>
                  </w:r>
                </w:p>
              </w:tc>
              <w:tc>
                <w:tcPr>
                  <w:tcW w:w="1191" w:type="dxa"/>
                  <w:tcBorders>
                    <w:tl2br w:val="nil"/>
                    <w:tr2bl w:val="nil"/>
                  </w:tcBorders>
                  <w:vAlign w:val="center"/>
                </w:tcPr>
                <w:p w14:paraId="7D1D9BB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c>
                <w:tcPr>
                  <w:tcW w:w="2060" w:type="dxa"/>
                  <w:vMerge w:val="continue"/>
                  <w:tcBorders>
                    <w:tl2br w:val="nil"/>
                    <w:tr2bl w:val="nil"/>
                  </w:tcBorders>
                  <w:vAlign w:val="center"/>
                </w:tcPr>
                <w:p w14:paraId="7AC058D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r>
            <w:tr w14:paraId="31E3AE3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jc w:val="center"/>
              </w:trPr>
              <w:tc>
                <w:tcPr>
                  <w:tcW w:w="553" w:type="dxa"/>
                  <w:tcBorders>
                    <w:tl2br w:val="nil"/>
                    <w:tr2bl w:val="nil"/>
                  </w:tcBorders>
                  <w:shd w:val="clear" w:color="auto" w:fill="auto"/>
                  <w:vAlign w:val="center"/>
                </w:tcPr>
                <w:p w14:paraId="216EE87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7</w:t>
                  </w:r>
                </w:p>
              </w:tc>
              <w:tc>
                <w:tcPr>
                  <w:tcW w:w="2150" w:type="dxa"/>
                  <w:tcBorders>
                    <w:tl2br w:val="nil"/>
                    <w:tr2bl w:val="nil"/>
                  </w:tcBorders>
                  <w:vAlign w:val="center"/>
                </w:tcPr>
                <w:p w14:paraId="6651BDC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乳化沥青生产设备</w:t>
                  </w:r>
                </w:p>
              </w:tc>
              <w:tc>
                <w:tcPr>
                  <w:tcW w:w="2172" w:type="dxa"/>
                  <w:tcBorders>
                    <w:tl2br w:val="nil"/>
                    <w:tr2bl w:val="nil"/>
                  </w:tcBorders>
                  <w:vAlign w:val="center"/>
                </w:tcPr>
                <w:p w14:paraId="61E1C77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191" w:type="dxa"/>
                  <w:tcBorders>
                    <w:tl2br w:val="nil"/>
                    <w:tr2bl w:val="nil"/>
                  </w:tcBorders>
                  <w:vAlign w:val="center"/>
                </w:tcPr>
                <w:p w14:paraId="1F1D444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2060" w:type="dxa"/>
                  <w:tcBorders>
                    <w:tl2br w:val="nil"/>
                    <w:tr2bl w:val="nil"/>
                  </w:tcBorders>
                  <w:vAlign w:val="center"/>
                </w:tcPr>
                <w:p w14:paraId="49F80DA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乳化沥青生产</w:t>
                  </w:r>
                </w:p>
              </w:tc>
            </w:tr>
            <w:tr w14:paraId="3119C05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53" w:type="dxa"/>
                  <w:tcBorders>
                    <w:tl2br w:val="nil"/>
                    <w:tr2bl w:val="nil"/>
                  </w:tcBorders>
                  <w:shd w:val="clear" w:color="auto" w:fill="auto"/>
                  <w:vAlign w:val="center"/>
                </w:tcPr>
                <w:p w14:paraId="652638B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8</w:t>
                  </w:r>
                </w:p>
              </w:tc>
              <w:tc>
                <w:tcPr>
                  <w:tcW w:w="2150" w:type="dxa"/>
                  <w:tcBorders>
                    <w:tl2br w:val="nil"/>
                    <w:tr2bl w:val="nil"/>
                  </w:tcBorders>
                  <w:vAlign w:val="center"/>
                </w:tcPr>
                <w:p w14:paraId="7D140E8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沥青罐</w:t>
                  </w:r>
                </w:p>
              </w:tc>
              <w:tc>
                <w:tcPr>
                  <w:tcW w:w="2172" w:type="dxa"/>
                  <w:tcBorders>
                    <w:tl2br w:val="nil"/>
                    <w:tr2bl w:val="nil"/>
                  </w:tcBorders>
                  <w:vAlign w:val="center"/>
                </w:tcPr>
                <w:p w14:paraId="2BB796C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50m</w:t>
                  </w:r>
                  <w:r>
                    <w:rPr>
                      <w:rFonts w:hint="eastAsia" w:ascii="Times New Roman" w:hAnsi="Times New Roman" w:eastAsia="宋体" w:cs="Times New Roman"/>
                      <w:sz w:val="21"/>
                      <w:szCs w:val="21"/>
                      <w:vertAlign w:val="superscript"/>
                      <w:lang w:val="en-US" w:eastAsia="zh-CN"/>
                    </w:rPr>
                    <w:t>3</w:t>
                  </w:r>
                </w:p>
              </w:tc>
              <w:tc>
                <w:tcPr>
                  <w:tcW w:w="1191" w:type="dxa"/>
                  <w:tcBorders>
                    <w:tl2br w:val="nil"/>
                    <w:tr2bl w:val="nil"/>
                  </w:tcBorders>
                  <w:vAlign w:val="center"/>
                </w:tcPr>
                <w:p w14:paraId="6C165CA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w:t>
                  </w:r>
                </w:p>
              </w:tc>
              <w:tc>
                <w:tcPr>
                  <w:tcW w:w="2060" w:type="dxa"/>
                  <w:tcBorders>
                    <w:tl2br w:val="nil"/>
                    <w:tr2bl w:val="nil"/>
                  </w:tcBorders>
                  <w:vAlign w:val="center"/>
                </w:tcPr>
                <w:p w14:paraId="1094E56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沥青暂存</w:t>
                  </w:r>
                </w:p>
              </w:tc>
            </w:tr>
            <w:tr w14:paraId="2CFB68A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53" w:type="dxa"/>
                  <w:tcBorders>
                    <w:tl2br w:val="nil"/>
                    <w:tr2bl w:val="nil"/>
                  </w:tcBorders>
                  <w:vAlign w:val="center"/>
                </w:tcPr>
                <w:p w14:paraId="4EA2F2C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9</w:t>
                  </w:r>
                </w:p>
              </w:tc>
              <w:tc>
                <w:tcPr>
                  <w:tcW w:w="2150" w:type="dxa"/>
                  <w:tcBorders>
                    <w:tl2br w:val="nil"/>
                    <w:tr2bl w:val="nil"/>
                  </w:tcBorders>
                  <w:vAlign w:val="center"/>
                </w:tcPr>
                <w:p w14:paraId="7A65FEB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乳化沥青成品储罐</w:t>
                  </w:r>
                </w:p>
              </w:tc>
              <w:tc>
                <w:tcPr>
                  <w:tcW w:w="2172" w:type="dxa"/>
                  <w:tcBorders>
                    <w:tl2br w:val="nil"/>
                    <w:tr2bl w:val="nil"/>
                  </w:tcBorders>
                  <w:vAlign w:val="center"/>
                </w:tcPr>
                <w:p w14:paraId="4D05434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30m</w:t>
                  </w:r>
                  <w:r>
                    <w:rPr>
                      <w:rFonts w:hint="eastAsia" w:ascii="Times New Roman" w:hAnsi="Times New Roman" w:eastAsia="宋体" w:cs="Times New Roman"/>
                      <w:sz w:val="21"/>
                      <w:szCs w:val="21"/>
                      <w:vertAlign w:val="superscript"/>
                      <w:lang w:val="en-US" w:eastAsia="zh-CN"/>
                    </w:rPr>
                    <w:t>3</w:t>
                  </w:r>
                </w:p>
              </w:tc>
              <w:tc>
                <w:tcPr>
                  <w:tcW w:w="1191" w:type="dxa"/>
                  <w:tcBorders>
                    <w:tl2br w:val="nil"/>
                    <w:tr2bl w:val="nil"/>
                  </w:tcBorders>
                  <w:vAlign w:val="center"/>
                </w:tcPr>
                <w:p w14:paraId="7FFFD5A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w:t>
                  </w:r>
                </w:p>
              </w:tc>
              <w:tc>
                <w:tcPr>
                  <w:tcW w:w="2060" w:type="dxa"/>
                  <w:tcBorders>
                    <w:tl2br w:val="nil"/>
                    <w:tr2bl w:val="nil"/>
                  </w:tcBorders>
                  <w:vAlign w:val="center"/>
                </w:tcPr>
                <w:p w14:paraId="2625FCF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rPr>
                    <w:t>乳化沥青成品</w:t>
                  </w:r>
                  <w:r>
                    <w:rPr>
                      <w:rFonts w:hint="eastAsia" w:ascii="Times New Roman" w:hAnsi="Times New Roman" w:eastAsia="宋体" w:cs="Times New Roman"/>
                      <w:sz w:val="21"/>
                      <w:szCs w:val="21"/>
                      <w:vertAlign w:val="baseline"/>
                      <w:lang w:val="en-US" w:eastAsia="zh-CN"/>
                    </w:rPr>
                    <w:t>暂存</w:t>
                  </w:r>
                </w:p>
              </w:tc>
            </w:tr>
            <w:tr w14:paraId="2804E87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53" w:type="dxa"/>
                  <w:tcBorders>
                    <w:tl2br w:val="nil"/>
                    <w:tr2bl w:val="nil"/>
                  </w:tcBorders>
                  <w:vAlign w:val="center"/>
                </w:tcPr>
                <w:p w14:paraId="0C659B1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c>
                <w:tcPr>
                  <w:tcW w:w="2150" w:type="dxa"/>
                  <w:tcBorders>
                    <w:tl2br w:val="nil"/>
                    <w:tr2bl w:val="nil"/>
                  </w:tcBorders>
                  <w:vAlign w:val="center"/>
                </w:tcPr>
                <w:p w14:paraId="32DAB7B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厂内装载机</w:t>
                  </w:r>
                </w:p>
              </w:tc>
              <w:tc>
                <w:tcPr>
                  <w:tcW w:w="2172" w:type="dxa"/>
                  <w:tcBorders>
                    <w:tl2br w:val="nil"/>
                    <w:tr2bl w:val="nil"/>
                  </w:tcBorders>
                  <w:vAlign w:val="center"/>
                </w:tcPr>
                <w:p w14:paraId="7184D8D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191" w:type="dxa"/>
                  <w:tcBorders>
                    <w:tl2br w:val="nil"/>
                    <w:tr2bl w:val="nil"/>
                  </w:tcBorders>
                  <w:vAlign w:val="center"/>
                </w:tcPr>
                <w:p w14:paraId="11C5A27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w:t>
                  </w:r>
                </w:p>
              </w:tc>
              <w:tc>
                <w:tcPr>
                  <w:tcW w:w="2060" w:type="dxa"/>
                  <w:tcBorders>
                    <w:tl2br w:val="nil"/>
                    <w:tr2bl w:val="nil"/>
                  </w:tcBorders>
                  <w:vAlign w:val="center"/>
                </w:tcPr>
                <w:p w14:paraId="2E7A2C7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厂内物料运输</w:t>
                  </w:r>
                </w:p>
              </w:tc>
            </w:tr>
            <w:tr w14:paraId="616EF72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53" w:type="dxa"/>
                  <w:tcBorders>
                    <w:tl2br w:val="nil"/>
                    <w:tr2bl w:val="nil"/>
                  </w:tcBorders>
                  <w:vAlign w:val="center"/>
                </w:tcPr>
                <w:p w14:paraId="78C1268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11</w:t>
                  </w:r>
                </w:p>
              </w:tc>
              <w:tc>
                <w:tcPr>
                  <w:tcW w:w="2150" w:type="dxa"/>
                  <w:tcBorders>
                    <w:tl2br w:val="nil"/>
                    <w:tr2bl w:val="nil"/>
                  </w:tcBorders>
                  <w:vAlign w:val="center"/>
                </w:tcPr>
                <w:p w14:paraId="2228B53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地磅</w:t>
                  </w:r>
                </w:p>
              </w:tc>
              <w:tc>
                <w:tcPr>
                  <w:tcW w:w="2172" w:type="dxa"/>
                  <w:tcBorders>
                    <w:tl2br w:val="nil"/>
                    <w:tr2bl w:val="nil"/>
                  </w:tcBorders>
                  <w:vAlign w:val="center"/>
                </w:tcPr>
                <w:p w14:paraId="7FDD78E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191" w:type="dxa"/>
                  <w:tcBorders>
                    <w:tl2br w:val="nil"/>
                    <w:tr2bl w:val="nil"/>
                  </w:tcBorders>
                  <w:vAlign w:val="center"/>
                </w:tcPr>
                <w:p w14:paraId="1C89941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2060" w:type="dxa"/>
                  <w:tcBorders>
                    <w:tl2br w:val="nil"/>
                    <w:tr2bl w:val="nil"/>
                  </w:tcBorders>
                  <w:vAlign w:val="center"/>
                </w:tcPr>
                <w:p w14:paraId="3DF91D7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称重</w:t>
                  </w:r>
                </w:p>
              </w:tc>
            </w:tr>
            <w:tr w14:paraId="17BABAB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53" w:type="dxa"/>
                  <w:tcBorders>
                    <w:tl2br w:val="nil"/>
                    <w:tr2bl w:val="nil"/>
                  </w:tcBorders>
                  <w:vAlign w:val="center"/>
                </w:tcPr>
                <w:p w14:paraId="530A547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12</w:t>
                  </w:r>
                </w:p>
              </w:tc>
              <w:tc>
                <w:tcPr>
                  <w:tcW w:w="2150" w:type="dxa"/>
                  <w:tcBorders>
                    <w:tl2br w:val="nil"/>
                    <w:tr2bl w:val="nil"/>
                  </w:tcBorders>
                  <w:vAlign w:val="center"/>
                </w:tcPr>
                <w:p w14:paraId="23D1C46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粉料筒仓</w:t>
                  </w:r>
                </w:p>
              </w:tc>
              <w:tc>
                <w:tcPr>
                  <w:tcW w:w="2172" w:type="dxa"/>
                  <w:tcBorders>
                    <w:tl2br w:val="nil"/>
                    <w:tr2bl w:val="nil"/>
                  </w:tcBorders>
                  <w:vAlign w:val="center"/>
                </w:tcPr>
                <w:p w14:paraId="48B7B70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80t</w:t>
                  </w:r>
                </w:p>
              </w:tc>
              <w:tc>
                <w:tcPr>
                  <w:tcW w:w="1191" w:type="dxa"/>
                  <w:tcBorders>
                    <w:tl2br w:val="nil"/>
                    <w:tr2bl w:val="nil"/>
                  </w:tcBorders>
                  <w:vAlign w:val="center"/>
                </w:tcPr>
                <w:p w14:paraId="303F17B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w:t>
                  </w:r>
                </w:p>
              </w:tc>
              <w:tc>
                <w:tcPr>
                  <w:tcW w:w="2060" w:type="dxa"/>
                  <w:tcBorders>
                    <w:tl2br w:val="nil"/>
                    <w:tr2bl w:val="nil"/>
                  </w:tcBorders>
                  <w:vAlign w:val="center"/>
                </w:tcPr>
                <w:p w14:paraId="6533DAF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粉料储存</w:t>
                  </w:r>
                </w:p>
              </w:tc>
            </w:tr>
            <w:tr w14:paraId="5D80D1D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53" w:type="dxa"/>
                  <w:tcBorders>
                    <w:tl2br w:val="nil"/>
                    <w:tr2bl w:val="nil"/>
                  </w:tcBorders>
                  <w:vAlign w:val="center"/>
                </w:tcPr>
                <w:p w14:paraId="3D2211D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13</w:t>
                  </w:r>
                </w:p>
              </w:tc>
              <w:tc>
                <w:tcPr>
                  <w:tcW w:w="2150" w:type="dxa"/>
                  <w:tcBorders>
                    <w:tl2br w:val="nil"/>
                    <w:tr2bl w:val="nil"/>
                  </w:tcBorders>
                  <w:vAlign w:val="center"/>
                </w:tcPr>
                <w:p w14:paraId="3FA6F86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成品煤粉筒仓</w:t>
                  </w:r>
                </w:p>
              </w:tc>
              <w:tc>
                <w:tcPr>
                  <w:tcW w:w="2172" w:type="dxa"/>
                  <w:tcBorders>
                    <w:tl2br w:val="nil"/>
                    <w:tr2bl w:val="nil"/>
                  </w:tcBorders>
                  <w:vAlign w:val="center"/>
                </w:tcPr>
                <w:p w14:paraId="0E6970C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240m</w:t>
                  </w:r>
                  <w:r>
                    <w:rPr>
                      <w:rFonts w:hint="eastAsia" w:ascii="Times New Roman" w:hAnsi="Times New Roman" w:eastAsia="宋体" w:cs="Times New Roman"/>
                      <w:sz w:val="21"/>
                      <w:szCs w:val="21"/>
                      <w:vertAlign w:val="superscript"/>
                      <w:lang w:val="en-US" w:eastAsia="zh-CN"/>
                    </w:rPr>
                    <w:t>3</w:t>
                  </w:r>
                </w:p>
              </w:tc>
              <w:tc>
                <w:tcPr>
                  <w:tcW w:w="1191" w:type="dxa"/>
                  <w:tcBorders>
                    <w:tl2br w:val="nil"/>
                    <w:tr2bl w:val="nil"/>
                  </w:tcBorders>
                  <w:vAlign w:val="center"/>
                </w:tcPr>
                <w:p w14:paraId="7AE7201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w:t>
                  </w:r>
                </w:p>
              </w:tc>
              <w:tc>
                <w:tcPr>
                  <w:tcW w:w="2060" w:type="dxa"/>
                  <w:tcBorders>
                    <w:tl2br w:val="nil"/>
                    <w:tr2bl w:val="nil"/>
                  </w:tcBorders>
                  <w:vAlign w:val="center"/>
                </w:tcPr>
                <w:p w14:paraId="2A9B54A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成品煤粉储存</w:t>
                  </w:r>
                </w:p>
              </w:tc>
            </w:tr>
            <w:tr w14:paraId="47606FA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8126" w:type="dxa"/>
                  <w:gridSpan w:val="5"/>
                  <w:tcBorders>
                    <w:tl2br w:val="nil"/>
                    <w:tr2bl w:val="nil"/>
                  </w:tcBorders>
                  <w:vAlign w:val="center"/>
                </w:tcPr>
                <w:p w14:paraId="6CAD92B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实验设备</w:t>
                  </w:r>
                </w:p>
              </w:tc>
            </w:tr>
            <w:tr w14:paraId="4E4AE3B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53" w:type="dxa"/>
                  <w:tcBorders>
                    <w:tl2br w:val="nil"/>
                    <w:tr2bl w:val="nil"/>
                  </w:tcBorders>
                  <w:vAlign w:val="center"/>
                </w:tcPr>
                <w:p w14:paraId="567F85F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2150" w:type="dxa"/>
                  <w:tcBorders>
                    <w:tl2br w:val="nil"/>
                    <w:tr2bl w:val="nil"/>
                  </w:tcBorders>
                  <w:vAlign w:val="center"/>
                </w:tcPr>
                <w:p w14:paraId="6DA0AC8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沥青针入度仪</w:t>
                  </w:r>
                </w:p>
              </w:tc>
              <w:tc>
                <w:tcPr>
                  <w:tcW w:w="2172" w:type="dxa"/>
                  <w:tcBorders>
                    <w:tl2br w:val="nil"/>
                    <w:tr2bl w:val="nil"/>
                  </w:tcBorders>
                  <w:vAlign w:val="center"/>
                </w:tcPr>
                <w:p w14:paraId="204ACE5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SYD-2801E</w:t>
                  </w:r>
                </w:p>
              </w:tc>
              <w:tc>
                <w:tcPr>
                  <w:tcW w:w="1191" w:type="dxa"/>
                  <w:tcBorders>
                    <w:tl2br w:val="nil"/>
                    <w:tr2bl w:val="nil"/>
                  </w:tcBorders>
                  <w:vAlign w:val="center"/>
                </w:tcPr>
                <w:p w14:paraId="0D16C88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1</w:t>
                  </w:r>
                </w:p>
              </w:tc>
              <w:tc>
                <w:tcPr>
                  <w:tcW w:w="2060" w:type="dxa"/>
                  <w:tcBorders>
                    <w:tl2br w:val="nil"/>
                    <w:tr2bl w:val="nil"/>
                  </w:tcBorders>
                  <w:vAlign w:val="center"/>
                </w:tcPr>
                <w:p w14:paraId="557AC76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道路石油沥青蒸发后残留物针入度测定</w:t>
                  </w:r>
                </w:p>
              </w:tc>
            </w:tr>
            <w:tr w14:paraId="471AA9E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53" w:type="dxa"/>
                  <w:tcBorders>
                    <w:tl2br w:val="nil"/>
                    <w:tr2bl w:val="nil"/>
                  </w:tcBorders>
                  <w:vAlign w:val="center"/>
                </w:tcPr>
                <w:p w14:paraId="4B1C56F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2</w:t>
                  </w:r>
                </w:p>
              </w:tc>
              <w:tc>
                <w:tcPr>
                  <w:tcW w:w="2150" w:type="dxa"/>
                  <w:tcBorders>
                    <w:tl2br w:val="nil"/>
                    <w:tr2bl w:val="nil"/>
                  </w:tcBorders>
                  <w:vAlign w:val="center"/>
                </w:tcPr>
                <w:p w14:paraId="22E3211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全自动沥青软化点仪</w:t>
                  </w:r>
                </w:p>
              </w:tc>
              <w:tc>
                <w:tcPr>
                  <w:tcW w:w="2172" w:type="dxa"/>
                  <w:tcBorders>
                    <w:tl2br w:val="nil"/>
                    <w:tr2bl w:val="nil"/>
                  </w:tcBorders>
                  <w:vAlign w:val="center"/>
                </w:tcPr>
                <w:p w14:paraId="0329312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SYD-2806E</w:t>
                  </w:r>
                </w:p>
              </w:tc>
              <w:tc>
                <w:tcPr>
                  <w:tcW w:w="1191" w:type="dxa"/>
                  <w:tcBorders>
                    <w:tl2br w:val="nil"/>
                    <w:tr2bl w:val="nil"/>
                  </w:tcBorders>
                  <w:vAlign w:val="center"/>
                </w:tcPr>
                <w:p w14:paraId="0B7C24A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1</w:t>
                  </w:r>
                </w:p>
              </w:tc>
              <w:tc>
                <w:tcPr>
                  <w:tcW w:w="2060" w:type="dxa"/>
                  <w:tcBorders>
                    <w:tl2br w:val="nil"/>
                    <w:tr2bl w:val="nil"/>
                  </w:tcBorders>
                  <w:vAlign w:val="center"/>
                </w:tcPr>
                <w:p w14:paraId="3323369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软化点试验</w:t>
                  </w:r>
                </w:p>
              </w:tc>
            </w:tr>
            <w:tr w14:paraId="52FE45D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53" w:type="dxa"/>
                  <w:tcBorders>
                    <w:tl2br w:val="nil"/>
                    <w:tr2bl w:val="nil"/>
                  </w:tcBorders>
                  <w:vAlign w:val="center"/>
                </w:tcPr>
                <w:p w14:paraId="67DED1B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w:t>
                  </w:r>
                </w:p>
              </w:tc>
              <w:tc>
                <w:tcPr>
                  <w:tcW w:w="2150" w:type="dxa"/>
                  <w:tcBorders>
                    <w:tl2br w:val="nil"/>
                    <w:tr2bl w:val="nil"/>
                  </w:tcBorders>
                  <w:vAlign w:val="center"/>
                </w:tcPr>
                <w:p w14:paraId="6BA62DE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沥青混合料马歇尔稳定度仪</w:t>
                  </w:r>
                </w:p>
              </w:tc>
              <w:tc>
                <w:tcPr>
                  <w:tcW w:w="2172" w:type="dxa"/>
                  <w:tcBorders>
                    <w:tl2br w:val="nil"/>
                    <w:tr2bl w:val="nil"/>
                  </w:tcBorders>
                  <w:vAlign w:val="center"/>
                </w:tcPr>
                <w:p w14:paraId="4905E5D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DF-5</w:t>
                  </w:r>
                </w:p>
              </w:tc>
              <w:tc>
                <w:tcPr>
                  <w:tcW w:w="1191" w:type="dxa"/>
                  <w:tcBorders>
                    <w:tl2br w:val="nil"/>
                    <w:tr2bl w:val="nil"/>
                  </w:tcBorders>
                  <w:vAlign w:val="center"/>
                </w:tcPr>
                <w:p w14:paraId="0F01D6B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2060" w:type="dxa"/>
                  <w:vMerge w:val="restart"/>
                  <w:tcBorders>
                    <w:tl2br w:val="nil"/>
                    <w:tr2bl w:val="nil"/>
                  </w:tcBorders>
                  <w:vAlign w:val="center"/>
                </w:tcPr>
                <w:p w14:paraId="3BCCDD9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马歇尔试验</w:t>
                  </w:r>
                </w:p>
              </w:tc>
            </w:tr>
            <w:tr w14:paraId="044D2CD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53" w:type="dxa"/>
                  <w:tcBorders>
                    <w:tl2br w:val="nil"/>
                    <w:tr2bl w:val="nil"/>
                  </w:tcBorders>
                  <w:vAlign w:val="center"/>
                </w:tcPr>
                <w:p w14:paraId="251673E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w:t>
                  </w:r>
                </w:p>
              </w:tc>
              <w:tc>
                <w:tcPr>
                  <w:tcW w:w="2150" w:type="dxa"/>
                  <w:tcBorders>
                    <w:tl2br w:val="nil"/>
                    <w:tr2bl w:val="nil"/>
                  </w:tcBorders>
                  <w:vAlign w:val="center"/>
                </w:tcPr>
                <w:p w14:paraId="5C64432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马歇尔电动击实仪</w:t>
                  </w:r>
                </w:p>
              </w:tc>
              <w:tc>
                <w:tcPr>
                  <w:tcW w:w="2172" w:type="dxa"/>
                  <w:tcBorders>
                    <w:tl2br w:val="nil"/>
                    <w:tr2bl w:val="nil"/>
                  </w:tcBorders>
                  <w:vAlign w:val="center"/>
                </w:tcPr>
                <w:p w14:paraId="0B09DD3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MDJ-Ⅱ</w:t>
                  </w:r>
                </w:p>
              </w:tc>
              <w:tc>
                <w:tcPr>
                  <w:tcW w:w="1191" w:type="dxa"/>
                  <w:tcBorders>
                    <w:tl2br w:val="nil"/>
                    <w:tr2bl w:val="nil"/>
                  </w:tcBorders>
                  <w:vAlign w:val="center"/>
                </w:tcPr>
                <w:p w14:paraId="6F8393B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2060" w:type="dxa"/>
                  <w:vMerge w:val="continue"/>
                  <w:tcBorders>
                    <w:tl2br w:val="nil"/>
                    <w:tr2bl w:val="nil"/>
                  </w:tcBorders>
                  <w:vAlign w:val="center"/>
                </w:tcPr>
                <w:p w14:paraId="7B3D7BF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r>
            <w:tr w14:paraId="5A1C59D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53" w:type="dxa"/>
                  <w:tcBorders>
                    <w:tl2br w:val="nil"/>
                    <w:tr2bl w:val="nil"/>
                  </w:tcBorders>
                  <w:vAlign w:val="center"/>
                </w:tcPr>
                <w:p w14:paraId="7D80AE5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w:t>
                  </w:r>
                </w:p>
              </w:tc>
              <w:tc>
                <w:tcPr>
                  <w:tcW w:w="2150" w:type="dxa"/>
                  <w:tcBorders>
                    <w:tl2br w:val="nil"/>
                    <w:tr2bl w:val="nil"/>
                  </w:tcBorders>
                  <w:vAlign w:val="center"/>
                </w:tcPr>
                <w:p w14:paraId="0B818E9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沥青混合料离心抽提仪</w:t>
                  </w:r>
                </w:p>
              </w:tc>
              <w:tc>
                <w:tcPr>
                  <w:tcW w:w="2172" w:type="dxa"/>
                  <w:tcBorders>
                    <w:tl2br w:val="nil"/>
                    <w:tr2bl w:val="nil"/>
                  </w:tcBorders>
                  <w:vAlign w:val="center"/>
                </w:tcPr>
                <w:p w14:paraId="769FFD7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LLC-30</w:t>
                  </w:r>
                </w:p>
              </w:tc>
              <w:tc>
                <w:tcPr>
                  <w:tcW w:w="1191" w:type="dxa"/>
                  <w:tcBorders>
                    <w:tl2br w:val="nil"/>
                    <w:tr2bl w:val="nil"/>
                  </w:tcBorders>
                  <w:vAlign w:val="center"/>
                </w:tcPr>
                <w:p w14:paraId="0B95CE1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2060" w:type="dxa"/>
                  <w:tcBorders>
                    <w:tl2br w:val="nil"/>
                    <w:tr2bl w:val="nil"/>
                  </w:tcBorders>
                  <w:vAlign w:val="center"/>
                </w:tcPr>
                <w:p w14:paraId="0D8B54E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油石比试验</w:t>
                  </w:r>
                </w:p>
              </w:tc>
            </w:tr>
            <w:tr w14:paraId="6AE06E0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53" w:type="dxa"/>
                  <w:tcBorders>
                    <w:tl2br w:val="nil"/>
                    <w:tr2bl w:val="nil"/>
                  </w:tcBorders>
                  <w:vAlign w:val="center"/>
                </w:tcPr>
                <w:p w14:paraId="75F18AF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c>
                <w:tcPr>
                  <w:tcW w:w="2150" w:type="dxa"/>
                  <w:tcBorders>
                    <w:tl2br w:val="nil"/>
                    <w:tr2bl w:val="nil"/>
                  </w:tcBorders>
                  <w:vAlign w:val="center"/>
                </w:tcPr>
                <w:p w14:paraId="24D8376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压力机</w:t>
                  </w:r>
                </w:p>
              </w:tc>
              <w:tc>
                <w:tcPr>
                  <w:tcW w:w="2172" w:type="dxa"/>
                  <w:tcBorders>
                    <w:tl2br w:val="nil"/>
                    <w:tr2bl w:val="nil"/>
                  </w:tcBorders>
                  <w:vAlign w:val="center"/>
                </w:tcPr>
                <w:p w14:paraId="7BC4146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DYE-2000</w:t>
                  </w:r>
                </w:p>
              </w:tc>
              <w:tc>
                <w:tcPr>
                  <w:tcW w:w="1191" w:type="dxa"/>
                  <w:tcBorders>
                    <w:tl2br w:val="nil"/>
                    <w:tr2bl w:val="nil"/>
                  </w:tcBorders>
                  <w:vAlign w:val="center"/>
                </w:tcPr>
                <w:p w14:paraId="0BA7382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1</w:t>
                  </w:r>
                </w:p>
              </w:tc>
              <w:tc>
                <w:tcPr>
                  <w:tcW w:w="2060" w:type="dxa"/>
                  <w:tcBorders>
                    <w:tl2br w:val="nil"/>
                    <w:tr2bl w:val="nil"/>
                  </w:tcBorders>
                  <w:vAlign w:val="center"/>
                </w:tcPr>
                <w:p w14:paraId="61F04B4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抗压试验</w:t>
                  </w:r>
                </w:p>
              </w:tc>
            </w:tr>
            <w:tr w14:paraId="58DF319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53" w:type="dxa"/>
                  <w:tcBorders>
                    <w:tl2br w:val="nil"/>
                    <w:tr2bl w:val="nil"/>
                  </w:tcBorders>
                  <w:vAlign w:val="center"/>
                </w:tcPr>
                <w:p w14:paraId="4480289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w:t>
                  </w:r>
                </w:p>
              </w:tc>
              <w:tc>
                <w:tcPr>
                  <w:tcW w:w="2150" w:type="dxa"/>
                  <w:tcBorders>
                    <w:tl2br w:val="nil"/>
                    <w:tr2bl w:val="nil"/>
                  </w:tcBorders>
                  <w:vAlign w:val="center"/>
                </w:tcPr>
                <w:p w14:paraId="7DEDEB5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车轮碾压试验仪</w:t>
                  </w:r>
                </w:p>
              </w:tc>
              <w:tc>
                <w:tcPr>
                  <w:tcW w:w="2172" w:type="dxa"/>
                  <w:tcBorders>
                    <w:tl2br w:val="nil"/>
                    <w:tr2bl w:val="nil"/>
                  </w:tcBorders>
                  <w:vAlign w:val="center"/>
                </w:tcPr>
                <w:p w14:paraId="6055DCA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LLN-Ⅱ</w:t>
                  </w:r>
                </w:p>
              </w:tc>
              <w:tc>
                <w:tcPr>
                  <w:tcW w:w="1191" w:type="dxa"/>
                  <w:tcBorders>
                    <w:tl2br w:val="nil"/>
                    <w:tr2bl w:val="nil"/>
                  </w:tcBorders>
                  <w:vAlign w:val="center"/>
                </w:tcPr>
                <w:p w14:paraId="5EDD64D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1</w:t>
                  </w:r>
                </w:p>
              </w:tc>
              <w:tc>
                <w:tcPr>
                  <w:tcW w:w="2060" w:type="dxa"/>
                  <w:tcBorders>
                    <w:tl2br w:val="nil"/>
                    <w:tr2bl w:val="nil"/>
                  </w:tcBorders>
                  <w:vAlign w:val="center"/>
                </w:tcPr>
                <w:p w14:paraId="26CF036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抗车辙试验</w:t>
                  </w:r>
                </w:p>
              </w:tc>
            </w:tr>
            <w:tr w14:paraId="4C6A293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53" w:type="dxa"/>
                  <w:tcBorders>
                    <w:tl2br w:val="nil"/>
                    <w:tr2bl w:val="nil"/>
                  </w:tcBorders>
                  <w:vAlign w:val="center"/>
                </w:tcPr>
                <w:p w14:paraId="1B1A126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8</w:t>
                  </w:r>
                </w:p>
              </w:tc>
              <w:tc>
                <w:tcPr>
                  <w:tcW w:w="2150" w:type="dxa"/>
                  <w:tcBorders>
                    <w:tl2br w:val="nil"/>
                    <w:tr2bl w:val="nil"/>
                  </w:tcBorders>
                  <w:vAlign w:val="center"/>
                </w:tcPr>
                <w:p w14:paraId="16E30EF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弯沉仪</w:t>
                  </w:r>
                </w:p>
              </w:tc>
              <w:tc>
                <w:tcPr>
                  <w:tcW w:w="2172" w:type="dxa"/>
                  <w:tcBorders>
                    <w:tl2br w:val="nil"/>
                    <w:tr2bl w:val="nil"/>
                  </w:tcBorders>
                  <w:vAlign w:val="center"/>
                </w:tcPr>
                <w:p w14:paraId="51A1D34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3.6M</w:t>
                  </w:r>
                </w:p>
              </w:tc>
              <w:tc>
                <w:tcPr>
                  <w:tcW w:w="1191" w:type="dxa"/>
                  <w:tcBorders>
                    <w:tl2br w:val="nil"/>
                    <w:tr2bl w:val="nil"/>
                  </w:tcBorders>
                  <w:vAlign w:val="center"/>
                </w:tcPr>
                <w:p w14:paraId="48146EB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1</w:t>
                  </w:r>
                </w:p>
              </w:tc>
              <w:tc>
                <w:tcPr>
                  <w:tcW w:w="2060" w:type="dxa"/>
                  <w:tcBorders>
                    <w:tl2br w:val="nil"/>
                    <w:tr2bl w:val="nil"/>
                  </w:tcBorders>
                  <w:vAlign w:val="center"/>
                </w:tcPr>
                <w:p w14:paraId="1181BA9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动态弯沉试验</w:t>
                  </w:r>
                </w:p>
              </w:tc>
            </w:tr>
          </w:tbl>
          <w:p w14:paraId="0C3C0A64">
            <w:pPr>
              <w:jc w:val="both"/>
              <w:rPr>
                <w:rFonts w:hint="eastAsia"/>
              </w:rPr>
            </w:pPr>
            <w:r>
              <w:rPr>
                <w:b/>
                <w:szCs w:val="21"/>
              </w:rPr>
              <w:t>经查阅《产业结构调整指导目录（</w:t>
            </w:r>
            <w:r>
              <w:rPr>
                <w:rFonts w:hint="eastAsia"/>
                <w:b/>
                <w:szCs w:val="21"/>
                <w:lang w:val="en-US" w:eastAsia="zh-CN"/>
              </w:rPr>
              <w:t>2024</w:t>
            </w:r>
            <w:r>
              <w:rPr>
                <w:b/>
                <w:szCs w:val="21"/>
              </w:rPr>
              <w:t>年本）》</w:t>
            </w:r>
            <w:r>
              <w:rPr>
                <w:rFonts w:hint="eastAsia"/>
                <w:b/>
                <w:szCs w:val="21"/>
                <w:lang w:eastAsia="zh-CN"/>
              </w:rPr>
              <w:t>，</w:t>
            </w:r>
            <w:r>
              <w:rPr>
                <w:b/>
                <w:szCs w:val="21"/>
              </w:rPr>
              <w:t>项目所采用的工艺、设备不属于国家相关行业限制或淘汰类工艺、设备。</w:t>
            </w:r>
          </w:p>
          <w:p w14:paraId="090777EF">
            <w:pPr>
              <w:numPr>
                <w:ilvl w:val="0"/>
                <w:numId w:val="4"/>
              </w:numPr>
              <w:tabs>
                <w:tab w:val="left" w:pos="0"/>
              </w:tabs>
              <w:wordWrap w:val="0"/>
              <w:ind w:left="0" w:firstLine="0"/>
              <w:jc w:val="center"/>
              <w:rPr>
                <w:rFonts w:hint="eastAsia"/>
                <w:b/>
                <w:szCs w:val="21"/>
              </w:rPr>
            </w:pPr>
            <w:r>
              <w:rPr>
                <w:rFonts w:hint="eastAsia"/>
                <w:b/>
                <w:szCs w:val="21"/>
                <w:lang w:val="en-US" w:eastAsia="zh-CN"/>
              </w:rPr>
              <w:t>本项目煤粉生产线设备一览表</w:t>
            </w:r>
          </w:p>
          <w:tbl>
            <w:tblPr>
              <w:tblStyle w:val="26"/>
              <w:tblW w:w="8038"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Layout w:type="fixed"/>
              <w:tblCellMar>
                <w:top w:w="0" w:type="dxa"/>
                <w:left w:w="108" w:type="dxa"/>
                <w:bottom w:w="0" w:type="dxa"/>
                <w:right w:w="108" w:type="dxa"/>
              </w:tblCellMar>
            </w:tblPr>
            <w:tblGrid>
              <w:gridCol w:w="543"/>
              <w:gridCol w:w="1601"/>
              <w:gridCol w:w="1356"/>
              <w:gridCol w:w="1799"/>
              <w:gridCol w:w="3"/>
              <w:gridCol w:w="773"/>
              <w:gridCol w:w="848"/>
              <w:gridCol w:w="3"/>
              <w:gridCol w:w="1112"/>
            </w:tblGrid>
            <w:tr w14:paraId="13F1BF2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288E241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编号</w:t>
                  </w:r>
                </w:p>
              </w:tc>
              <w:tc>
                <w:tcPr>
                  <w:tcW w:w="995" w:type="pct"/>
                  <w:tcBorders>
                    <w:tl2br w:val="nil"/>
                    <w:tr2bl w:val="nil"/>
                  </w:tcBorders>
                  <w:shd w:val="clear" w:color="auto" w:fill="auto"/>
                  <w:noWrap w:val="0"/>
                  <w:vAlign w:val="center"/>
                </w:tcPr>
                <w:p w14:paraId="789922A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名称</w:t>
                  </w:r>
                </w:p>
              </w:tc>
              <w:tc>
                <w:tcPr>
                  <w:tcW w:w="843" w:type="pct"/>
                  <w:tcBorders>
                    <w:tl2br w:val="nil"/>
                    <w:tr2bl w:val="nil"/>
                  </w:tcBorders>
                  <w:shd w:val="clear" w:color="auto" w:fill="auto"/>
                  <w:noWrap w:val="0"/>
                  <w:vAlign w:val="center"/>
                </w:tcPr>
                <w:p w14:paraId="3CDF0B9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型号</w:t>
                  </w:r>
                </w:p>
              </w:tc>
              <w:tc>
                <w:tcPr>
                  <w:tcW w:w="1119" w:type="pct"/>
                  <w:tcBorders>
                    <w:tl2br w:val="nil"/>
                    <w:tr2bl w:val="nil"/>
                  </w:tcBorders>
                  <w:shd w:val="clear" w:color="auto" w:fill="auto"/>
                  <w:noWrap w:val="0"/>
                  <w:vAlign w:val="center"/>
                </w:tcPr>
                <w:p w14:paraId="7BCC7F3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技术参数</w:t>
                  </w:r>
                </w:p>
              </w:tc>
              <w:tc>
                <w:tcPr>
                  <w:tcW w:w="482" w:type="pct"/>
                  <w:gridSpan w:val="2"/>
                  <w:tcBorders>
                    <w:tl2br w:val="nil"/>
                    <w:tr2bl w:val="nil"/>
                  </w:tcBorders>
                  <w:shd w:val="clear" w:color="auto" w:fill="auto"/>
                  <w:noWrap w:val="0"/>
                  <w:vAlign w:val="center"/>
                </w:tcPr>
                <w:p w14:paraId="50C89FA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单位</w:t>
                  </w:r>
                </w:p>
              </w:tc>
              <w:tc>
                <w:tcPr>
                  <w:tcW w:w="527" w:type="pct"/>
                  <w:tcBorders>
                    <w:tl2br w:val="nil"/>
                    <w:tr2bl w:val="nil"/>
                  </w:tcBorders>
                  <w:shd w:val="clear" w:color="auto" w:fill="auto"/>
                  <w:noWrap w:val="0"/>
                  <w:vAlign w:val="center"/>
                </w:tcPr>
                <w:p w14:paraId="38DBF00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数量</w:t>
                  </w:r>
                </w:p>
              </w:tc>
              <w:tc>
                <w:tcPr>
                  <w:tcW w:w="693" w:type="pct"/>
                  <w:gridSpan w:val="2"/>
                  <w:tcBorders>
                    <w:tl2br w:val="nil"/>
                    <w:tr2bl w:val="nil"/>
                  </w:tcBorders>
                  <w:shd w:val="clear" w:color="auto" w:fill="auto"/>
                  <w:noWrap w:val="0"/>
                  <w:vAlign w:val="center"/>
                </w:tcPr>
                <w:p w14:paraId="187F719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单台功率k</w:t>
                  </w:r>
                  <w:r>
                    <w:rPr>
                      <w:rFonts w:hint="eastAsia" w:ascii="Times New Roman" w:hAnsi="Times New Roman" w:eastAsia="宋体" w:cs="Times New Roman"/>
                      <w:b/>
                      <w:bCs/>
                      <w:i w:val="0"/>
                      <w:iCs w:val="0"/>
                      <w:color w:val="000000"/>
                      <w:kern w:val="0"/>
                      <w:sz w:val="21"/>
                      <w:szCs w:val="21"/>
                      <w:u w:val="none"/>
                      <w:lang w:val="en-US" w:eastAsia="zh-CN" w:bidi="ar"/>
                    </w:rPr>
                    <w:t>W</w:t>
                  </w:r>
                </w:p>
              </w:tc>
            </w:tr>
            <w:tr w14:paraId="364FE18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03F2EA8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i w:val="0"/>
                      <w:iCs w:val="0"/>
                      <w:color w:val="000000"/>
                      <w:sz w:val="21"/>
                      <w:szCs w:val="21"/>
                      <w:highlight w:val="none"/>
                      <w:u w:val="none"/>
                    </w:rPr>
                  </w:pPr>
                  <w:r>
                    <w:rPr>
                      <w:rFonts w:hint="default" w:ascii="Times New Roman" w:hAnsi="Times New Roman" w:eastAsia="宋体" w:cs="Times New Roman"/>
                      <w:b/>
                      <w:bCs/>
                      <w:i w:val="0"/>
                      <w:iCs w:val="0"/>
                      <w:color w:val="000000"/>
                      <w:kern w:val="0"/>
                      <w:sz w:val="21"/>
                      <w:szCs w:val="21"/>
                      <w:highlight w:val="none"/>
                      <w:u w:val="none"/>
                      <w:lang w:val="en-US" w:eastAsia="zh-CN" w:bidi="ar"/>
                    </w:rPr>
                    <w:t>一</w:t>
                  </w:r>
                </w:p>
              </w:tc>
              <w:tc>
                <w:tcPr>
                  <w:tcW w:w="2960" w:type="pct"/>
                  <w:gridSpan w:val="4"/>
                  <w:tcBorders>
                    <w:tl2br w:val="nil"/>
                    <w:tr2bl w:val="nil"/>
                  </w:tcBorders>
                  <w:shd w:val="clear" w:color="auto" w:fill="auto"/>
                  <w:noWrap w:val="0"/>
                  <w:vAlign w:val="center"/>
                </w:tcPr>
                <w:p w14:paraId="367716B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i w:val="0"/>
                      <w:iCs w:val="0"/>
                      <w:color w:val="000000"/>
                      <w:sz w:val="21"/>
                      <w:szCs w:val="21"/>
                      <w:highlight w:val="none"/>
                      <w:u w:val="none"/>
                    </w:rPr>
                  </w:pPr>
                  <w:r>
                    <w:rPr>
                      <w:rFonts w:hint="default" w:ascii="Times New Roman" w:hAnsi="Times New Roman" w:eastAsia="宋体" w:cs="Times New Roman"/>
                      <w:b/>
                      <w:bCs/>
                      <w:i w:val="0"/>
                      <w:iCs w:val="0"/>
                      <w:color w:val="000000"/>
                      <w:kern w:val="0"/>
                      <w:sz w:val="21"/>
                      <w:szCs w:val="21"/>
                      <w:highlight w:val="none"/>
                      <w:u w:val="none"/>
                      <w:lang w:val="en-US" w:eastAsia="zh-CN" w:bidi="ar"/>
                    </w:rPr>
                    <w:t>原料上料系统</w:t>
                  </w:r>
                </w:p>
              </w:tc>
              <w:tc>
                <w:tcPr>
                  <w:tcW w:w="480" w:type="pct"/>
                  <w:tcBorders>
                    <w:tl2br w:val="nil"/>
                    <w:tr2bl w:val="nil"/>
                  </w:tcBorders>
                  <w:shd w:val="clear" w:color="auto" w:fill="auto"/>
                  <w:noWrap w:val="0"/>
                  <w:vAlign w:val="center"/>
                </w:tcPr>
                <w:p w14:paraId="6E3C9906">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b/>
                      <w:bCs/>
                      <w:i w:val="0"/>
                      <w:iCs w:val="0"/>
                      <w:color w:val="000000"/>
                      <w:sz w:val="21"/>
                      <w:szCs w:val="21"/>
                      <w:highlight w:val="none"/>
                      <w:u w:val="none"/>
                      <w:lang w:val="en-US" w:eastAsia="zh-CN"/>
                    </w:rPr>
                  </w:pPr>
                  <w:r>
                    <w:rPr>
                      <w:rFonts w:hint="eastAsia" w:ascii="Times New Roman" w:hAnsi="Times New Roman" w:eastAsia="宋体" w:cs="Times New Roman"/>
                      <w:b/>
                      <w:bCs/>
                      <w:i w:val="0"/>
                      <w:iCs w:val="0"/>
                      <w:color w:val="000000"/>
                      <w:sz w:val="21"/>
                      <w:szCs w:val="21"/>
                      <w:highlight w:val="none"/>
                      <w:u w:val="none"/>
                      <w:lang w:val="en-US" w:eastAsia="zh-CN"/>
                    </w:rPr>
                    <w:t>/</w:t>
                  </w:r>
                </w:p>
              </w:tc>
              <w:tc>
                <w:tcPr>
                  <w:tcW w:w="529" w:type="pct"/>
                  <w:gridSpan w:val="2"/>
                  <w:tcBorders>
                    <w:tl2br w:val="nil"/>
                    <w:tr2bl w:val="nil"/>
                  </w:tcBorders>
                  <w:shd w:val="clear" w:color="auto" w:fill="auto"/>
                  <w:noWrap w:val="0"/>
                  <w:vAlign w:val="center"/>
                </w:tcPr>
                <w:p w14:paraId="4B15B9E5">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b/>
                      <w:bCs/>
                      <w:i w:val="0"/>
                      <w:iCs w:val="0"/>
                      <w:color w:val="000000"/>
                      <w:sz w:val="21"/>
                      <w:szCs w:val="21"/>
                      <w:highlight w:val="none"/>
                      <w:u w:val="none"/>
                      <w:lang w:val="en-US" w:eastAsia="zh-CN"/>
                    </w:rPr>
                  </w:pPr>
                  <w:r>
                    <w:rPr>
                      <w:rFonts w:hint="eastAsia" w:ascii="Times New Roman" w:hAnsi="Times New Roman" w:eastAsia="宋体" w:cs="Times New Roman"/>
                      <w:b/>
                      <w:bCs/>
                      <w:i w:val="0"/>
                      <w:iCs w:val="0"/>
                      <w:color w:val="000000"/>
                      <w:sz w:val="21"/>
                      <w:szCs w:val="21"/>
                      <w:highlight w:val="none"/>
                      <w:u w:val="none"/>
                      <w:lang w:val="en-US" w:eastAsia="zh-CN"/>
                    </w:rPr>
                    <w:t>/</w:t>
                  </w:r>
                </w:p>
              </w:tc>
              <w:tc>
                <w:tcPr>
                  <w:tcW w:w="691" w:type="pct"/>
                  <w:tcBorders>
                    <w:tl2br w:val="nil"/>
                    <w:tr2bl w:val="nil"/>
                  </w:tcBorders>
                  <w:shd w:val="clear" w:color="auto" w:fill="auto"/>
                  <w:noWrap w:val="0"/>
                  <w:vAlign w:val="center"/>
                </w:tcPr>
                <w:p w14:paraId="57CF0E61">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b/>
                      <w:bCs/>
                      <w:i w:val="0"/>
                      <w:iCs w:val="0"/>
                      <w:color w:val="000000"/>
                      <w:sz w:val="21"/>
                      <w:szCs w:val="21"/>
                      <w:highlight w:val="none"/>
                      <w:u w:val="none"/>
                      <w:lang w:val="en-US" w:eastAsia="zh-CN"/>
                    </w:rPr>
                  </w:pPr>
                  <w:r>
                    <w:rPr>
                      <w:rFonts w:hint="eastAsia" w:ascii="Times New Roman" w:hAnsi="Times New Roman" w:eastAsia="宋体" w:cs="Times New Roman"/>
                      <w:b/>
                      <w:bCs/>
                      <w:i w:val="0"/>
                      <w:iCs w:val="0"/>
                      <w:color w:val="000000"/>
                      <w:sz w:val="21"/>
                      <w:szCs w:val="21"/>
                      <w:highlight w:val="none"/>
                      <w:u w:val="none"/>
                      <w:lang w:val="en-US" w:eastAsia="zh-CN"/>
                    </w:rPr>
                    <w:t>/</w:t>
                  </w:r>
                </w:p>
              </w:tc>
            </w:tr>
            <w:tr w14:paraId="2F3A1E3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24BF276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95" w:type="pct"/>
                  <w:tcBorders>
                    <w:tl2br w:val="nil"/>
                    <w:tr2bl w:val="nil"/>
                  </w:tcBorders>
                  <w:shd w:val="clear" w:color="auto" w:fill="auto"/>
                  <w:noWrap w:val="0"/>
                  <w:vAlign w:val="center"/>
                </w:tcPr>
                <w:p w14:paraId="6B33310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收料斗</w:t>
                  </w:r>
                </w:p>
              </w:tc>
              <w:tc>
                <w:tcPr>
                  <w:tcW w:w="843" w:type="pct"/>
                  <w:tcBorders>
                    <w:tl2br w:val="nil"/>
                    <w:tr2bl w:val="nil"/>
                  </w:tcBorders>
                  <w:shd w:val="clear" w:color="auto" w:fill="auto"/>
                  <w:noWrap w:val="0"/>
                  <w:vAlign w:val="center"/>
                </w:tcPr>
                <w:p w14:paraId="7D0BB85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V5</w:t>
                  </w:r>
                </w:p>
              </w:tc>
              <w:tc>
                <w:tcPr>
                  <w:tcW w:w="1119" w:type="pct"/>
                  <w:tcBorders>
                    <w:tl2br w:val="nil"/>
                    <w:tr2bl w:val="nil"/>
                  </w:tcBorders>
                  <w:shd w:val="clear" w:color="auto" w:fill="auto"/>
                  <w:noWrap w:val="0"/>
                  <w:vAlign w:val="center"/>
                </w:tcPr>
                <w:p w14:paraId="72D8B85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容积：5m³</w:t>
                  </w:r>
                </w:p>
              </w:tc>
              <w:tc>
                <w:tcPr>
                  <w:tcW w:w="482" w:type="pct"/>
                  <w:gridSpan w:val="2"/>
                  <w:tcBorders>
                    <w:tl2br w:val="nil"/>
                    <w:tr2bl w:val="nil"/>
                  </w:tcBorders>
                  <w:shd w:val="clear" w:color="auto" w:fill="auto"/>
                  <w:noWrap w:val="0"/>
                  <w:vAlign w:val="center"/>
                </w:tcPr>
                <w:p w14:paraId="308A669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个</w:t>
                  </w:r>
                </w:p>
              </w:tc>
              <w:tc>
                <w:tcPr>
                  <w:tcW w:w="527" w:type="pct"/>
                  <w:tcBorders>
                    <w:tl2br w:val="nil"/>
                    <w:tr2bl w:val="nil"/>
                  </w:tcBorders>
                  <w:shd w:val="clear" w:color="auto" w:fill="auto"/>
                  <w:noWrap w:val="0"/>
                  <w:vAlign w:val="center"/>
                </w:tcPr>
                <w:p w14:paraId="311D1AB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93" w:type="pct"/>
                  <w:gridSpan w:val="2"/>
                  <w:tcBorders>
                    <w:tl2br w:val="nil"/>
                    <w:tr2bl w:val="nil"/>
                  </w:tcBorders>
                  <w:shd w:val="clear" w:color="auto" w:fill="auto"/>
                  <w:noWrap w:val="0"/>
                  <w:vAlign w:val="center"/>
                </w:tcPr>
                <w:p w14:paraId="610B1CB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p>
              </w:tc>
            </w:tr>
            <w:tr w14:paraId="3586A73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416255B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95" w:type="pct"/>
                  <w:tcBorders>
                    <w:tl2br w:val="nil"/>
                    <w:tr2bl w:val="nil"/>
                  </w:tcBorders>
                  <w:shd w:val="clear" w:color="auto" w:fill="auto"/>
                  <w:noWrap w:val="0"/>
                  <w:vAlign w:val="center"/>
                </w:tcPr>
                <w:p w14:paraId="7A5D159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仓壁振动器</w:t>
                  </w:r>
                </w:p>
              </w:tc>
              <w:tc>
                <w:tcPr>
                  <w:tcW w:w="843" w:type="pct"/>
                  <w:tcBorders>
                    <w:tl2br w:val="nil"/>
                    <w:tr2bl w:val="nil"/>
                  </w:tcBorders>
                  <w:shd w:val="clear" w:color="auto" w:fill="auto"/>
                  <w:noWrap w:val="0"/>
                  <w:vAlign w:val="center"/>
                </w:tcPr>
                <w:p w14:paraId="341CE9F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配套</w:t>
                  </w:r>
                </w:p>
              </w:tc>
              <w:tc>
                <w:tcPr>
                  <w:tcW w:w="1119" w:type="pct"/>
                  <w:tcBorders>
                    <w:tl2br w:val="nil"/>
                    <w:tr2bl w:val="nil"/>
                  </w:tcBorders>
                  <w:shd w:val="clear" w:color="auto" w:fill="auto"/>
                  <w:noWrap w:val="0"/>
                  <w:vAlign w:val="center"/>
                </w:tcPr>
                <w:p w14:paraId="746FFB42">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482" w:type="pct"/>
                  <w:gridSpan w:val="2"/>
                  <w:tcBorders>
                    <w:tl2br w:val="nil"/>
                    <w:tr2bl w:val="nil"/>
                  </w:tcBorders>
                  <w:shd w:val="clear" w:color="auto" w:fill="auto"/>
                  <w:noWrap w:val="0"/>
                  <w:vAlign w:val="center"/>
                </w:tcPr>
                <w:p w14:paraId="439F4AE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个</w:t>
                  </w:r>
                </w:p>
              </w:tc>
              <w:tc>
                <w:tcPr>
                  <w:tcW w:w="527" w:type="pct"/>
                  <w:tcBorders>
                    <w:tl2br w:val="nil"/>
                    <w:tr2bl w:val="nil"/>
                  </w:tcBorders>
                  <w:shd w:val="clear" w:color="auto" w:fill="auto"/>
                  <w:noWrap w:val="0"/>
                  <w:vAlign w:val="center"/>
                </w:tcPr>
                <w:p w14:paraId="45004A7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93" w:type="pct"/>
                  <w:gridSpan w:val="2"/>
                  <w:tcBorders>
                    <w:tl2br w:val="nil"/>
                    <w:tr2bl w:val="nil"/>
                  </w:tcBorders>
                  <w:shd w:val="clear" w:color="auto" w:fill="auto"/>
                  <w:noWrap w:val="0"/>
                  <w:vAlign w:val="center"/>
                </w:tcPr>
                <w:p w14:paraId="0DE06E0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r>
            <w:tr w14:paraId="3BDD7DA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3DEB4C5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95" w:type="pct"/>
                  <w:tcBorders>
                    <w:tl2br w:val="nil"/>
                    <w:tr2bl w:val="nil"/>
                  </w:tcBorders>
                  <w:shd w:val="clear" w:color="auto" w:fill="auto"/>
                  <w:noWrap w:val="0"/>
                  <w:vAlign w:val="center"/>
                </w:tcPr>
                <w:p w14:paraId="4C9E93C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插棒阀</w:t>
                  </w:r>
                </w:p>
              </w:tc>
              <w:tc>
                <w:tcPr>
                  <w:tcW w:w="843" w:type="pct"/>
                  <w:tcBorders>
                    <w:tl2br w:val="nil"/>
                    <w:tr2bl w:val="nil"/>
                  </w:tcBorders>
                  <w:shd w:val="clear" w:color="auto" w:fill="auto"/>
                  <w:noWrap w:val="0"/>
                  <w:vAlign w:val="center"/>
                </w:tcPr>
                <w:p w14:paraId="067AC5A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配套</w:t>
                  </w:r>
                </w:p>
              </w:tc>
              <w:tc>
                <w:tcPr>
                  <w:tcW w:w="1119" w:type="pct"/>
                  <w:tcBorders>
                    <w:tl2br w:val="nil"/>
                    <w:tr2bl w:val="nil"/>
                  </w:tcBorders>
                  <w:shd w:val="clear" w:color="auto" w:fill="auto"/>
                  <w:noWrap w:val="0"/>
                  <w:vAlign w:val="center"/>
                </w:tcPr>
                <w:p w14:paraId="22DB3251">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482" w:type="pct"/>
                  <w:gridSpan w:val="2"/>
                  <w:tcBorders>
                    <w:tl2br w:val="nil"/>
                    <w:tr2bl w:val="nil"/>
                  </w:tcBorders>
                  <w:shd w:val="clear" w:color="auto" w:fill="auto"/>
                  <w:noWrap w:val="0"/>
                  <w:vAlign w:val="center"/>
                </w:tcPr>
                <w:p w14:paraId="2B99C99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个</w:t>
                  </w:r>
                </w:p>
              </w:tc>
              <w:tc>
                <w:tcPr>
                  <w:tcW w:w="527" w:type="pct"/>
                  <w:tcBorders>
                    <w:tl2br w:val="nil"/>
                    <w:tr2bl w:val="nil"/>
                  </w:tcBorders>
                  <w:shd w:val="clear" w:color="auto" w:fill="auto"/>
                  <w:noWrap w:val="0"/>
                  <w:vAlign w:val="center"/>
                </w:tcPr>
                <w:p w14:paraId="4B25664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93" w:type="pct"/>
                  <w:gridSpan w:val="2"/>
                  <w:tcBorders>
                    <w:tl2br w:val="nil"/>
                    <w:tr2bl w:val="nil"/>
                  </w:tcBorders>
                  <w:shd w:val="clear" w:color="auto" w:fill="auto"/>
                  <w:noWrap w:val="0"/>
                  <w:vAlign w:val="center"/>
                </w:tcPr>
                <w:p w14:paraId="410DACAF">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711D52B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2625D75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995" w:type="pct"/>
                  <w:tcBorders>
                    <w:tl2br w:val="nil"/>
                    <w:tr2bl w:val="nil"/>
                  </w:tcBorders>
                  <w:shd w:val="clear" w:color="auto" w:fill="auto"/>
                  <w:noWrap w:val="0"/>
                  <w:vAlign w:val="center"/>
                </w:tcPr>
                <w:p w14:paraId="7D98120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计量皮带机</w:t>
                  </w:r>
                </w:p>
              </w:tc>
              <w:tc>
                <w:tcPr>
                  <w:tcW w:w="843" w:type="pct"/>
                  <w:tcBorders>
                    <w:tl2br w:val="nil"/>
                    <w:tr2bl w:val="nil"/>
                  </w:tcBorders>
                  <w:shd w:val="clear" w:color="auto" w:fill="auto"/>
                  <w:noWrap w:val="0"/>
                  <w:vAlign w:val="center"/>
                </w:tcPr>
                <w:p w14:paraId="6CD10DC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B650-2</w:t>
                  </w:r>
                </w:p>
              </w:tc>
              <w:tc>
                <w:tcPr>
                  <w:tcW w:w="1119" w:type="pct"/>
                  <w:tcBorders>
                    <w:tl2br w:val="nil"/>
                    <w:tr2bl w:val="nil"/>
                  </w:tcBorders>
                  <w:shd w:val="clear" w:color="auto" w:fill="auto"/>
                  <w:noWrap w:val="0"/>
                  <w:vAlign w:val="center"/>
                </w:tcPr>
                <w:p w14:paraId="4645323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输送距离：2m</w:t>
                  </w:r>
                </w:p>
              </w:tc>
              <w:tc>
                <w:tcPr>
                  <w:tcW w:w="482" w:type="pct"/>
                  <w:gridSpan w:val="2"/>
                  <w:tcBorders>
                    <w:tl2br w:val="nil"/>
                    <w:tr2bl w:val="nil"/>
                  </w:tcBorders>
                  <w:shd w:val="clear" w:color="auto" w:fill="auto"/>
                  <w:noWrap w:val="0"/>
                  <w:vAlign w:val="center"/>
                </w:tcPr>
                <w:p w14:paraId="1221988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3E7C4C5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93" w:type="pct"/>
                  <w:gridSpan w:val="2"/>
                  <w:tcBorders>
                    <w:tl2br w:val="nil"/>
                    <w:tr2bl w:val="nil"/>
                  </w:tcBorders>
                  <w:shd w:val="clear" w:color="auto" w:fill="auto"/>
                  <w:noWrap w:val="0"/>
                  <w:vAlign w:val="center"/>
                </w:tcPr>
                <w:p w14:paraId="5754871E">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537F10C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PrEx>
              <w:trPr>
                <w:trHeight w:val="90" w:hRule="atLeast"/>
                <w:jc w:val="center"/>
              </w:trPr>
              <w:tc>
                <w:tcPr>
                  <w:tcW w:w="337" w:type="pct"/>
                  <w:tcBorders>
                    <w:tl2br w:val="nil"/>
                    <w:tr2bl w:val="nil"/>
                  </w:tcBorders>
                  <w:shd w:val="clear" w:color="auto" w:fill="auto"/>
                  <w:noWrap w:val="0"/>
                  <w:vAlign w:val="center"/>
                </w:tcPr>
                <w:p w14:paraId="1834266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95" w:type="pct"/>
                  <w:tcBorders>
                    <w:tl2br w:val="nil"/>
                    <w:tr2bl w:val="nil"/>
                  </w:tcBorders>
                  <w:shd w:val="clear" w:color="auto" w:fill="auto"/>
                  <w:noWrap w:val="0"/>
                  <w:vAlign w:val="center"/>
                </w:tcPr>
                <w:p w14:paraId="59BAC84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皮带机</w:t>
                  </w:r>
                </w:p>
              </w:tc>
              <w:tc>
                <w:tcPr>
                  <w:tcW w:w="843" w:type="pct"/>
                  <w:tcBorders>
                    <w:tl2br w:val="nil"/>
                    <w:tr2bl w:val="nil"/>
                  </w:tcBorders>
                  <w:shd w:val="clear" w:color="auto" w:fill="auto"/>
                  <w:noWrap w:val="0"/>
                  <w:vAlign w:val="center"/>
                </w:tcPr>
                <w:p w14:paraId="6CC183A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B650-9m</w:t>
                  </w:r>
                </w:p>
              </w:tc>
              <w:tc>
                <w:tcPr>
                  <w:tcW w:w="1119" w:type="pct"/>
                  <w:tcBorders>
                    <w:tl2br w:val="nil"/>
                    <w:tr2bl w:val="nil"/>
                  </w:tcBorders>
                  <w:shd w:val="clear" w:color="auto" w:fill="auto"/>
                  <w:noWrap w:val="0"/>
                  <w:vAlign w:val="center"/>
                </w:tcPr>
                <w:p w14:paraId="020D172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输送距离：9m</w:t>
                  </w:r>
                </w:p>
              </w:tc>
              <w:tc>
                <w:tcPr>
                  <w:tcW w:w="482" w:type="pct"/>
                  <w:gridSpan w:val="2"/>
                  <w:tcBorders>
                    <w:tl2br w:val="nil"/>
                    <w:tr2bl w:val="nil"/>
                  </w:tcBorders>
                  <w:shd w:val="clear" w:color="auto" w:fill="auto"/>
                  <w:noWrap w:val="0"/>
                  <w:vAlign w:val="center"/>
                </w:tcPr>
                <w:p w14:paraId="4C7EE0A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1FDE1F7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0"/>
                  <w:vAlign w:val="center"/>
                </w:tcPr>
                <w:p w14:paraId="7923877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r>
            <w:tr w14:paraId="43EA11D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0011CFD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995" w:type="pct"/>
                  <w:tcBorders>
                    <w:tl2br w:val="nil"/>
                    <w:tr2bl w:val="nil"/>
                  </w:tcBorders>
                  <w:shd w:val="clear" w:color="auto" w:fill="auto"/>
                  <w:noWrap w:val="0"/>
                  <w:vAlign w:val="center"/>
                </w:tcPr>
                <w:p w14:paraId="7CC4E25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提升机</w:t>
                  </w:r>
                </w:p>
              </w:tc>
              <w:tc>
                <w:tcPr>
                  <w:tcW w:w="843" w:type="pct"/>
                  <w:tcBorders>
                    <w:tl2br w:val="nil"/>
                    <w:tr2bl w:val="nil"/>
                  </w:tcBorders>
                  <w:shd w:val="clear" w:color="auto" w:fill="auto"/>
                  <w:noWrap w:val="0"/>
                  <w:vAlign w:val="center"/>
                </w:tcPr>
                <w:p w14:paraId="05C911F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NE30-8.2m</w:t>
                  </w:r>
                </w:p>
              </w:tc>
              <w:tc>
                <w:tcPr>
                  <w:tcW w:w="1119" w:type="pct"/>
                  <w:tcBorders>
                    <w:tl2br w:val="nil"/>
                    <w:tr2bl w:val="nil"/>
                  </w:tcBorders>
                  <w:shd w:val="clear" w:color="auto" w:fill="auto"/>
                  <w:noWrap w:val="0"/>
                  <w:vAlign w:val="center"/>
                </w:tcPr>
                <w:p w14:paraId="1CED3A3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进出料口8.2m</w:t>
                  </w:r>
                </w:p>
              </w:tc>
              <w:tc>
                <w:tcPr>
                  <w:tcW w:w="482" w:type="pct"/>
                  <w:gridSpan w:val="2"/>
                  <w:tcBorders>
                    <w:tl2br w:val="nil"/>
                    <w:tr2bl w:val="nil"/>
                  </w:tcBorders>
                  <w:shd w:val="clear" w:color="auto" w:fill="auto"/>
                  <w:noWrap w:val="0"/>
                  <w:vAlign w:val="center"/>
                </w:tcPr>
                <w:p w14:paraId="73A683B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27194EF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0"/>
                  <w:vAlign w:val="center"/>
                </w:tcPr>
                <w:p w14:paraId="0AA413A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r>
            <w:tr w14:paraId="72636B4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5A09D78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二</w:t>
                  </w:r>
                </w:p>
              </w:tc>
              <w:tc>
                <w:tcPr>
                  <w:tcW w:w="2960" w:type="pct"/>
                  <w:gridSpan w:val="4"/>
                  <w:tcBorders>
                    <w:tl2br w:val="nil"/>
                    <w:tr2bl w:val="nil"/>
                  </w:tcBorders>
                  <w:shd w:val="clear" w:color="auto" w:fill="auto"/>
                  <w:noWrap w:val="0"/>
                  <w:vAlign w:val="center"/>
                </w:tcPr>
                <w:p w14:paraId="6482FB5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煤粉粉磨制备、收集系统</w:t>
                  </w:r>
                </w:p>
              </w:tc>
              <w:tc>
                <w:tcPr>
                  <w:tcW w:w="480" w:type="pct"/>
                  <w:tcBorders>
                    <w:tl2br w:val="nil"/>
                    <w:tr2bl w:val="nil"/>
                  </w:tcBorders>
                  <w:shd w:val="clear" w:color="auto" w:fill="auto"/>
                  <w:noWrap w:val="0"/>
                  <w:vAlign w:val="center"/>
                </w:tcPr>
                <w:p w14:paraId="502969E1">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b/>
                      <w:bCs/>
                      <w:i w:val="0"/>
                      <w:iCs w:val="0"/>
                      <w:color w:val="000000"/>
                      <w:sz w:val="21"/>
                      <w:szCs w:val="21"/>
                      <w:u w:val="none"/>
                      <w:lang w:val="en-US" w:eastAsia="zh-CN"/>
                    </w:rPr>
                  </w:pPr>
                  <w:r>
                    <w:rPr>
                      <w:rFonts w:hint="eastAsia" w:ascii="Times New Roman" w:hAnsi="Times New Roman" w:eastAsia="宋体" w:cs="Times New Roman"/>
                      <w:b/>
                      <w:bCs/>
                      <w:i w:val="0"/>
                      <w:iCs w:val="0"/>
                      <w:color w:val="000000"/>
                      <w:sz w:val="21"/>
                      <w:szCs w:val="21"/>
                      <w:u w:val="none"/>
                      <w:lang w:val="en-US" w:eastAsia="zh-CN"/>
                    </w:rPr>
                    <w:t>/</w:t>
                  </w:r>
                </w:p>
              </w:tc>
              <w:tc>
                <w:tcPr>
                  <w:tcW w:w="529" w:type="pct"/>
                  <w:gridSpan w:val="2"/>
                  <w:tcBorders>
                    <w:tl2br w:val="nil"/>
                    <w:tr2bl w:val="nil"/>
                  </w:tcBorders>
                  <w:shd w:val="clear" w:color="auto" w:fill="auto"/>
                  <w:noWrap w:val="0"/>
                  <w:vAlign w:val="center"/>
                </w:tcPr>
                <w:p w14:paraId="16E878E7">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b/>
                      <w:bCs/>
                      <w:i w:val="0"/>
                      <w:iCs w:val="0"/>
                      <w:color w:val="000000"/>
                      <w:sz w:val="21"/>
                      <w:szCs w:val="21"/>
                      <w:u w:val="none"/>
                      <w:lang w:val="en-US" w:eastAsia="zh-CN"/>
                    </w:rPr>
                  </w:pPr>
                  <w:r>
                    <w:rPr>
                      <w:rFonts w:hint="eastAsia" w:ascii="Times New Roman" w:hAnsi="Times New Roman" w:eastAsia="宋体" w:cs="Times New Roman"/>
                      <w:b/>
                      <w:bCs/>
                      <w:i w:val="0"/>
                      <w:iCs w:val="0"/>
                      <w:color w:val="000000"/>
                      <w:sz w:val="21"/>
                      <w:szCs w:val="21"/>
                      <w:u w:val="none"/>
                      <w:lang w:val="en-US" w:eastAsia="zh-CN"/>
                    </w:rPr>
                    <w:t>/</w:t>
                  </w:r>
                </w:p>
              </w:tc>
              <w:tc>
                <w:tcPr>
                  <w:tcW w:w="691" w:type="pct"/>
                  <w:tcBorders>
                    <w:tl2br w:val="nil"/>
                    <w:tr2bl w:val="nil"/>
                  </w:tcBorders>
                  <w:shd w:val="clear" w:color="auto" w:fill="auto"/>
                  <w:noWrap w:val="0"/>
                  <w:vAlign w:val="center"/>
                </w:tcPr>
                <w:p w14:paraId="7838EF7D">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b/>
                      <w:bCs/>
                      <w:i w:val="0"/>
                      <w:iCs w:val="0"/>
                      <w:color w:val="000000"/>
                      <w:sz w:val="21"/>
                      <w:szCs w:val="21"/>
                      <w:u w:val="none"/>
                      <w:lang w:val="en-US" w:eastAsia="zh-CN"/>
                    </w:rPr>
                  </w:pPr>
                  <w:r>
                    <w:rPr>
                      <w:rFonts w:hint="eastAsia" w:ascii="Times New Roman" w:hAnsi="Times New Roman" w:eastAsia="宋体" w:cs="Times New Roman"/>
                      <w:b/>
                      <w:bCs/>
                      <w:i w:val="0"/>
                      <w:iCs w:val="0"/>
                      <w:color w:val="000000"/>
                      <w:sz w:val="21"/>
                      <w:szCs w:val="21"/>
                      <w:u w:val="none"/>
                      <w:lang w:val="en-US" w:eastAsia="zh-CN"/>
                    </w:rPr>
                    <w:t>/</w:t>
                  </w:r>
                </w:p>
              </w:tc>
            </w:tr>
            <w:tr w14:paraId="5FA81C5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192892B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95" w:type="pct"/>
                  <w:tcBorders>
                    <w:tl2br w:val="nil"/>
                    <w:tr2bl w:val="nil"/>
                  </w:tcBorders>
                  <w:shd w:val="clear" w:color="auto" w:fill="auto"/>
                  <w:noWrap w:val="0"/>
                  <w:vAlign w:val="center"/>
                </w:tcPr>
                <w:p w14:paraId="54D4D94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双重翻板阀</w:t>
                  </w:r>
                </w:p>
              </w:tc>
              <w:tc>
                <w:tcPr>
                  <w:tcW w:w="843" w:type="pct"/>
                  <w:tcBorders>
                    <w:tl2br w:val="nil"/>
                    <w:tr2bl w:val="nil"/>
                  </w:tcBorders>
                  <w:shd w:val="clear" w:color="auto" w:fill="auto"/>
                  <w:noWrap w:val="0"/>
                  <w:vAlign w:val="center"/>
                </w:tcPr>
                <w:p w14:paraId="5980FE9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400×400</w:t>
                  </w:r>
                </w:p>
              </w:tc>
              <w:tc>
                <w:tcPr>
                  <w:tcW w:w="1119" w:type="pct"/>
                  <w:tcBorders>
                    <w:tl2br w:val="nil"/>
                    <w:tr2bl w:val="nil"/>
                  </w:tcBorders>
                  <w:shd w:val="clear" w:color="auto" w:fill="auto"/>
                  <w:noWrap w:val="0"/>
                  <w:vAlign w:val="center"/>
                </w:tcPr>
                <w:p w14:paraId="5B5CE669">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482" w:type="pct"/>
                  <w:gridSpan w:val="2"/>
                  <w:tcBorders>
                    <w:tl2br w:val="nil"/>
                    <w:tr2bl w:val="nil"/>
                  </w:tcBorders>
                  <w:shd w:val="clear" w:color="auto" w:fill="auto"/>
                  <w:noWrap w:val="0"/>
                  <w:vAlign w:val="center"/>
                </w:tcPr>
                <w:p w14:paraId="4BB86B6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521D9E4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0"/>
                  <w:vAlign w:val="center"/>
                </w:tcPr>
                <w:p w14:paraId="68582390">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67BF68D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4EFE99E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95" w:type="pct"/>
                  <w:tcBorders>
                    <w:tl2br w:val="nil"/>
                    <w:tr2bl w:val="nil"/>
                  </w:tcBorders>
                  <w:shd w:val="clear" w:color="auto" w:fill="auto"/>
                  <w:noWrap w:val="0"/>
                  <w:vAlign w:val="center"/>
                </w:tcPr>
                <w:p w14:paraId="163F518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中速磨煤机</w:t>
                  </w:r>
                </w:p>
              </w:tc>
              <w:tc>
                <w:tcPr>
                  <w:tcW w:w="843" w:type="pct"/>
                  <w:tcBorders>
                    <w:tl2br w:val="nil"/>
                    <w:tr2bl w:val="nil"/>
                  </w:tcBorders>
                  <w:shd w:val="clear" w:color="auto" w:fill="auto"/>
                  <w:noWrap w:val="0"/>
                  <w:vAlign w:val="center"/>
                </w:tcPr>
                <w:p w14:paraId="57E5245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LM1500M</w:t>
                  </w:r>
                </w:p>
              </w:tc>
              <w:tc>
                <w:tcPr>
                  <w:tcW w:w="1119" w:type="pct"/>
                  <w:tcBorders>
                    <w:tl2br w:val="nil"/>
                    <w:tr2bl w:val="nil"/>
                  </w:tcBorders>
                  <w:shd w:val="clear" w:color="auto" w:fill="auto"/>
                  <w:noWrap w:val="0"/>
                  <w:vAlign w:val="center"/>
                </w:tcPr>
                <w:p w14:paraId="47A0F3F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主电机：280kw/380v/6级</w:t>
                  </w:r>
                </w:p>
              </w:tc>
              <w:tc>
                <w:tcPr>
                  <w:tcW w:w="482" w:type="pct"/>
                  <w:gridSpan w:val="2"/>
                  <w:tcBorders>
                    <w:tl2br w:val="nil"/>
                    <w:tr2bl w:val="nil"/>
                  </w:tcBorders>
                  <w:shd w:val="clear" w:color="auto" w:fill="auto"/>
                  <w:noWrap w:val="0"/>
                  <w:vAlign w:val="center"/>
                </w:tcPr>
                <w:p w14:paraId="35E2064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05EB87B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0"/>
                  <w:vAlign w:val="center"/>
                </w:tcPr>
                <w:p w14:paraId="151D3EE9">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7BCAF10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1664A67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p>
              </w:tc>
              <w:tc>
                <w:tcPr>
                  <w:tcW w:w="995" w:type="pct"/>
                  <w:tcBorders>
                    <w:tl2br w:val="nil"/>
                    <w:tr2bl w:val="nil"/>
                  </w:tcBorders>
                  <w:shd w:val="clear" w:color="auto" w:fill="auto"/>
                  <w:noWrap w:val="0"/>
                  <w:vAlign w:val="center"/>
                </w:tcPr>
                <w:p w14:paraId="4AC0EF3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主电机</w:t>
                  </w:r>
                </w:p>
              </w:tc>
              <w:tc>
                <w:tcPr>
                  <w:tcW w:w="843" w:type="pct"/>
                  <w:tcBorders>
                    <w:tl2br w:val="nil"/>
                    <w:tr2bl w:val="nil"/>
                  </w:tcBorders>
                  <w:shd w:val="clear" w:color="auto" w:fill="auto"/>
                  <w:noWrap w:val="0"/>
                  <w:vAlign w:val="center"/>
                </w:tcPr>
                <w:p w14:paraId="4B624EF4">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119" w:type="pct"/>
                  <w:tcBorders>
                    <w:tl2br w:val="nil"/>
                    <w:tr2bl w:val="nil"/>
                  </w:tcBorders>
                  <w:shd w:val="clear" w:color="auto" w:fill="auto"/>
                  <w:noWrap w:val="0"/>
                  <w:vAlign w:val="center"/>
                </w:tcPr>
                <w:p w14:paraId="6C5D0F9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最大处理量15t/h</w:t>
                  </w:r>
                </w:p>
              </w:tc>
              <w:tc>
                <w:tcPr>
                  <w:tcW w:w="482" w:type="pct"/>
                  <w:gridSpan w:val="2"/>
                  <w:tcBorders>
                    <w:tl2br w:val="nil"/>
                    <w:tr2bl w:val="nil"/>
                  </w:tcBorders>
                  <w:shd w:val="clear" w:color="auto" w:fill="auto"/>
                  <w:noWrap w:val="0"/>
                  <w:vAlign w:val="center"/>
                </w:tcPr>
                <w:p w14:paraId="58D41DF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1DF0A6A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0"/>
                  <w:vAlign w:val="center"/>
                </w:tcPr>
                <w:p w14:paraId="1005EC4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280</w:t>
                  </w:r>
                </w:p>
              </w:tc>
            </w:tr>
            <w:tr w14:paraId="21CA733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50B0990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p>
              </w:tc>
              <w:tc>
                <w:tcPr>
                  <w:tcW w:w="995" w:type="pct"/>
                  <w:tcBorders>
                    <w:tl2br w:val="nil"/>
                    <w:tr2bl w:val="nil"/>
                  </w:tcBorders>
                  <w:shd w:val="clear" w:color="auto" w:fill="auto"/>
                  <w:noWrap w:val="0"/>
                  <w:vAlign w:val="center"/>
                </w:tcPr>
                <w:p w14:paraId="6B51A34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选粉机电机</w:t>
                  </w:r>
                </w:p>
              </w:tc>
              <w:tc>
                <w:tcPr>
                  <w:tcW w:w="843" w:type="pct"/>
                  <w:tcBorders>
                    <w:tl2br w:val="nil"/>
                    <w:tr2bl w:val="nil"/>
                  </w:tcBorders>
                  <w:shd w:val="clear" w:color="auto" w:fill="auto"/>
                  <w:noWrap w:val="0"/>
                  <w:vAlign w:val="center"/>
                </w:tcPr>
                <w:p w14:paraId="100B6C6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1119" w:type="pct"/>
                  <w:tcBorders>
                    <w:tl2br w:val="nil"/>
                    <w:tr2bl w:val="nil"/>
                  </w:tcBorders>
                  <w:shd w:val="clear" w:color="auto" w:fill="auto"/>
                  <w:noWrap w:val="0"/>
                  <w:vAlign w:val="center"/>
                </w:tcPr>
                <w:p w14:paraId="6D74452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482" w:type="pct"/>
                  <w:gridSpan w:val="2"/>
                  <w:tcBorders>
                    <w:tl2br w:val="nil"/>
                    <w:tr2bl w:val="nil"/>
                  </w:tcBorders>
                  <w:shd w:val="clear" w:color="auto" w:fill="auto"/>
                  <w:noWrap w:val="0"/>
                  <w:vAlign w:val="center"/>
                </w:tcPr>
                <w:p w14:paraId="366F4DA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0DA656B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93" w:type="pct"/>
                  <w:gridSpan w:val="2"/>
                  <w:tcBorders>
                    <w:tl2br w:val="nil"/>
                    <w:tr2bl w:val="nil"/>
                  </w:tcBorders>
                  <w:shd w:val="clear" w:color="auto" w:fill="auto"/>
                  <w:noWrap w:val="0"/>
                  <w:vAlign w:val="center"/>
                </w:tcPr>
                <w:p w14:paraId="6C052B9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r>
            <w:tr w14:paraId="0B69F75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2DEC37D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p>
              </w:tc>
              <w:tc>
                <w:tcPr>
                  <w:tcW w:w="995" w:type="pct"/>
                  <w:tcBorders>
                    <w:tl2br w:val="nil"/>
                    <w:tr2bl w:val="nil"/>
                  </w:tcBorders>
                  <w:shd w:val="clear" w:color="auto" w:fill="auto"/>
                  <w:noWrap w:val="0"/>
                  <w:vAlign w:val="center"/>
                </w:tcPr>
                <w:p w14:paraId="2303835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液压站电机</w:t>
                  </w:r>
                </w:p>
              </w:tc>
              <w:tc>
                <w:tcPr>
                  <w:tcW w:w="843" w:type="pct"/>
                  <w:tcBorders>
                    <w:tl2br w:val="nil"/>
                    <w:tr2bl w:val="nil"/>
                  </w:tcBorders>
                  <w:shd w:val="clear" w:color="auto" w:fill="auto"/>
                  <w:noWrap w:val="0"/>
                  <w:vAlign w:val="center"/>
                </w:tcPr>
                <w:p w14:paraId="0E821F0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1119" w:type="pct"/>
                  <w:tcBorders>
                    <w:tl2br w:val="nil"/>
                    <w:tr2bl w:val="nil"/>
                  </w:tcBorders>
                  <w:shd w:val="clear" w:color="auto" w:fill="auto"/>
                  <w:noWrap w:val="0"/>
                  <w:vAlign w:val="center"/>
                </w:tcPr>
                <w:p w14:paraId="3BCCB91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482" w:type="pct"/>
                  <w:gridSpan w:val="2"/>
                  <w:tcBorders>
                    <w:tl2br w:val="nil"/>
                    <w:tr2bl w:val="nil"/>
                  </w:tcBorders>
                  <w:shd w:val="clear" w:color="auto" w:fill="auto"/>
                  <w:noWrap w:val="0"/>
                  <w:vAlign w:val="center"/>
                </w:tcPr>
                <w:p w14:paraId="4FB8155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3B86925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93" w:type="pct"/>
                  <w:gridSpan w:val="2"/>
                  <w:tcBorders>
                    <w:tl2br w:val="nil"/>
                    <w:tr2bl w:val="nil"/>
                  </w:tcBorders>
                  <w:shd w:val="clear" w:color="auto" w:fill="auto"/>
                  <w:noWrap w:val="0"/>
                  <w:vAlign w:val="center"/>
                </w:tcPr>
                <w:p w14:paraId="45BF2FF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w:t>
                  </w:r>
                </w:p>
              </w:tc>
            </w:tr>
            <w:tr w14:paraId="5168E2E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13BF99A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p>
              </w:tc>
              <w:tc>
                <w:tcPr>
                  <w:tcW w:w="995" w:type="pct"/>
                  <w:tcBorders>
                    <w:tl2br w:val="nil"/>
                    <w:tr2bl w:val="nil"/>
                  </w:tcBorders>
                  <w:shd w:val="clear" w:color="auto" w:fill="auto"/>
                  <w:noWrap w:val="0"/>
                  <w:vAlign w:val="center"/>
                </w:tcPr>
                <w:p w14:paraId="6E05E76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润滑站电机</w:t>
                  </w:r>
                </w:p>
              </w:tc>
              <w:tc>
                <w:tcPr>
                  <w:tcW w:w="843" w:type="pct"/>
                  <w:tcBorders>
                    <w:tl2br w:val="nil"/>
                    <w:tr2bl w:val="nil"/>
                  </w:tcBorders>
                  <w:shd w:val="clear" w:color="auto" w:fill="auto"/>
                  <w:noWrap w:val="0"/>
                  <w:vAlign w:val="center"/>
                </w:tcPr>
                <w:p w14:paraId="5C8F323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1119" w:type="pct"/>
                  <w:tcBorders>
                    <w:tl2br w:val="nil"/>
                    <w:tr2bl w:val="nil"/>
                  </w:tcBorders>
                  <w:shd w:val="clear" w:color="auto" w:fill="auto"/>
                  <w:noWrap w:val="0"/>
                  <w:vAlign w:val="center"/>
                </w:tcPr>
                <w:p w14:paraId="6C01A92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482" w:type="pct"/>
                  <w:gridSpan w:val="2"/>
                  <w:tcBorders>
                    <w:tl2br w:val="nil"/>
                    <w:tr2bl w:val="nil"/>
                  </w:tcBorders>
                  <w:shd w:val="clear" w:color="auto" w:fill="auto"/>
                  <w:noWrap w:val="0"/>
                  <w:vAlign w:val="center"/>
                </w:tcPr>
                <w:p w14:paraId="051D2EF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0E6261F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693" w:type="pct"/>
                  <w:gridSpan w:val="2"/>
                  <w:tcBorders>
                    <w:tl2br w:val="nil"/>
                    <w:tr2bl w:val="nil"/>
                  </w:tcBorders>
                  <w:shd w:val="clear" w:color="auto" w:fill="auto"/>
                  <w:noWrap w:val="0"/>
                  <w:vAlign w:val="center"/>
                </w:tcPr>
                <w:p w14:paraId="0AE01B4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r>
            <w:tr w14:paraId="3976EE5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2E09146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95" w:type="pct"/>
                  <w:tcBorders>
                    <w:tl2br w:val="nil"/>
                    <w:tr2bl w:val="nil"/>
                  </w:tcBorders>
                  <w:shd w:val="clear" w:color="auto" w:fill="auto"/>
                  <w:noWrap w:val="0"/>
                  <w:vAlign w:val="center"/>
                </w:tcPr>
                <w:p w14:paraId="5C9A12B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煤磨专用除尘器</w:t>
                  </w:r>
                </w:p>
              </w:tc>
              <w:tc>
                <w:tcPr>
                  <w:tcW w:w="843" w:type="pct"/>
                  <w:tcBorders>
                    <w:tl2br w:val="nil"/>
                    <w:tr2bl w:val="nil"/>
                  </w:tcBorders>
                  <w:shd w:val="clear" w:color="auto" w:fill="auto"/>
                  <w:noWrap w:val="0"/>
                  <w:vAlign w:val="center"/>
                </w:tcPr>
                <w:p w14:paraId="721CC11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LQM96-2*6</w:t>
                  </w:r>
                </w:p>
              </w:tc>
              <w:tc>
                <w:tcPr>
                  <w:tcW w:w="1119" w:type="pct"/>
                  <w:tcBorders>
                    <w:tl2br w:val="nil"/>
                    <w:tr2bl w:val="nil"/>
                  </w:tcBorders>
                  <w:shd w:val="clear" w:color="auto" w:fill="auto"/>
                  <w:noWrap w:val="0"/>
                  <w:vAlign w:val="center"/>
                </w:tcPr>
                <w:p w14:paraId="15A1977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总过滤：1439㎡                           滤袋：130×3060</w:t>
                  </w:r>
                </w:p>
              </w:tc>
              <w:tc>
                <w:tcPr>
                  <w:tcW w:w="482" w:type="pct"/>
                  <w:gridSpan w:val="2"/>
                  <w:tcBorders>
                    <w:tl2br w:val="nil"/>
                    <w:tr2bl w:val="nil"/>
                  </w:tcBorders>
                  <w:shd w:val="clear" w:color="auto" w:fill="auto"/>
                  <w:noWrap w:val="0"/>
                  <w:vAlign w:val="center"/>
                </w:tcPr>
                <w:p w14:paraId="45CFB8A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1477D82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0"/>
                  <w:vAlign w:val="center"/>
                </w:tcPr>
                <w:p w14:paraId="19D3084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r>
            <w:tr w14:paraId="4D79A6F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61826F8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p>
              </w:tc>
              <w:tc>
                <w:tcPr>
                  <w:tcW w:w="995" w:type="pct"/>
                  <w:tcBorders>
                    <w:tl2br w:val="nil"/>
                    <w:tr2bl w:val="nil"/>
                  </w:tcBorders>
                  <w:shd w:val="clear" w:color="auto" w:fill="auto"/>
                  <w:noWrap w:val="0"/>
                  <w:vAlign w:val="center"/>
                </w:tcPr>
                <w:p w14:paraId="6562AFA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843" w:type="pct"/>
                  <w:tcBorders>
                    <w:tl2br w:val="nil"/>
                    <w:tr2bl w:val="nil"/>
                  </w:tcBorders>
                  <w:shd w:val="clear" w:color="auto" w:fill="auto"/>
                  <w:noWrap w:val="0"/>
                  <w:vAlign w:val="center"/>
                </w:tcPr>
                <w:p w14:paraId="3387B78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1119" w:type="pct"/>
                  <w:tcBorders>
                    <w:tl2br w:val="nil"/>
                    <w:tr2bl w:val="nil"/>
                  </w:tcBorders>
                  <w:shd w:val="clear" w:color="auto" w:fill="auto"/>
                  <w:noWrap w:val="0"/>
                  <w:vAlign w:val="center"/>
                </w:tcPr>
                <w:p w14:paraId="1E96632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材质：拒水防油抗静电</w:t>
                  </w:r>
                </w:p>
              </w:tc>
              <w:tc>
                <w:tcPr>
                  <w:tcW w:w="482" w:type="pct"/>
                  <w:gridSpan w:val="2"/>
                  <w:tcBorders>
                    <w:tl2br w:val="nil"/>
                    <w:tr2bl w:val="nil"/>
                  </w:tcBorders>
                  <w:shd w:val="clear" w:color="auto" w:fill="auto"/>
                  <w:noWrap w:val="0"/>
                  <w:vAlign w:val="center"/>
                </w:tcPr>
                <w:p w14:paraId="5053A5A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527" w:type="pct"/>
                  <w:tcBorders>
                    <w:tl2br w:val="nil"/>
                    <w:tr2bl w:val="nil"/>
                  </w:tcBorders>
                  <w:shd w:val="clear" w:color="auto" w:fill="auto"/>
                  <w:noWrap w:val="0"/>
                  <w:vAlign w:val="center"/>
                </w:tcPr>
                <w:p w14:paraId="2D6FB56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693" w:type="pct"/>
                  <w:gridSpan w:val="2"/>
                  <w:tcBorders>
                    <w:tl2br w:val="nil"/>
                    <w:tr2bl w:val="nil"/>
                  </w:tcBorders>
                  <w:shd w:val="clear" w:color="auto" w:fill="auto"/>
                  <w:noWrap w:val="0"/>
                  <w:vAlign w:val="center"/>
                </w:tcPr>
                <w:p w14:paraId="7E297EA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r>
            <w:tr w14:paraId="1C18CAF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6672635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p>
              </w:tc>
              <w:tc>
                <w:tcPr>
                  <w:tcW w:w="995" w:type="pct"/>
                  <w:tcBorders>
                    <w:tl2br w:val="nil"/>
                    <w:tr2bl w:val="nil"/>
                  </w:tcBorders>
                  <w:shd w:val="clear" w:color="auto" w:fill="auto"/>
                  <w:noWrap w:val="0"/>
                  <w:vAlign w:val="center"/>
                </w:tcPr>
                <w:p w14:paraId="6899CFE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843" w:type="pct"/>
                  <w:tcBorders>
                    <w:tl2br w:val="nil"/>
                    <w:tr2bl w:val="nil"/>
                  </w:tcBorders>
                  <w:shd w:val="clear" w:color="auto" w:fill="auto"/>
                  <w:noWrap w:val="0"/>
                  <w:vAlign w:val="center"/>
                </w:tcPr>
                <w:p w14:paraId="64875CE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1119" w:type="pct"/>
                  <w:tcBorders>
                    <w:tl2br w:val="nil"/>
                    <w:tr2bl w:val="nil"/>
                  </w:tcBorders>
                  <w:shd w:val="clear" w:color="auto" w:fill="auto"/>
                  <w:noWrap w:val="0"/>
                  <w:vAlign w:val="center"/>
                </w:tcPr>
                <w:p w14:paraId="56D2775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耐压：12000pa</w:t>
                  </w:r>
                </w:p>
              </w:tc>
              <w:tc>
                <w:tcPr>
                  <w:tcW w:w="482" w:type="pct"/>
                  <w:gridSpan w:val="2"/>
                  <w:tcBorders>
                    <w:tl2br w:val="nil"/>
                    <w:tr2bl w:val="nil"/>
                  </w:tcBorders>
                  <w:shd w:val="clear" w:color="auto" w:fill="auto"/>
                  <w:noWrap w:val="0"/>
                  <w:vAlign w:val="center"/>
                </w:tcPr>
                <w:p w14:paraId="1F0966F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527" w:type="pct"/>
                  <w:tcBorders>
                    <w:tl2br w:val="nil"/>
                    <w:tr2bl w:val="nil"/>
                  </w:tcBorders>
                  <w:shd w:val="clear" w:color="auto" w:fill="auto"/>
                  <w:noWrap w:val="0"/>
                  <w:vAlign w:val="center"/>
                </w:tcPr>
                <w:p w14:paraId="0AB439C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693" w:type="pct"/>
                  <w:gridSpan w:val="2"/>
                  <w:tcBorders>
                    <w:tl2br w:val="nil"/>
                    <w:tr2bl w:val="nil"/>
                  </w:tcBorders>
                  <w:shd w:val="clear" w:color="auto" w:fill="auto"/>
                  <w:noWrap w:val="0"/>
                  <w:vAlign w:val="center"/>
                </w:tcPr>
                <w:p w14:paraId="77668BD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r>
            <w:tr w14:paraId="742249F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285994F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p>
              </w:tc>
              <w:tc>
                <w:tcPr>
                  <w:tcW w:w="995" w:type="pct"/>
                  <w:tcBorders>
                    <w:tl2br w:val="nil"/>
                    <w:tr2bl w:val="nil"/>
                  </w:tcBorders>
                  <w:shd w:val="clear" w:color="auto" w:fill="auto"/>
                  <w:noWrap w:val="0"/>
                  <w:vAlign w:val="center"/>
                </w:tcPr>
                <w:p w14:paraId="4D629C7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843" w:type="pct"/>
                  <w:tcBorders>
                    <w:tl2br w:val="nil"/>
                    <w:tr2bl w:val="nil"/>
                  </w:tcBorders>
                  <w:shd w:val="clear" w:color="auto" w:fill="auto"/>
                  <w:noWrap w:val="0"/>
                  <w:vAlign w:val="center"/>
                </w:tcPr>
                <w:p w14:paraId="0AD423A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1119" w:type="pct"/>
                  <w:tcBorders>
                    <w:tl2br w:val="nil"/>
                    <w:tr2bl w:val="nil"/>
                  </w:tcBorders>
                  <w:shd w:val="clear" w:color="auto" w:fill="auto"/>
                  <w:noWrap w:val="0"/>
                  <w:vAlign w:val="center"/>
                </w:tcPr>
                <w:p w14:paraId="0662677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保温：岩棉+彩钢瓦</w:t>
                  </w:r>
                </w:p>
              </w:tc>
              <w:tc>
                <w:tcPr>
                  <w:tcW w:w="482" w:type="pct"/>
                  <w:gridSpan w:val="2"/>
                  <w:tcBorders>
                    <w:tl2br w:val="nil"/>
                    <w:tr2bl w:val="nil"/>
                  </w:tcBorders>
                  <w:shd w:val="clear" w:color="auto" w:fill="auto"/>
                  <w:noWrap w:val="0"/>
                  <w:vAlign w:val="center"/>
                </w:tcPr>
                <w:p w14:paraId="620D584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527" w:type="pct"/>
                  <w:tcBorders>
                    <w:tl2br w:val="nil"/>
                    <w:tr2bl w:val="nil"/>
                  </w:tcBorders>
                  <w:shd w:val="clear" w:color="auto" w:fill="auto"/>
                  <w:noWrap w:val="0"/>
                  <w:vAlign w:val="center"/>
                </w:tcPr>
                <w:p w14:paraId="14D7B26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693" w:type="pct"/>
                  <w:gridSpan w:val="2"/>
                  <w:tcBorders>
                    <w:tl2br w:val="nil"/>
                    <w:tr2bl w:val="nil"/>
                  </w:tcBorders>
                  <w:shd w:val="clear" w:color="auto" w:fill="auto"/>
                  <w:noWrap w:val="0"/>
                  <w:vAlign w:val="center"/>
                </w:tcPr>
                <w:p w14:paraId="0C15209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r>
            <w:tr w14:paraId="01005D8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7EE6FFB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p>
              </w:tc>
              <w:tc>
                <w:tcPr>
                  <w:tcW w:w="995" w:type="pct"/>
                  <w:tcBorders>
                    <w:tl2br w:val="nil"/>
                    <w:tr2bl w:val="nil"/>
                  </w:tcBorders>
                  <w:shd w:val="clear" w:color="auto" w:fill="auto"/>
                  <w:noWrap w:val="0"/>
                  <w:vAlign w:val="center"/>
                </w:tcPr>
                <w:p w14:paraId="3492D62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843" w:type="pct"/>
                  <w:tcBorders>
                    <w:tl2br w:val="nil"/>
                    <w:tr2bl w:val="nil"/>
                  </w:tcBorders>
                  <w:shd w:val="clear" w:color="auto" w:fill="auto"/>
                  <w:noWrap w:val="0"/>
                  <w:vAlign w:val="center"/>
                </w:tcPr>
                <w:p w14:paraId="13C7120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1119" w:type="pct"/>
                  <w:tcBorders>
                    <w:tl2br w:val="nil"/>
                    <w:tr2bl w:val="nil"/>
                  </w:tcBorders>
                  <w:shd w:val="clear" w:color="auto" w:fill="auto"/>
                  <w:noWrap w:val="0"/>
                  <w:vAlign w:val="center"/>
                </w:tcPr>
                <w:p w14:paraId="3C2B83F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排放标准：10mg/m³</w:t>
                  </w:r>
                </w:p>
              </w:tc>
              <w:tc>
                <w:tcPr>
                  <w:tcW w:w="482" w:type="pct"/>
                  <w:gridSpan w:val="2"/>
                  <w:tcBorders>
                    <w:tl2br w:val="nil"/>
                    <w:tr2bl w:val="nil"/>
                  </w:tcBorders>
                  <w:shd w:val="clear" w:color="auto" w:fill="auto"/>
                  <w:noWrap w:val="0"/>
                  <w:vAlign w:val="center"/>
                </w:tcPr>
                <w:p w14:paraId="6CEFBDC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527" w:type="pct"/>
                  <w:tcBorders>
                    <w:tl2br w:val="nil"/>
                    <w:tr2bl w:val="nil"/>
                  </w:tcBorders>
                  <w:shd w:val="clear" w:color="auto" w:fill="auto"/>
                  <w:noWrap w:val="0"/>
                  <w:vAlign w:val="center"/>
                </w:tcPr>
                <w:p w14:paraId="35911D9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693" w:type="pct"/>
                  <w:gridSpan w:val="2"/>
                  <w:tcBorders>
                    <w:tl2br w:val="nil"/>
                    <w:tr2bl w:val="nil"/>
                  </w:tcBorders>
                  <w:shd w:val="clear" w:color="auto" w:fill="auto"/>
                  <w:noWrap w:val="0"/>
                  <w:vAlign w:val="center"/>
                </w:tcPr>
                <w:p w14:paraId="3A7F1BB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r>
            <w:tr w14:paraId="0C7B786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12D627D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p>
              </w:tc>
              <w:tc>
                <w:tcPr>
                  <w:tcW w:w="995" w:type="pct"/>
                  <w:tcBorders>
                    <w:tl2br w:val="nil"/>
                    <w:tr2bl w:val="nil"/>
                  </w:tcBorders>
                  <w:shd w:val="clear" w:color="auto" w:fill="auto"/>
                  <w:noWrap w:val="0"/>
                  <w:vAlign w:val="center"/>
                </w:tcPr>
                <w:p w14:paraId="3F84401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星形卸料阀</w:t>
                  </w:r>
                </w:p>
              </w:tc>
              <w:tc>
                <w:tcPr>
                  <w:tcW w:w="843" w:type="pct"/>
                  <w:tcBorders>
                    <w:tl2br w:val="nil"/>
                    <w:tr2bl w:val="nil"/>
                  </w:tcBorders>
                  <w:shd w:val="clear" w:color="auto" w:fill="auto"/>
                  <w:noWrap w:val="0"/>
                  <w:vAlign w:val="center"/>
                </w:tcPr>
                <w:p w14:paraId="7479B6C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1119" w:type="pct"/>
                  <w:tcBorders>
                    <w:tl2br w:val="nil"/>
                    <w:tr2bl w:val="nil"/>
                  </w:tcBorders>
                  <w:shd w:val="clear" w:color="auto" w:fill="auto"/>
                  <w:noWrap w:val="0"/>
                  <w:vAlign w:val="center"/>
                </w:tcPr>
                <w:p w14:paraId="6AF2E5E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482" w:type="pct"/>
                  <w:gridSpan w:val="2"/>
                  <w:tcBorders>
                    <w:tl2br w:val="nil"/>
                    <w:tr2bl w:val="nil"/>
                  </w:tcBorders>
                  <w:shd w:val="clear" w:color="auto" w:fill="auto"/>
                  <w:noWrap w:val="0"/>
                  <w:vAlign w:val="center"/>
                </w:tcPr>
                <w:p w14:paraId="68271F8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1ABC70E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693" w:type="pct"/>
                  <w:gridSpan w:val="2"/>
                  <w:tcBorders>
                    <w:tl2br w:val="nil"/>
                    <w:tr2bl w:val="nil"/>
                  </w:tcBorders>
                  <w:shd w:val="clear" w:color="auto" w:fill="auto"/>
                  <w:noWrap w:val="0"/>
                  <w:vAlign w:val="center"/>
                </w:tcPr>
                <w:p w14:paraId="54FD601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r>
            <w:tr w14:paraId="3A15CE0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69DFB49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p>
              </w:tc>
              <w:tc>
                <w:tcPr>
                  <w:tcW w:w="995" w:type="pct"/>
                  <w:tcBorders>
                    <w:tl2br w:val="nil"/>
                    <w:tr2bl w:val="nil"/>
                  </w:tcBorders>
                  <w:shd w:val="clear" w:color="auto" w:fill="auto"/>
                  <w:noWrap w:val="0"/>
                  <w:vAlign w:val="center"/>
                </w:tcPr>
                <w:p w14:paraId="0D1D1F7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螺旋输送机</w:t>
                  </w:r>
                </w:p>
              </w:tc>
              <w:tc>
                <w:tcPr>
                  <w:tcW w:w="843" w:type="pct"/>
                  <w:tcBorders>
                    <w:tl2br w:val="nil"/>
                    <w:tr2bl w:val="nil"/>
                  </w:tcBorders>
                  <w:shd w:val="clear" w:color="auto" w:fill="auto"/>
                  <w:noWrap w:val="0"/>
                  <w:vAlign w:val="center"/>
                </w:tcPr>
                <w:p w14:paraId="6431D41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1119" w:type="pct"/>
                  <w:tcBorders>
                    <w:tl2br w:val="nil"/>
                    <w:tr2bl w:val="nil"/>
                  </w:tcBorders>
                  <w:shd w:val="clear" w:color="auto" w:fill="auto"/>
                  <w:noWrap w:val="0"/>
                  <w:vAlign w:val="center"/>
                </w:tcPr>
                <w:p w14:paraId="2C78B7B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482" w:type="pct"/>
                  <w:gridSpan w:val="2"/>
                  <w:tcBorders>
                    <w:tl2br w:val="nil"/>
                    <w:tr2bl w:val="nil"/>
                  </w:tcBorders>
                  <w:shd w:val="clear" w:color="auto" w:fill="auto"/>
                  <w:noWrap w:val="0"/>
                  <w:vAlign w:val="center"/>
                </w:tcPr>
                <w:p w14:paraId="30196CB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7774D75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93" w:type="pct"/>
                  <w:gridSpan w:val="2"/>
                  <w:tcBorders>
                    <w:tl2br w:val="nil"/>
                    <w:tr2bl w:val="nil"/>
                  </w:tcBorders>
                  <w:shd w:val="clear" w:color="auto" w:fill="auto"/>
                  <w:noWrap w:val="0"/>
                  <w:vAlign w:val="center"/>
                </w:tcPr>
                <w:p w14:paraId="0502BE1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14:paraId="61329FC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PrEx>
              <w:trPr>
                <w:trHeight w:val="90" w:hRule="atLeast"/>
                <w:jc w:val="center"/>
              </w:trPr>
              <w:tc>
                <w:tcPr>
                  <w:tcW w:w="337" w:type="pct"/>
                  <w:tcBorders>
                    <w:tl2br w:val="nil"/>
                    <w:tr2bl w:val="nil"/>
                  </w:tcBorders>
                  <w:shd w:val="clear" w:color="auto" w:fill="auto"/>
                  <w:noWrap w:val="0"/>
                  <w:vAlign w:val="center"/>
                </w:tcPr>
                <w:p w14:paraId="7DEA87A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p>
              </w:tc>
              <w:tc>
                <w:tcPr>
                  <w:tcW w:w="995" w:type="pct"/>
                  <w:tcBorders>
                    <w:tl2br w:val="nil"/>
                    <w:tr2bl w:val="nil"/>
                  </w:tcBorders>
                  <w:shd w:val="clear" w:color="auto" w:fill="auto"/>
                  <w:noWrap w:val="0"/>
                  <w:vAlign w:val="center"/>
                </w:tcPr>
                <w:p w14:paraId="489603D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汇集螺旋输送机</w:t>
                  </w:r>
                </w:p>
              </w:tc>
              <w:tc>
                <w:tcPr>
                  <w:tcW w:w="843" w:type="pct"/>
                  <w:tcBorders>
                    <w:tl2br w:val="nil"/>
                    <w:tr2bl w:val="nil"/>
                  </w:tcBorders>
                  <w:shd w:val="clear" w:color="auto" w:fill="auto"/>
                  <w:noWrap w:val="0"/>
                  <w:vAlign w:val="center"/>
                </w:tcPr>
                <w:p w14:paraId="52C4BB2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配套</w:t>
                  </w:r>
                </w:p>
              </w:tc>
              <w:tc>
                <w:tcPr>
                  <w:tcW w:w="1119" w:type="pct"/>
                  <w:tcBorders>
                    <w:tl2br w:val="nil"/>
                    <w:tr2bl w:val="nil"/>
                  </w:tcBorders>
                  <w:shd w:val="clear" w:color="auto" w:fill="auto"/>
                  <w:noWrap w:val="0"/>
                  <w:vAlign w:val="center"/>
                </w:tcPr>
                <w:p w14:paraId="70ECD40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482" w:type="pct"/>
                  <w:gridSpan w:val="2"/>
                  <w:tcBorders>
                    <w:tl2br w:val="nil"/>
                    <w:tr2bl w:val="nil"/>
                  </w:tcBorders>
                  <w:shd w:val="clear" w:color="auto" w:fill="auto"/>
                  <w:noWrap w:val="0"/>
                  <w:vAlign w:val="center"/>
                </w:tcPr>
                <w:p w14:paraId="0C4171B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2856523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0"/>
                  <w:vAlign w:val="center"/>
                </w:tcPr>
                <w:p w14:paraId="7AAD314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w:t>
                  </w:r>
                </w:p>
              </w:tc>
            </w:tr>
            <w:tr w14:paraId="126A984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1B815C3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995" w:type="pct"/>
                  <w:tcBorders>
                    <w:tl2br w:val="nil"/>
                    <w:tr2bl w:val="nil"/>
                  </w:tcBorders>
                  <w:shd w:val="clear" w:color="auto" w:fill="auto"/>
                  <w:noWrap w:val="0"/>
                  <w:vAlign w:val="center"/>
                </w:tcPr>
                <w:p w14:paraId="3C34340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风机</w:t>
                  </w:r>
                </w:p>
              </w:tc>
              <w:tc>
                <w:tcPr>
                  <w:tcW w:w="843" w:type="pct"/>
                  <w:tcBorders>
                    <w:tl2br w:val="nil"/>
                    <w:tr2bl w:val="nil"/>
                  </w:tcBorders>
                  <w:shd w:val="clear" w:color="auto" w:fill="auto"/>
                  <w:noWrap w:val="0"/>
                  <w:vAlign w:val="center"/>
                </w:tcPr>
                <w:p w14:paraId="614D5D7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配套</w:t>
                  </w:r>
                </w:p>
              </w:tc>
              <w:tc>
                <w:tcPr>
                  <w:tcW w:w="1119" w:type="pct"/>
                  <w:tcBorders>
                    <w:tl2br w:val="nil"/>
                    <w:tr2bl w:val="nil"/>
                  </w:tcBorders>
                  <w:shd w:val="clear" w:color="auto" w:fill="auto"/>
                  <w:noWrap w:val="0"/>
                  <w:vAlign w:val="center"/>
                </w:tcPr>
                <w:p w14:paraId="5E7299F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6万m³/h、9000pa</w:t>
                  </w:r>
                </w:p>
              </w:tc>
              <w:tc>
                <w:tcPr>
                  <w:tcW w:w="482" w:type="pct"/>
                  <w:gridSpan w:val="2"/>
                  <w:tcBorders>
                    <w:tl2br w:val="nil"/>
                    <w:tr2bl w:val="nil"/>
                  </w:tcBorders>
                  <w:shd w:val="clear" w:color="auto" w:fill="auto"/>
                  <w:noWrap w:val="0"/>
                  <w:vAlign w:val="center"/>
                </w:tcPr>
                <w:p w14:paraId="398E550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722DD19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0"/>
                  <w:vAlign w:val="center"/>
                </w:tcPr>
                <w:p w14:paraId="00B993C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250</w:t>
                  </w:r>
                </w:p>
              </w:tc>
            </w:tr>
            <w:tr w14:paraId="54F2F3A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0F6A94B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三</w:t>
                  </w:r>
                </w:p>
              </w:tc>
              <w:tc>
                <w:tcPr>
                  <w:tcW w:w="2960" w:type="pct"/>
                  <w:gridSpan w:val="4"/>
                  <w:tcBorders>
                    <w:tl2br w:val="nil"/>
                    <w:tr2bl w:val="nil"/>
                  </w:tcBorders>
                  <w:shd w:val="clear" w:color="auto" w:fill="auto"/>
                  <w:noWrap w:val="0"/>
                  <w:vAlign w:val="center"/>
                </w:tcPr>
                <w:p w14:paraId="2A50347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阀门软连接</w:t>
                  </w:r>
                </w:p>
              </w:tc>
              <w:tc>
                <w:tcPr>
                  <w:tcW w:w="480" w:type="pct"/>
                  <w:tcBorders>
                    <w:tl2br w:val="nil"/>
                    <w:tr2bl w:val="nil"/>
                  </w:tcBorders>
                  <w:shd w:val="clear" w:color="auto" w:fill="auto"/>
                  <w:noWrap w:val="0"/>
                  <w:vAlign w:val="center"/>
                </w:tcPr>
                <w:p w14:paraId="3046C05E">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b/>
                      <w:bCs/>
                      <w:i w:val="0"/>
                      <w:iCs w:val="0"/>
                      <w:color w:val="000000"/>
                      <w:sz w:val="21"/>
                      <w:szCs w:val="21"/>
                      <w:u w:val="none"/>
                      <w:lang w:val="en-US" w:eastAsia="zh-CN"/>
                    </w:rPr>
                  </w:pPr>
                  <w:r>
                    <w:rPr>
                      <w:rFonts w:hint="eastAsia" w:ascii="Times New Roman" w:hAnsi="Times New Roman" w:eastAsia="宋体" w:cs="Times New Roman"/>
                      <w:b/>
                      <w:bCs/>
                      <w:i w:val="0"/>
                      <w:iCs w:val="0"/>
                      <w:color w:val="000000"/>
                      <w:sz w:val="21"/>
                      <w:szCs w:val="21"/>
                      <w:u w:val="none"/>
                      <w:lang w:val="en-US" w:eastAsia="zh-CN"/>
                    </w:rPr>
                    <w:t>/</w:t>
                  </w:r>
                </w:p>
              </w:tc>
              <w:tc>
                <w:tcPr>
                  <w:tcW w:w="529" w:type="pct"/>
                  <w:gridSpan w:val="2"/>
                  <w:tcBorders>
                    <w:tl2br w:val="nil"/>
                    <w:tr2bl w:val="nil"/>
                  </w:tcBorders>
                  <w:shd w:val="clear" w:color="auto" w:fill="auto"/>
                  <w:noWrap w:val="0"/>
                  <w:vAlign w:val="center"/>
                </w:tcPr>
                <w:p w14:paraId="64A5E3AF">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b/>
                      <w:bCs/>
                      <w:i w:val="0"/>
                      <w:iCs w:val="0"/>
                      <w:color w:val="000000"/>
                      <w:sz w:val="21"/>
                      <w:szCs w:val="21"/>
                      <w:u w:val="none"/>
                      <w:lang w:val="en-US" w:eastAsia="zh-CN"/>
                    </w:rPr>
                  </w:pPr>
                  <w:r>
                    <w:rPr>
                      <w:rFonts w:hint="eastAsia" w:ascii="Times New Roman" w:hAnsi="Times New Roman" w:eastAsia="宋体" w:cs="Times New Roman"/>
                      <w:b/>
                      <w:bCs/>
                      <w:i w:val="0"/>
                      <w:iCs w:val="0"/>
                      <w:color w:val="000000"/>
                      <w:sz w:val="21"/>
                      <w:szCs w:val="21"/>
                      <w:u w:val="none"/>
                      <w:lang w:val="en-US" w:eastAsia="zh-CN"/>
                    </w:rPr>
                    <w:t>/</w:t>
                  </w:r>
                </w:p>
              </w:tc>
              <w:tc>
                <w:tcPr>
                  <w:tcW w:w="691" w:type="pct"/>
                  <w:tcBorders>
                    <w:tl2br w:val="nil"/>
                    <w:tr2bl w:val="nil"/>
                  </w:tcBorders>
                  <w:shd w:val="clear" w:color="auto" w:fill="auto"/>
                  <w:noWrap w:val="0"/>
                  <w:vAlign w:val="center"/>
                </w:tcPr>
                <w:p w14:paraId="27D1B5E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bCs/>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r>
            <w:tr w14:paraId="56E23D3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6E0EF0B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95" w:type="pct"/>
                  <w:tcBorders>
                    <w:tl2br w:val="nil"/>
                    <w:tr2bl w:val="nil"/>
                  </w:tcBorders>
                  <w:shd w:val="clear" w:color="auto" w:fill="auto"/>
                  <w:noWrap w:val="0"/>
                  <w:vAlign w:val="center"/>
                </w:tcPr>
                <w:p w14:paraId="3392013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气动截止阀</w:t>
                  </w:r>
                </w:p>
              </w:tc>
              <w:tc>
                <w:tcPr>
                  <w:tcW w:w="843" w:type="pct"/>
                  <w:tcBorders>
                    <w:tl2br w:val="nil"/>
                    <w:tr2bl w:val="nil"/>
                  </w:tcBorders>
                  <w:shd w:val="clear" w:color="auto" w:fill="auto"/>
                  <w:noWrap w:val="0"/>
                  <w:vAlign w:val="center"/>
                </w:tcPr>
                <w:p w14:paraId="4FA2296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DN1000</w:t>
                  </w:r>
                </w:p>
              </w:tc>
              <w:tc>
                <w:tcPr>
                  <w:tcW w:w="1119" w:type="pct"/>
                  <w:tcBorders>
                    <w:tl2br w:val="nil"/>
                    <w:tr2bl w:val="nil"/>
                  </w:tcBorders>
                  <w:shd w:val="clear" w:color="auto" w:fill="auto"/>
                  <w:noWrap w:val="0"/>
                  <w:vAlign w:val="center"/>
                </w:tcPr>
                <w:p w14:paraId="7EC98CF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耐温：350℃</w:t>
                  </w:r>
                </w:p>
              </w:tc>
              <w:tc>
                <w:tcPr>
                  <w:tcW w:w="776" w:type="dxa"/>
                  <w:gridSpan w:val="2"/>
                  <w:tcBorders>
                    <w:tl2br w:val="nil"/>
                    <w:tr2bl w:val="nil"/>
                  </w:tcBorders>
                  <w:shd w:val="clear" w:color="auto" w:fill="auto"/>
                  <w:noWrap w:val="0"/>
                  <w:vAlign w:val="center"/>
                </w:tcPr>
                <w:p w14:paraId="63FD1D1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0131CE9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0"/>
                  <w:vAlign w:val="center"/>
                </w:tcPr>
                <w:p w14:paraId="58FB90F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r>
            <w:tr w14:paraId="34ED4FF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22D5BAE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95" w:type="pct"/>
                  <w:tcBorders>
                    <w:tl2br w:val="nil"/>
                    <w:tr2bl w:val="nil"/>
                  </w:tcBorders>
                  <w:shd w:val="clear" w:color="auto" w:fill="auto"/>
                  <w:noWrap w:val="0"/>
                  <w:vAlign w:val="center"/>
                </w:tcPr>
                <w:p w14:paraId="13C396B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气动截止阀</w:t>
                  </w:r>
                </w:p>
              </w:tc>
              <w:tc>
                <w:tcPr>
                  <w:tcW w:w="843" w:type="pct"/>
                  <w:tcBorders>
                    <w:tl2br w:val="nil"/>
                    <w:tr2bl w:val="nil"/>
                  </w:tcBorders>
                  <w:shd w:val="clear" w:color="auto" w:fill="auto"/>
                  <w:noWrap w:val="0"/>
                  <w:vAlign w:val="center"/>
                </w:tcPr>
                <w:p w14:paraId="3CCED1C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DN1000</w:t>
                  </w:r>
                </w:p>
              </w:tc>
              <w:tc>
                <w:tcPr>
                  <w:tcW w:w="1119" w:type="pct"/>
                  <w:tcBorders>
                    <w:tl2br w:val="nil"/>
                    <w:tr2bl w:val="nil"/>
                  </w:tcBorders>
                  <w:shd w:val="clear" w:color="auto" w:fill="auto"/>
                  <w:noWrap w:val="0"/>
                  <w:vAlign w:val="center"/>
                </w:tcPr>
                <w:p w14:paraId="1019977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耐温：150℃</w:t>
                  </w:r>
                </w:p>
              </w:tc>
              <w:tc>
                <w:tcPr>
                  <w:tcW w:w="776" w:type="dxa"/>
                  <w:gridSpan w:val="2"/>
                  <w:tcBorders>
                    <w:tl2br w:val="nil"/>
                    <w:tr2bl w:val="nil"/>
                  </w:tcBorders>
                  <w:shd w:val="clear" w:color="auto" w:fill="auto"/>
                  <w:noWrap w:val="0"/>
                  <w:vAlign w:val="center"/>
                </w:tcPr>
                <w:p w14:paraId="7D6DC5F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43A4670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0"/>
                  <w:vAlign w:val="center"/>
                </w:tcPr>
                <w:p w14:paraId="3E76C1C9">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7D66C66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697E1D2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95" w:type="pct"/>
                  <w:tcBorders>
                    <w:tl2br w:val="nil"/>
                    <w:tr2bl w:val="nil"/>
                  </w:tcBorders>
                  <w:shd w:val="clear" w:color="auto" w:fill="auto"/>
                  <w:noWrap w:val="0"/>
                  <w:vAlign w:val="center"/>
                </w:tcPr>
                <w:p w14:paraId="557572F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电动调风阀</w:t>
                  </w:r>
                </w:p>
              </w:tc>
              <w:tc>
                <w:tcPr>
                  <w:tcW w:w="843" w:type="pct"/>
                  <w:tcBorders>
                    <w:tl2br w:val="nil"/>
                    <w:tr2bl w:val="nil"/>
                  </w:tcBorders>
                  <w:shd w:val="clear" w:color="auto" w:fill="auto"/>
                  <w:noWrap w:val="0"/>
                  <w:vAlign w:val="center"/>
                </w:tcPr>
                <w:p w14:paraId="1BDCFAF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DN1000</w:t>
                  </w:r>
                </w:p>
              </w:tc>
              <w:tc>
                <w:tcPr>
                  <w:tcW w:w="1119" w:type="pct"/>
                  <w:tcBorders>
                    <w:tl2br w:val="nil"/>
                    <w:tr2bl w:val="nil"/>
                  </w:tcBorders>
                  <w:shd w:val="clear" w:color="auto" w:fill="auto"/>
                  <w:noWrap w:val="0"/>
                  <w:vAlign w:val="center"/>
                </w:tcPr>
                <w:p w14:paraId="38E738D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耐温：350℃</w:t>
                  </w:r>
                </w:p>
              </w:tc>
              <w:tc>
                <w:tcPr>
                  <w:tcW w:w="776" w:type="dxa"/>
                  <w:gridSpan w:val="2"/>
                  <w:tcBorders>
                    <w:tl2br w:val="nil"/>
                    <w:tr2bl w:val="nil"/>
                  </w:tcBorders>
                  <w:shd w:val="clear" w:color="auto" w:fill="auto"/>
                  <w:noWrap w:val="0"/>
                  <w:vAlign w:val="center"/>
                </w:tcPr>
                <w:p w14:paraId="4949E2D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5B2A731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0"/>
                  <w:vAlign w:val="center"/>
                </w:tcPr>
                <w:p w14:paraId="209AEC31">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5D040D6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44060A3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995" w:type="pct"/>
                  <w:tcBorders>
                    <w:tl2br w:val="nil"/>
                    <w:tr2bl w:val="nil"/>
                  </w:tcBorders>
                  <w:shd w:val="clear" w:color="auto" w:fill="auto"/>
                  <w:noWrap w:val="0"/>
                  <w:vAlign w:val="center"/>
                </w:tcPr>
                <w:p w14:paraId="1F247A2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电动调风阀</w:t>
                  </w:r>
                </w:p>
              </w:tc>
              <w:tc>
                <w:tcPr>
                  <w:tcW w:w="843" w:type="pct"/>
                  <w:tcBorders>
                    <w:tl2br w:val="nil"/>
                    <w:tr2bl w:val="nil"/>
                  </w:tcBorders>
                  <w:shd w:val="clear" w:color="auto" w:fill="auto"/>
                  <w:noWrap w:val="0"/>
                  <w:vAlign w:val="center"/>
                </w:tcPr>
                <w:p w14:paraId="71EC6B0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DN1000</w:t>
                  </w:r>
                </w:p>
              </w:tc>
              <w:tc>
                <w:tcPr>
                  <w:tcW w:w="1119" w:type="pct"/>
                  <w:tcBorders>
                    <w:tl2br w:val="nil"/>
                    <w:tr2bl w:val="nil"/>
                  </w:tcBorders>
                  <w:shd w:val="clear" w:color="auto" w:fill="auto"/>
                  <w:noWrap w:val="0"/>
                  <w:vAlign w:val="center"/>
                </w:tcPr>
                <w:p w14:paraId="3443CA5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耐温：150℃</w:t>
                  </w:r>
                </w:p>
              </w:tc>
              <w:tc>
                <w:tcPr>
                  <w:tcW w:w="776" w:type="dxa"/>
                  <w:gridSpan w:val="2"/>
                  <w:tcBorders>
                    <w:tl2br w:val="nil"/>
                    <w:tr2bl w:val="nil"/>
                  </w:tcBorders>
                  <w:shd w:val="clear" w:color="auto" w:fill="auto"/>
                  <w:noWrap w:val="0"/>
                  <w:vAlign w:val="center"/>
                </w:tcPr>
                <w:p w14:paraId="2C94BF8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52139BE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0"/>
                  <w:vAlign w:val="center"/>
                </w:tcPr>
                <w:p w14:paraId="61445C26">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2C9B42F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0E716EC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95" w:type="pct"/>
                  <w:tcBorders>
                    <w:tl2br w:val="nil"/>
                    <w:tr2bl w:val="nil"/>
                  </w:tcBorders>
                  <w:shd w:val="clear" w:color="auto" w:fill="auto"/>
                  <w:noWrap w:val="0"/>
                  <w:vAlign w:val="center"/>
                </w:tcPr>
                <w:p w14:paraId="591D464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非金属软连接</w:t>
                  </w:r>
                </w:p>
              </w:tc>
              <w:tc>
                <w:tcPr>
                  <w:tcW w:w="843" w:type="pct"/>
                  <w:tcBorders>
                    <w:tl2br w:val="nil"/>
                    <w:tr2bl w:val="nil"/>
                  </w:tcBorders>
                  <w:shd w:val="clear" w:color="auto" w:fill="auto"/>
                  <w:noWrap w:val="0"/>
                  <w:vAlign w:val="center"/>
                </w:tcPr>
                <w:p w14:paraId="2B70B40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850×850</w:t>
                  </w:r>
                </w:p>
              </w:tc>
              <w:tc>
                <w:tcPr>
                  <w:tcW w:w="1119" w:type="pct"/>
                  <w:tcBorders>
                    <w:tl2br w:val="nil"/>
                    <w:tr2bl w:val="nil"/>
                  </w:tcBorders>
                  <w:shd w:val="clear" w:color="auto" w:fill="auto"/>
                  <w:noWrap w:val="0"/>
                  <w:vAlign w:val="center"/>
                </w:tcPr>
                <w:p w14:paraId="7D791C5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耐温：150℃</w:t>
                  </w:r>
                </w:p>
              </w:tc>
              <w:tc>
                <w:tcPr>
                  <w:tcW w:w="776" w:type="dxa"/>
                  <w:gridSpan w:val="2"/>
                  <w:tcBorders>
                    <w:tl2br w:val="nil"/>
                    <w:tr2bl w:val="nil"/>
                  </w:tcBorders>
                  <w:shd w:val="clear" w:color="auto" w:fill="auto"/>
                  <w:noWrap w:val="0"/>
                  <w:vAlign w:val="center"/>
                </w:tcPr>
                <w:p w14:paraId="4049A61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个</w:t>
                  </w:r>
                </w:p>
              </w:tc>
              <w:tc>
                <w:tcPr>
                  <w:tcW w:w="527" w:type="pct"/>
                  <w:tcBorders>
                    <w:tl2br w:val="nil"/>
                    <w:tr2bl w:val="nil"/>
                  </w:tcBorders>
                  <w:shd w:val="clear" w:color="auto" w:fill="auto"/>
                  <w:noWrap w:val="0"/>
                  <w:vAlign w:val="center"/>
                </w:tcPr>
                <w:p w14:paraId="0410EAF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0"/>
                  <w:vAlign w:val="center"/>
                </w:tcPr>
                <w:p w14:paraId="628D19FC">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29357C0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5F420CB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995" w:type="pct"/>
                  <w:tcBorders>
                    <w:tl2br w:val="nil"/>
                    <w:tr2bl w:val="nil"/>
                  </w:tcBorders>
                  <w:shd w:val="clear" w:color="auto" w:fill="auto"/>
                  <w:noWrap w:val="0"/>
                  <w:vAlign w:val="center"/>
                </w:tcPr>
                <w:p w14:paraId="172F85F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非金属软连接</w:t>
                  </w:r>
                </w:p>
              </w:tc>
              <w:tc>
                <w:tcPr>
                  <w:tcW w:w="843" w:type="pct"/>
                  <w:tcBorders>
                    <w:tl2br w:val="nil"/>
                    <w:tr2bl w:val="nil"/>
                  </w:tcBorders>
                  <w:shd w:val="clear" w:color="auto" w:fill="auto"/>
                  <w:noWrap w:val="0"/>
                  <w:vAlign w:val="center"/>
                </w:tcPr>
                <w:p w14:paraId="34D0769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DN1000</w:t>
                  </w:r>
                </w:p>
              </w:tc>
              <w:tc>
                <w:tcPr>
                  <w:tcW w:w="1119" w:type="pct"/>
                  <w:tcBorders>
                    <w:tl2br w:val="nil"/>
                    <w:tr2bl w:val="nil"/>
                  </w:tcBorders>
                  <w:shd w:val="clear" w:color="auto" w:fill="auto"/>
                  <w:noWrap w:val="0"/>
                  <w:vAlign w:val="center"/>
                </w:tcPr>
                <w:p w14:paraId="5E357A0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耐温：150℃</w:t>
                  </w:r>
                </w:p>
              </w:tc>
              <w:tc>
                <w:tcPr>
                  <w:tcW w:w="776" w:type="dxa"/>
                  <w:gridSpan w:val="2"/>
                  <w:tcBorders>
                    <w:tl2br w:val="nil"/>
                    <w:tr2bl w:val="nil"/>
                  </w:tcBorders>
                  <w:shd w:val="clear" w:color="auto" w:fill="auto"/>
                  <w:noWrap w:val="0"/>
                  <w:vAlign w:val="center"/>
                </w:tcPr>
                <w:p w14:paraId="4F691C2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个</w:t>
                  </w:r>
                </w:p>
              </w:tc>
              <w:tc>
                <w:tcPr>
                  <w:tcW w:w="527" w:type="pct"/>
                  <w:tcBorders>
                    <w:tl2br w:val="nil"/>
                    <w:tr2bl w:val="nil"/>
                  </w:tcBorders>
                  <w:shd w:val="clear" w:color="auto" w:fill="auto"/>
                  <w:noWrap w:val="0"/>
                  <w:vAlign w:val="center"/>
                </w:tcPr>
                <w:p w14:paraId="6ECADB6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0"/>
                  <w:vAlign w:val="center"/>
                </w:tcPr>
                <w:p w14:paraId="178E7F0E">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13E148E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43DF112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995" w:type="pct"/>
                  <w:tcBorders>
                    <w:tl2br w:val="nil"/>
                    <w:tr2bl w:val="nil"/>
                  </w:tcBorders>
                  <w:shd w:val="clear" w:color="auto" w:fill="auto"/>
                  <w:noWrap w:val="0"/>
                  <w:vAlign w:val="center"/>
                </w:tcPr>
                <w:p w14:paraId="4C019DB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非金属软连接</w:t>
                  </w:r>
                </w:p>
              </w:tc>
              <w:tc>
                <w:tcPr>
                  <w:tcW w:w="843" w:type="pct"/>
                  <w:tcBorders>
                    <w:tl2br w:val="nil"/>
                    <w:tr2bl w:val="nil"/>
                  </w:tcBorders>
                  <w:shd w:val="clear" w:color="auto" w:fill="auto"/>
                  <w:noWrap w:val="0"/>
                  <w:vAlign w:val="center"/>
                </w:tcPr>
                <w:p w14:paraId="5E271F1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382×382</w:t>
                  </w:r>
                </w:p>
              </w:tc>
              <w:tc>
                <w:tcPr>
                  <w:tcW w:w="1119" w:type="pct"/>
                  <w:tcBorders>
                    <w:tl2br w:val="nil"/>
                    <w:tr2bl w:val="nil"/>
                  </w:tcBorders>
                  <w:shd w:val="clear" w:color="auto" w:fill="auto"/>
                  <w:noWrap w:val="0"/>
                  <w:vAlign w:val="center"/>
                </w:tcPr>
                <w:p w14:paraId="3A5351E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耐温：150℃</w:t>
                  </w:r>
                </w:p>
              </w:tc>
              <w:tc>
                <w:tcPr>
                  <w:tcW w:w="776" w:type="dxa"/>
                  <w:gridSpan w:val="2"/>
                  <w:tcBorders>
                    <w:tl2br w:val="nil"/>
                    <w:tr2bl w:val="nil"/>
                  </w:tcBorders>
                  <w:shd w:val="clear" w:color="auto" w:fill="auto"/>
                  <w:noWrap w:val="0"/>
                  <w:vAlign w:val="center"/>
                </w:tcPr>
                <w:p w14:paraId="1C38904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个</w:t>
                  </w:r>
                </w:p>
              </w:tc>
              <w:tc>
                <w:tcPr>
                  <w:tcW w:w="527" w:type="pct"/>
                  <w:tcBorders>
                    <w:tl2br w:val="nil"/>
                    <w:tr2bl w:val="nil"/>
                  </w:tcBorders>
                  <w:shd w:val="clear" w:color="auto" w:fill="auto"/>
                  <w:noWrap w:val="0"/>
                  <w:vAlign w:val="center"/>
                </w:tcPr>
                <w:p w14:paraId="5907DCC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0"/>
                  <w:vAlign w:val="center"/>
                </w:tcPr>
                <w:p w14:paraId="3ED5C0EC">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39F5E40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7E4CF05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995" w:type="pct"/>
                  <w:tcBorders>
                    <w:tl2br w:val="nil"/>
                    <w:tr2bl w:val="nil"/>
                  </w:tcBorders>
                  <w:shd w:val="clear" w:color="auto" w:fill="auto"/>
                  <w:noWrap w:val="0"/>
                  <w:vAlign w:val="center"/>
                </w:tcPr>
                <w:p w14:paraId="12384EE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金属软连接</w:t>
                  </w:r>
                </w:p>
              </w:tc>
              <w:tc>
                <w:tcPr>
                  <w:tcW w:w="843" w:type="pct"/>
                  <w:tcBorders>
                    <w:tl2br w:val="nil"/>
                    <w:tr2bl w:val="nil"/>
                  </w:tcBorders>
                  <w:shd w:val="clear" w:color="auto" w:fill="auto"/>
                  <w:noWrap w:val="0"/>
                  <w:vAlign w:val="center"/>
                </w:tcPr>
                <w:p w14:paraId="65193E6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480×1500</w:t>
                  </w:r>
                </w:p>
              </w:tc>
              <w:tc>
                <w:tcPr>
                  <w:tcW w:w="1119" w:type="pct"/>
                  <w:tcBorders>
                    <w:tl2br w:val="nil"/>
                    <w:tr2bl w:val="nil"/>
                  </w:tcBorders>
                  <w:shd w:val="clear" w:color="auto" w:fill="auto"/>
                  <w:noWrap w:val="0"/>
                  <w:vAlign w:val="center"/>
                </w:tcPr>
                <w:p w14:paraId="0BF9AB8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耐温：350℃</w:t>
                  </w:r>
                </w:p>
              </w:tc>
              <w:tc>
                <w:tcPr>
                  <w:tcW w:w="776" w:type="dxa"/>
                  <w:gridSpan w:val="2"/>
                  <w:tcBorders>
                    <w:tl2br w:val="nil"/>
                    <w:tr2bl w:val="nil"/>
                  </w:tcBorders>
                  <w:shd w:val="clear" w:color="auto" w:fill="auto"/>
                  <w:noWrap w:val="0"/>
                  <w:vAlign w:val="center"/>
                </w:tcPr>
                <w:p w14:paraId="60C2FB7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个</w:t>
                  </w:r>
                </w:p>
              </w:tc>
              <w:tc>
                <w:tcPr>
                  <w:tcW w:w="527" w:type="pct"/>
                  <w:tcBorders>
                    <w:tl2br w:val="nil"/>
                    <w:tr2bl w:val="nil"/>
                  </w:tcBorders>
                  <w:shd w:val="clear" w:color="auto" w:fill="auto"/>
                  <w:noWrap w:val="0"/>
                  <w:vAlign w:val="center"/>
                </w:tcPr>
                <w:p w14:paraId="787DA2F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0"/>
                  <w:vAlign w:val="center"/>
                </w:tcPr>
                <w:p w14:paraId="434707B3">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4F6B3BF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33BE4B7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995" w:type="pct"/>
                  <w:tcBorders>
                    <w:tl2br w:val="nil"/>
                    <w:tr2bl w:val="nil"/>
                  </w:tcBorders>
                  <w:shd w:val="clear" w:color="auto" w:fill="auto"/>
                  <w:noWrap w:val="0"/>
                  <w:vAlign w:val="center"/>
                </w:tcPr>
                <w:p w14:paraId="3060967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泄爆阀</w:t>
                  </w:r>
                </w:p>
              </w:tc>
              <w:tc>
                <w:tcPr>
                  <w:tcW w:w="843" w:type="pct"/>
                  <w:tcBorders>
                    <w:tl2br w:val="nil"/>
                    <w:tr2bl w:val="nil"/>
                  </w:tcBorders>
                  <w:shd w:val="clear" w:color="auto" w:fill="auto"/>
                  <w:noWrap w:val="0"/>
                  <w:vAlign w:val="center"/>
                </w:tcPr>
                <w:p w14:paraId="2B5CECE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DN800</w:t>
                  </w:r>
                </w:p>
              </w:tc>
              <w:tc>
                <w:tcPr>
                  <w:tcW w:w="1119" w:type="pct"/>
                  <w:tcBorders>
                    <w:tl2br w:val="nil"/>
                    <w:tr2bl w:val="nil"/>
                  </w:tcBorders>
                  <w:shd w:val="clear" w:color="auto" w:fill="auto"/>
                  <w:noWrap w:val="0"/>
                  <w:vAlign w:val="center"/>
                </w:tcPr>
                <w:p w14:paraId="471E579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可复位</w:t>
                  </w:r>
                </w:p>
              </w:tc>
              <w:tc>
                <w:tcPr>
                  <w:tcW w:w="776" w:type="dxa"/>
                  <w:gridSpan w:val="2"/>
                  <w:tcBorders>
                    <w:tl2br w:val="nil"/>
                    <w:tr2bl w:val="nil"/>
                  </w:tcBorders>
                  <w:shd w:val="clear" w:color="auto" w:fill="auto"/>
                  <w:noWrap w:val="0"/>
                  <w:vAlign w:val="center"/>
                </w:tcPr>
                <w:p w14:paraId="3BBAF7D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个</w:t>
                  </w:r>
                </w:p>
              </w:tc>
              <w:tc>
                <w:tcPr>
                  <w:tcW w:w="527" w:type="pct"/>
                  <w:tcBorders>
                    <w:tl2br w:val="nil"/>
                    <w:tr2bl w:val="nil"/>
                  </w:tcBorders>
                  <w:shd w:val="clear" w:color="auto" w:fill="auto"/>
                  <w:noWrap w:val="0"/>
                  <w:vAlign w:val="center"/>
                </w:tcPr>
                <w:p w14:paraId="71F5C59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0"/>
                  <w:vAlign w:val="center"/>
                </w:tcPr>
                <w:p w14:paraId="08B6169F">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302CB5D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4EFF55E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95" w:type="pct"/>
                  <w:tcBorders>
                    <w:tl2br w:val="nil"/>
                    <w:tr2bl w:val="nil"/>
                  </w:tcBorders>
                  <w:shd w:val="clear" w:color="auto" w:fill="auto"/>
                  <w:noWrap w:val="0"/>
                  <w:vAlign w:val="center"/>
                </w:tcPr>
                <w:p w14:paraId="266A8AF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泄爆阀</w:t>
                  </w:r>
                </w:p>
              </w:tc>
              <w:tc>
                <w:tcPr>
                  <w:tcW w:w="843" w:type="pct"/>
                  <w:tcBorders>
                    <w:tl2br w:val="nil"/>
                    <w:tr2bl w:val="nil"/>
                  </w:tcBorders>
                  <w:shd w:val="clear" w:color="auto" w:fill="auto"/>
                  <w:noWrap w:val="0"/>
                  <w:vAlign w:val="center"/>
                </w:tcPr>
                <w:p w14:paraId="0628887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DN1000</w:t>
                  </w:r>
                </w:p>
              </w:tc>
              <w:tc>
                <w:tcPr>
                  <w:tcW w:w="1119" w:type="pct"/>
                  <w:tcBorders>
                    <w:tl2br w:val="nil"/>
                    <w:tr2bl w:val="nil"/>
                  </w:tcBorders>
                  <w:shd w:val="clear" w:color="auto" w:fill="auto"/>
                  <w:noWrap w:val="0"/>
                  <w:vAlign w:val="center"/>
                </w:tcPr>
                <w:p w14:paraId="6CB4593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可复位</w:t>
                  </w:r>
                </w:p>
              </w:tc>
              <w:tc>
                <w:tcPr>
                  <w:tcW w:w="776" w:type="dxa"/>
                  <w:gridSpan w:val="2"/>
                  <w:tcBorders>
                    <w:tl2br w:val="nil"/>
                    <w:tr2bl w:val="nil"/>
                  </w:tcBorders>
                  <w:shd w:val="clear" w:color="auto" w:fill="auto"/>
                  <w:noWrap w:val="0"/>
                  <w:vAlign w:val="center"/>
                </w:tcPr>
                <w:p w14:paraId="5C94289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个</w:t>
                  </w:r>
                </w:p>
              </w:tc>
              <w:tc>
                <w:tcPr>
                  <w:tcW w:w="527" w:type="pct"/>
                  <w:tcBorders>
                    <w:tl2br w:val="nil"/>
                    <w:tr2bl w:val="nil"/>
                  </w:tcBorders>
                  <w:shd w:val="clear" w:color="auto" w:fill="auto"/>
                  <w:noWrap w:val="0"/>
                  <w:vAlign w:val="center"/>
                </w:tcPr>
                <w:p w14:paraId="50C16AE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93" w:type="pct"/>
                  <w:gridSpan w:val="2"/>
                  <w:tcBorders>
                    <w:tl2br w:val="nil"/>
                    <w:tr2bl w:val="nil"/>
                  </w:tcBorders>
                  <w:shd w:val="clear" w:color="auto" w:fill="auto"/>
                  <w:noWrap w:val="0"/>
                  <w:vAlign w:val="center"/>
                </w:tcPr>
                <w:p w14:paraId="2B0A641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525B900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49D9526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995" w:type="pct"/>
                  <w:tcBorders>
                    <w:tl2br w:val="nil"/>
                    <w:tr2bl w:val="nil"/>
                  </w:tcBorders>
                  <w:shd w:val="clear" w:color="auto" w:fill="auto"/>
                  <w:noWrap w:val="0"/>
                  <w:vAlign w:val="center"/>
                </w:tcPr>
                <w:p w14:paraId="50BE12F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泄爆阀</w:t>
                  </w:r>
                </w:p>
              </w:tc>
              <w:tc>
                <w:tcPr>
                  <w:tcW w:w="843" w:type="pct"/>
                  <w:tcBorders>
                    <w:tl2br w:val="nil"/>
                    <w:tr2bl w:val="nil"/>
                  </w:tcBorders>
                  <w:shd w:val="clear" w:color="auto" w:fill="auto"/>
                  <w:noWrap w:val="0"/>
                  <w:vAlign w:val="center"/>
                </w:tcPr>
                <w:p w14:paraId="62D7D07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DN400</w:t>
                  </w:r>
                </w:p>
              </w:tc>
              <w:tc>
                <w:tcPr>
                  <w:tcW w:w="1119" w:type="pct"/>
                  <w:tcBorders>
                    <w:tl2br w:val="nil"/>
                    <w:tr2bl w:val="nil"/>
                  </w:tcBorders>
                  <w:shd w:val="clear" w:color="auto" w:fill="auto"/>
                  <w:noWrap w:val="0"/>
                  <w:vAlign w:val="center"/>
                </w:tcPr>
                <w:p w14:paraId="2F4E22E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可复位</w:t>
                  </w:r>
                </w:p>
              </w:tc>
              <w:tc>
                <w:tcPr>
                  <w:tcW w:w="776" w:type="dxa"/>
                  <w:gridSpan w:val="2"/>
                  <w:tcBorders>
                    <w:tl2br w:val="nil"/>
                    <w:tr2bl w:val="nil"/>
                  </w:tcBorders>
                  <w:shd w:val="clear" w:color="auto" w:fill="auto"/>
                  <w:noWrap w:val="0"/>
                  <w:vAlign w:val="center"/>
                </w:tcPr>
                <w:p w14:paraId="69577D7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个</w:t>
                  </w:r>
                </w:p>
              </w:tc>
              <w:tc>
                <w:tcPr>
                  <w:tcW w:w="527" w:type="pct"/>
                  <w:tcBorders>
                    <w:tl2br w:val="nil"/>
                    <w:tr2bl w:val="nil"/>
                  </w:tcBorders>
                  <w:shd w:val="clear" w:color="auto" w:fill="auto"/>
                  <w:noWrap w:val="0"/>
                  <w:vAlign w:val="center"/>
                </w:tcPr>
                <w:p w14:paraId="7945B77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0"/>
                  <w:vAlign w:val="center"/>
                </w:tcPr>
                <w:p w14:paraId="2B973F81">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763DD78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3F6048E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四</w:t>
                  </w:r>
                </w:p>
              </w:tc>
              <w:tc>
                <w:tcPr>
                  <w:tcW w:w="2960" w:type="pct"/>
                  <w:gridSpan w:val="4"/>
                  <w:tcBorders>
                    <w:tl2br w:val="nil"/>
                    <w:tr2bl w:val="nil"/>
                  </w:tcBorders>
                  <w:shd w:val="clear" w:color="auto" w:fill="auto"/>
                  <w:noWrap w:val="0"/>
                  <w:vAlign w:val="center"/>
                </w:tcPr>
                <w:p w14:paraId="1C76712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烘干热源系统</w:t>
                  </w:r>
                </w:p>
              </w:tc>
              <w:tc>
                <w:tcPr>
                  <w:tcW w:w="480" w:type="pct"/>
                  <w:tcBorders>
                    <w:tl2br w:val="nil"/>
                    <w:tr2bl w:val="nil"/>
                  </w:tcBorders>
                  <w:shd w:val="clear" w:color="auto" w:fill="auto"/>
                  <w:noWrap w:val="0"/>
                  <w:vAlign w:val="center"/>
                </w:tcPr>
                <w:p w14:paraId="6D3E4BC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bCs/>
                      <w:i w:val="0"/>
                      <w:iCs w:val="0"/>
                      <w:color w:val="000000"/>
                      <w:sz w:val="21"/>
                      <w:szCs w:val="21"/>
                      <w:u w:val="none"/>
                    </w:rPr>
                  </w:pPr>
                </w:p>
              </w:tc>
              <w:tc>
                <w:tcPr>
                  <w:tcW w:w="529" w:type="pct"/>
                  <w:gridSpan w:val="2"/>
                  <w:tcBorders>
                    <w:tl2br w:val="nil"/>
                    <w:tr2bl w:val="nil"/>
                  </w:tcBorders>
                  <w:shd w:val="clear" w:color="auto" w:fill="auto"/>
                  <w:noWrap w:val="0"/>
                  <w:vAlign w:val="center"/>
                </w:tcPr>
                <w:p w14:paraId="395DC7F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bCs/>
                      <w:i w:val="0"/>
                      <w:iCs w:val="0"/>
                      <w:color w:val="000000"/>
                      <w:sz w:val="21"/>
                      <w:szCs w:val="21"/>
                      <w:u w:val="none"/>
                    </w:rPr>
                  </w:pPr>
                </w:p>
              </w:tc>
              <w:tc>
                <w:tcPr>
                  <w:tcW w:w="691" w:type="pct"/>
                  <w:tcBorders>
                    <w:tl2br w:val="nil"/>
                    <w:tr2bl w:val="nil"/>
                  </w:tcBorders>
                  <w:shd w:val="clear" w:color="auto" w:fill="auto"/>
                  <w:noWrap w:val="0"/>
                  <w:vAlign w:val="center"/>
                </w:tcPr>
                <w:p w14:paraId="6D5D118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bCs/>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r>
            <w:tr w14:paraId="59DD4AD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6301AE5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95" w:type="pct"/>
                  <w:tcBorders>
                    <w:tl2br w:val="nil"/>
                    <w:tr2bl w:val="nil"/>
                  </w:tcBorders>
                  <w:shd w:val="clear" w:color="auto" w:fill="auto"/>
                  <w:noWrap w:val="0"/>
                  <w:vAlign w:val="center"/>
                </w:tcPr>
                <w:p w14:paraId="6513FFC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煤粉炉</w:t>
                  </w:r>
                </w:p>
              </w:tc>
              <w:tc>
                <w:tcPr>
                  <w:tcW w:w="843" w:type="pct"/>
                  <w:tcBorders>
                    <w:tl2br w:val="nil"/>
                    <w:tr2bl w:val="nil"/>
                  </w:tcBorders>
                  <w:shd w:val="clear" w:color="auto" w:fill="auto"/>
                  <w:noWrap w:val="0"/>
                  <w:vAlign w:val="center"/>
                </w:tcPr>
                <w:p w14:paraId="669F22C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200万大卡</w:t>
                  </w:r>
                </w:p>
              </w:tc>
              <w:tc>
                <w:tcPr>
                  <w:tcW w:w="1119" w:type="pct"/>
                  <w:tcBorders>
                    <w:tl2br w:val="nil"/>
                    <w:tr2bl w:val="nil"/>
                  </w:tcBorders>
                  <w:shd w:val="clear" w:color="auto" w:fill="auto"/>
                  <w:noWrap w:val="0"/>
                  <w:vAlign w:val="center"/>
                </w:tcPr>
                <w:p w14:paraId="5D9F67A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燃烧天然气</w:t>
                  </w:r>
                </w:p>
              </w:tc>
              <w:tc>
                <w:tcPr>
                  <w:tcW w:w="482" w:type="pct"/>
                  <w:gridSpan w:val="2"/>
                  <w:tcBorders>
                    <w:tl2br w:val="nil"/>
                    <w:tr2bl w:val="nil"/>
                  </w:tcBorders>
                  <w:shd w:val="clear" w:color="auto" w:fill="auto"/>
                  <w:noWrap w:val="0"/>
                  <w:vAlign w:val="center"/>
                </w:tcPr>
                <w:p w14:paraId="6D78CBB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527" w:type="pct"/>
                  <w:tcBorders>
                    <w:tl2br w:val="nil"/>
                    <w:tr2bl w:val="nil"/>
                  </w:tcBorders>
                  <w:shd w:val="clear" w:color="auto" w:fill="auto"/>
                  <w:noWrap w:val="0"/>
                  <w:vAlign w:val="center"/>
                </w:tcPr>
                <w:p w14:paraId="00132F2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0"/>
                  <w:vAlign w:val="center"/>
                </w:tcPr>
                <w:p w14:paraId="5AE6CB9A">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1B30731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043CB23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p>
              </w:tc>
              <w:tc>
                <w:tcPr>
                  <w:tcW w:w="995" w:type="pct"/>
                  <w:tcBorders>
                    <w:tl2br w:val="nil"/>
                    <w:tr2bl w:val="nil"/>
                  </w:tcBorders>
                  <w:shd w:val="clear" w:color="auto" w:fill="auto"/>
                  <w:noWrap w:val="0"/>
                  <w:vAlign w:val="center"/>
                </w:tcPr>
                <w:p w14:paraId="53F85577">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843" w:type="pct"/>
                  <w:tcBorders>
                    <w:tl2br w:val="nil"/>
                    <w:tr2bl w:val="nil"/>
                  </w:tcBorders>
                  <w:shd w:val="clear" w:color="auto" w:fill="auto"/>
                  <w:noWrap w:val="0"/>
                  <w:vAlign w:val="center"/>
                </w:tcPr>
                <w:p w14:paraId="51FA9906">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119" w:type="pct"/>
                  <w:tcBorders>
                    <w:tl2br w:val="nil"/>
                    <w:tr2bl w:val="nil"/>
                  </w:tcBorders>
                  <w:shd w:val="clear" w:color="auto" w:fill="auto"/>
                  <w:noWrap w:val="0"/>
                  <w:vAlign w:val="center"/>
                </w:tcPr>
                <w:p w14:paraId="3E70C21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天然气点火</w:t>
                  </w:r>
                </w:p>
              </w:tc>
              <w:tc>
                <w:tcPr>
                  <w:tcW w:w="482" w:type="pct"/>
                  <w:gridSpan w:val="2"/>
                  <w:tcBorders>
                    <w:tl2br w:val="nil"/>
                    <w:tr2bl w:val="nil"/>
                  </w:tcBorders>
                  <w:shd w:val="clear" w:color="auto" w:fill="auto"/>
                  <w:noWrap w:val="0"/>
                  <w:vAlign w:val="center"/>
                </w:tcPr>
                <w:p w14:paraId="5F8DFC1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527" w:type="pct"/>
                  <w:tcBorders>
                    <w:tl2br w:val="nil"/>
                    <w:tr2bl w:val="nil"/>
                  </w:tcBorders>
                  <w:shd w:val="clear" w:color="auto" w:fill="auto"/>
                  <w:noWrap w:val="0"/>
                  <w:vAlign w:val="center"/>
                </w:tcPr>
                <w:p w14:paraId="4DCEF3B9">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693" w:type="pct"/>
                  <w:gridSpan w:val="2"/>
                  <w:tcBorders>
                    <w:tl2br w:val="nil"/>
                    <w:tr2bl w:val="nil"/>
                  </w:tcBorders>
                  <w:shd w:val="clear" w:color="auto" w:fill="auto"/>
                  <w:noWrap w:val="0"/>
                  <w:vAlign w:val="center"/>
                </w:tcPr>
                <w:p w14:paraId="6BECCAAE">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22017F0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1505C79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p>
              </w:tc>
              <w:tc>
                <w:tcPr>
                  <w:tcW w:w="995" w:type="pct"/>
                  <w:tcBorders>
                    <w:tl2br w:val="nil"/>
                    <w:tr2bl w:val="nil"/>
                  </w:tcBorders>
                  <w:shd w:val="clear" w:color="auto" w:fill="auto"/>
                  <w:noWrap w:val="0"/>
                  <w:vAlign w:val="center"/>
                </w:tcPr>
                <w:p w14:paraId="40763B6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粉体输送系统</w:t>
                  </w:r>
                </w:p>
              </w:tc>
              <w:tc>
                <w:tcPr>
                  <w:tcW w:w="843" w:type="pct"/>
                  <w:tcBorders>
                    <w:tl2br w:val="nil"/>
                    <w:tr2bl w:val="nil"/>
                  </w:tcBorders>
                  <w:shd w:val="clear" w:color="auto" w:fill="auto"/>
                  <w:noWrap w:val="0"/>
                  <w:vAlign w:val="center"/>
                </w:tcPr>
                <w:p w14:paraId="29D741B0">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119" w:type="pct"/>
                  <w:tcBorders>
                    <w:tl2br w:val="nil"/>
                    <w:tr2bl w:val="nil"/>
                  </w:tcBorders>
                  <w:shd w:val="clear" w:color="auto" w:fill="auto"/>
                  <w:noWrap w:val="0"/>
                  <w:vAlign w:val="center"/>
                </w:tcPr>
                <w:p w14:paraId="1EFC4CA1">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482" w:type="pct"/>
                  <w:gridSpan w:val="2"/>
                  <w:tcBorders>
                    <w:tl2br w:val="nil"/>
                    <w:tr2bl w:val="nil"/>
                  </w:tcBorders>
                  <w:shd w:val="clear" w:color="auto" w:fill="auto"/>
                  <w:noWrap w:val="0"/>
                  <w:vAlign w:val="center"/>
                </w:tcPr>
                <w:p w14:paraId="59A02A3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527" w:type="pct"/>
                  <w:tcBorders>
                    <w:tl2br w:val="nil"/>
                    <w:tr2bl w:val="nil"/>
                  </w:tcBorders>
                  <w:shd w:val="clear" w:color="auto" w:fill="auto"/>
                  <w:noWrap w:val="0"/>
                  <w:vAlign w:val="center"/>
                </w:tcPr>
                <w:p w14:paraId="51281B1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0"/>
                  <w:vAlign w:val="center"/>
                </w:tcPr>
                <w:p w14:paraId="740108BE">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5C61E88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4DB9476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p>
              </w:tc>
              <w:tc>
                <w:tcPr>
                  <w:tcW w:w="995" w:type="pct"/>
                  <w:tcBorders>
                    <w:tl2br w:val="nil"/>
                    <w:tr2bl w:val="nil"/>
                  </w:tcBorders>
                  <w:shd w:val="clear" w:color="auto" w:fill="auto"/>
                  <w:noWrap w:val="0"/>
                  <w:vAlign w:val="center"/>
                </w:tcPr>
                <w:p w14:paraId="3522C6C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一次风</w:t>
                  </w:r>
                </w:p>
              </w:tc>
              <w:tc>
                <w:tcPr>
                  <w:tcW w:w="843" w:type="pct"/>
                  <w:tcBorders>
                    <w:tl2br w:val="nil"/>
                    <w:tr2bl w:val="nil"/>
                  </w:tcBorders>
                  <w:shd w:val="clear" w:color="auto" w:fill="auto"/>
                  <w:noWrap w:val="0"/>
                  <w:vAlign w:val="center"/>
                </w:tcPr>
                <w:p w14:paraId="0F18DF0A">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119" w:type="pct"/>
                  <w:tcBorders>
                    <w:tl2br w:val="nil"/>
                    <w:tr2bl w:val="nil"/>
                  </w:tcBorders>
                  <w:shd w:val="clear" w:color="auto" w:fill="auto"/>
                  <w:noWrap w:val="0"/>
                  <w:vAlign w:val="center"/>
                </w:tcPr>
                <w:p w14:paraId="3324B5A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Q=2504m³</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P=4112Pa</w:t>
                  </w:r>
                </w:p>
              </w:tc>
              <w:tc>
                <w:tcPr>
                  <w:tcW w:w="482" w:type="pct"/>
                  <w:gridSpan w:val="2"/>
                  <w:tcBorders>
                    <w:tl2br w:val="nil"/>
                    <w:tr2bl w:val="nil"/>
                  </w:tcBorders>
                  <w:shd w:val="clear" w:color="auto" w:fill="auto"/>
                  <w:noWrap w:val="0"/>
                  <w:vAlign w:val="center"/>
                </w:tcPr>
                <w:p w14:paraId="7DFC4A6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7659069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0"/>
                  <w:vAlign w:val="center"/>
                </w:tcPr>
                <w:p w14:paraId="3134E1B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r>
            <w:tr w14:paraId="2CB3FFB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7D05B2C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p>
              </w:tc>
              <w:tc>
                <w:tcPr>
                  <w:tcW w:w="995" w:type="pct"/>
                  <w:tcBorders>
                    <w:tl2br w:val="nil"/>
                    <w:tr2bl w:val="nil"/>
                  </w:tcBorders>
                  <w:shd w:val="clear" w:color="auto" w:fill="auto"/>
                  <w:noWrap w:val="0"/>
                  <w:vAlign w:val="center"/>
                </w:tcPr>
                <w:p w14:paraId="48BE2F9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二次风</w:t>
                  </w:r>
                </w:p>
              </w:tc>
              <w:tc>
                <w:tcPr>
                  <w:tcW w:w="843" w:type="pct"/>
                  <w:tcBorders>
                    <w:tl2br w:val="nil"/>
                    <w:tr2bl w:val="nil"/>
                  </w:tcBorders>
                  <w:shd w:val="clear" w:color="auto" w:fill="auto"/>
                  <w:noWrap w:val="0"/>
                  <w:vAlign w:val="center"/>
                </w:tcPr>
                <w:p w14:paraId="587A7E08">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119" w:type="pct"/>
                  <w:tcBorders>
                    <w:tl2br w:val="nil"/>
                    <w:tr2bl w:val="nil"/>
                  </w:tcBorders>
                  <w:shd w:val="clear" w:color="auto" w:fill="auto"/>
                  <w:noWrap w:val="0"/>
                  <w:vAlign w:val="center"/>
                </w:tcPr>
                <w:p w14:paraId="463EC81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Q=7358m³</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P=1811Pa</w:t>
                  </w:r>
                </w:p>
              </w:tc>
              <w:tc>
                <w:tcPr>
                  <w:tcW w:w="482" w:type="pct"/>
                  <w:gridSpan w:val="2"/>
                  <w:tcBorders>
                    <w:tl2br w:val="nil"/>
                    <w:tr2bl w:val="nil"/>
                  </w:tcBorders>
                  <w:shd w:val="clear" w:color="auto" w:fill="auto"/>
                  <w:noWrap w:val="0"/>
                  <w:vAlign w:val="center"/>
                </w:tcPr>
                <w:p w14:paraId="3E752B5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20ABEAB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0"/>
                  <w:vAlign w:val="center"/>
                </w:tcPr>
                <w:p w14:paraId="2E3AADD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w:t>
                  </w:r>
                </w:p>
              </w:tc>
            </w:tr>
            <w:tr w14:paraId="02B9821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070CE77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五</w:t>
                  </w:r>
                </w:p>
              </w:tc>
              <w:tc>
                <w:tcPr>
                  <w:tcW w:w="2960" w:type="pct"/>
                  <w:gridSpan w:val="4"/>
                  <w:tcBorders>
                    <w:tl2br w:val="nil"/>
                    <w:tr2bl w:val="nil"/>
                  </w:tcBorders>
                  <w:shd w:val="clear" w:color="auto" w:fill="auto"/>
                  <w:noWrap w:val="0"/>
                  <w:vAlign w:val="center"/>
                </w:tcPr>
                <w:p w14:paraId="11A4F83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成品储运系统</w:t>
                  </w:r>
                </w:p>
              </w:tc>
              <w:tc>
                <w:tcPr>
                  <w:tcW w:w="480" w:type="pct"/>
                  <w:tcBorders>
                    <w:tl2br w:val="nil"/>
                    <w:tr2bl w:val="nil"/>
                  </w:tcBorders>
                  <w:shd w:val="clear" w:color="auto" w:fill="auto"/>
                  <w:noWrap w:val="0"/>
                  <w:vAlign w:val="center"/>
                </w:tcPr>
                <w:p w14:paraId="5624C01B">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b/>
                      <w:bCs/>
                      <w:i w:val="0"/>
                      <w:iCs w:val="0"/>
                      <w:color w:val="000000"/>
                      <w:sz w:val="21"/>
                      <w:szCs w:val="21"/>
                      <w:u w:val="none"/>
                      <w:lang w:val="en-US" w:eastAsia="zh-CN"/>
                    </w:rPr>
                  </w:pPr>
                  <w:r>
                    <w:rPr>
                      <w:rFonts w:hint="eastAsia" w:ascii="Times New Roman" w:hAnsi="Times New Roman" w:eastAsia="宋体" w:cs="Times New Roman"/>
                      <w:b/>
                      <w:bCs/>
                      <w:i w:val="0"/>
                      <w:iCs w:val="0"/>
                      <w:color w:val="000000"/>
                      <w:sz w:val="21"/>
                      <w:szCs w:val="21"/>
                      <w:u w:val="none"/>
                      <w:lang w:val="en-US" w:eastAsia="zh-CN"/>
                    </w:rPr>
                    <w:t>/</w:t>
                  </w:r>
                </w:p>
              </w:tc>
              <w:tc>
                <w:tcPr>
                  <w:tcW w:w="529" w:type="pct"/>
                  <w:gridSpan w:val="2"/>
                  <w:tcBorders>
                    <w:tl2br w:val="nil"/>
                    <w:tr2bl w:val="nil"/>
                  </w:tcBorders>
                  <w:shd w:val="clear" w:color="auto" w:fill="auto"/>
                  <w:noWrap w:val="0"/>
                  <w:vAlign w:val="center"/>
                </w:tcPr>
                <w:p w14:paraId="7449AB83">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b/>
                      <w:bCs/>
                      <w:i w:val="0"/>
                      <w:iCs w:val="0"/>
                      <w:color w:val="000000"/>
                      <w:sz w:val="21"/>
                      <w:szCs w:val="21"/>
                      <w:u w:val="none"/>
                      <w:lang w:val="en-US" w:eastAsia="zh-CN"/>
                    </w:rPr>
                  </w:pPr>
                  <w:r>
                    <w:rPr>
                      <w:rFonts w:hint="eastAsia" w:ascii="Times New Roman" w:hAnsi="Times New Roman" w:eastAsia="宋体" w:cs="Times New Roman"/>
                      <w:b/>
                      <w:bCs/>
                      <w:i w:val="0"/>
                      <w:iCs w:val="0"/>
                      <w:color w:val="000000"/>
                      <w:sz w:val="21"/>
                      <w:szCs w:val="21"/>
                      <w:u w:val="none"/>
                      <w:lang w:val="en-US" w:eastAsia="zh-CN"/>
                    </w:rPr>
                    <w:t>/</w:t>
                  </w:r>
                </w:p>
              </w:tc>
              <w:tc>
                <w:tcPr>
                  <w:tcW w:w="691" w:type="pct"/>
                  <w:tcBorders>
                    <w:tl2br w:val="nil"/>
                    <w:tr2bl w:val="nil"/>
                  </w:tcBorders>
                  <w:shd w:val="clear" w:color="auto" w:fill="auto"/>
                  <w:noWrap w:val="0"/>
                  <w:vAlign w:val="center"/>
                </w:tcPr>
                <w:p w14:paraId="13A055D4">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b/>
                      <w:bCs/>
                      <w:i w:val="0"/>
                      <w:iCs w:val="0"/>
                      <w:color w:val="000000"/>
                      <w:sz w:val="21"/>
                      <w:szCs w:val="21"/>
                      <w:u w:val="none"/>
                      <w:lang w:val="en-US" w:eastAsia="zh-CN"/>
                    </w:rPr>
                  </w:pPr>
                  <w:r>
                    <w:rPr>
                      <w:rFonts w:hint="eastAsia" w:ascii="Times New Roman" w:hAnsi="Times New Roman" w:eastAsia="宋体" w:cs="Times New Roman"/>
                      <w:b/>
                      <w:bCs/>
                      <w:i w:val="0"/>
                      <w:iCs w:val="0"/>
                      <w:color w:val="000000"/>
                      <w:sz w:val="21"/>
                      <w:szCs w:val="21"/>
                      <w:u w:val="none"/>
                      <w:lang w:val="en-US" w:eastAsia="zh-CN"/>
                    </w:rPr>
                    <w:t>/</w:t>
                  </w:r>
                </w:p>
              </w:tc>
            </w:tr>
            <w:tr w14:paraId="5B5E3FD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121B008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95" w:type="pct"/>
                  <w:tcBorders>
                    <w:tl2br w:val="nil"/>
                    <w:tr2bl w:val="nil"/>
                  </w:tcBorders>
                  <w:shd w:val="clear" w:color="auto" w:fill="auto"/>
                  <w:noWrap w:val="0"/>
                  <w:vAlign w:val="center"/>
                </w:tcPr>
                <w:p w14:paraId="77A596A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缓存仓</w:t>
                  </w:r>
                </w:p>
              </w:tc>
              <w:tc>
                <w:tcPr>
                  <w:tcW w:w="843" w:type="pct"/>
                  <w:tcBorders>
                    <w:tl2br w:val="nil"/>
                    <w:tr2bl w:val="nil"/>
                  </w:tcBorders>
                  <w:shd w:val="clear" w:color="auto" w:fill="auto"/>
                  <w:noWrap w:val="0"/>
                  <w:vAlign w:val="center"/>
                </w:tcPr>
                <w:p w14:paraId="6EA880F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V5</w:t>
                  </w:r>
                </w:p>
              </w:tc>
              <w:tc>
                <w:tcPr>
                  <w:tcW w:w="1119" w:type="pct"/>
                  <w:tcBorders>
                    <w:tl2br w:val="nil"/>
                    <w:tr2bl w:val="nil"/>
                  </w:tcBorders>
                  <w:shd w:val="clear" w:color="auto" w:fill="auto"/>
                  <w:noWrap w:val="0"/>
                  <w:vAlign w:val="center"/>
                </w:tcPr>
                <w:p w14:paraId="7F578E2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482" w:type="pct"/>
                  <w:gridSpan w:val="2"/>
                  <w:tcBorders>
                    <w:tl2br w:val="nil"/>
                    <w:tr2bl w:val="nil"/>
                  </w:tcBorders>
                  <w:shd w:val="clear" w:color="auto" w:fill="auto"/>
                  <w:noWrap w:val="0"/>
                  <w:vAlign w:val="center"/>
                </w:tcPr>
                <w:p w14:paraId="6AC14CB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590F3A8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0"/>
                  <w:vAlign w:val="center"/>
                </w:tcPr>
                <w:p w14:paraId="0B5757EF">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746AB8A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187D25A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95" w:type="pct"/>
                  <w:tcBorders>
                    <w:tl2br w:val="nil"/>
                    <w:tr2bl w:val="nil"/>
                  </w:tcBorders>
                  <w:shd w:val="clear" w:color="auto" w:fill="auto"/>
                  <w:noWrap w:val="0"/>
                  <w:vAlign w:val="center"/>
                </w:tcPr>
                <w:p w14:paraId="1FCD7FB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流化装置</w:t>
                  </w:r>
                </w:p>
              </w:tc>
              <w:tc>
                <w:tcPr>
                  <w:tcW w:w="843" w:type="pct"/>
                  <w:tcBorders>
                    <w:tl2br w:val="nil"/>
                    <w:tr2bl w:val="nil"/>
                  </w:tcBorders>
                  <w:shd w:val="clear" w:color="auto" w:fill="auto"/>
                  <w:noWrap w:val="0"/>
                  <w:vAlign w:val="center"/>
                </w:tcPr>
                <w:p w14:paraId="3D62A76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AP180</w:t>
                  </w:r>
                </w:p>
              </w:tc>
              <w:tc>
                <w:tcPr>
                  <w:tcW w:w="1119" w:type="pct"/>
                  <w:tcBorders>
                    <w:tl2br w:val="nil"/>
                    <w:tr2bl w:val="nil"/>
                  </w:tcBorders>
                  <w:shd w:val="clear" w:color="auto" w:fill="auto"/>
                  <w:noWrap w:val="0"/>
                  <w:vAlign w:val="center"/>
                </w:tcPr>
                <w:p w14:paraId="7CBE728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482" w:type="pct"/>
                  <w:gridSpan w:val="2"/>
                  <w:tcBorders>
                    <w:tl2br w:val="nil"/>
                    <w:tr2bl w:val="nil"/>
                  </w:tcBorders>
                  <w:shd w:val="clear" w:color="auto" w:fill="auto"/>
                  <w:noWrap w:val="0"/>
                  <w:vAlign w:val="center"/>
                </w:tcPr>
                <w:p w14:paraId="6510D4E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3E67EC2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0"/>
                  <w:vAlign w:val="center"/>
                </w:tcPr>
                <w:p w14:paraId="71342A1A">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3A63412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7B3CD3D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95" w:type="pct"/>
                  <w:tcBorders>
                    <w:tl2br w:val="nil"/>
                    <w:tr2bl w:val="nil"/>
                  </w:tcBorders>
                  <w:shd w:val="clear" w:color="auto" w:fill="auto"/>
                  <w:noWrap w:val="0"/>
                  <w:vAlign w:val="center"/>
                </w:tcPr>
                <w:p w14:paraId="11366A3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仓泵</w:t>
                  </w:r>
                </w:p>
              </w:tc>
              <w:tc>
                <w:tcPr>
                  <w:tcW w:w="843" w:type="pct"/>
                  <w:tcBorders>
                    <w:tl2br w:val="nil"/>
                    <w:tr2bl w:val="nil"/>
                  </w:tcBorders>
                  <w:shd w:val="clear" w:color="auto" w:fill="auto"/>
                  <w:noWrap w:val="0"/>
                  <w:vAlign w:val="center"/>
                </w:tcPr>
                <w:p w14:paraId="47A210E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AB4.0</w:t>
                  </w:r>
                </w:p>
              </w:tc>
              <w:tc>
                <w:tcPr>
                  <w:tcW w:w="1119" w:type="pct"/>
                  <w:tcBorders>
                    <w:tl2br w:val="nil"/>
                    <w:tr2bl w:val="nil"/>
                  </w:tcBorders>
                  <w:shd w:val="clear" w:color="auto" w:fill="auto"/>
                  <w:noWrap w:val="0"/>
                  <w:vAlign w:val="center"/>
                </w:tcPr>
                <w:p w14:paraId="61B12C6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482" w:type="pct"/>
                  <w:gridSpan w:val="2"/>
                  <w:tcBorders>
                    <w:tl2br w:val="nil"/>
                    <w:tr2bl w:val="nil"/>
                  </w:tcBorders>
                  <w:shd w:val="clear" w:color="auto" w:fill="auto"/>
                  <w:noWrap w:val="0"/>
                  <w:vAlign w:val="center"/>
                </w:tcPr>
                <w:p w14:paraId="13C2E8D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0C4D392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0"/>
                  <w:vAlign w:val="center"/>
                </w:tcPr>
                <w:p w14:paraId="743FBA64">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4CDCE96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1A1F9A5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p>
              </w:tc>
              <w:tc>
                <w:tcPr>
                  <w:tcW w:w="995" w:type="pct"/>
                  <w:tcBorders>
                    <w:tl2br w:val="nil"/>
                    <w:tr2bl w:val="nil"/>
                  </w:tcBorders>
                  <w:shd w:val="clear" w:color="auto" w:fill="auto"/>
                  <w:noWrap w:val="0"/>
                  <w:vAlign w:val="center"/>
                </w:tcPr>
                <w:p w14:paraId="125029F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弯头</w:t>
                  </w:r>
                </w:p>
              </w:tc>
              <w:tc>
                <w:tcPr>
                  <w:tcW w:w="843" w:type="pct"/>
                  <w:tcBorders>
                    <w:tl2br w:val="nil"/>
                    <w:tr2bl w:val="nil"/>
                  </w:tcBorders>
                  <w:shd w:val="clear" w:color="auto" w:fill="auto"/>
                  <w:noWrap w:val="0"/>
                  <w:vAlign w:val="center"/>
                </w:tcPr>
                <w:p w14:paraId="2697AAC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p>
              </w:tc>
              <w:tc>
                <w:tcPr>
                  <w:tcW w:w="1119" w:type="pct"/>
                  <w:tcBorders>
                    <w:tl2br w:val="nil"/>
                    <w:tr2bl w:val="nil"/>
                  </w:tcBorders>
                  <w:shd w:val="clear" w:color="auto" w:fill="auto"/>
                  <w:noWrap w:val="0"/>
                  <w:vAlign w:val="center"/>
                </w:tcPr>
                <w:p w14:paraId="5CD7692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482" w:type="pct"/>
                  <w:gridSpan w:val="2"/>
                  <w:tcBorders>
                    <w:tl2br w:val="nil"/>
                    <w:tr2bl w:val="nil"/>
                  </w:tcBorders>
                  <w:shd w:val="clear" w:color="auto" w:fill="auto"/>
                  <w:noWrap w:val="0"/>
                  <w:vAlign w:val="center"/>
                </w:tcPr>
                <w:p w14:paraId="6A8E849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个</w:t>
                  </w:r>
                </w:p>
              </w:tc>
              <w:tc>
                <w:tcPr>
                  <w:tcW w:w="527" w:type="pct"/>
                  <w:tcBorders>
                    <w:tl2br w:val="nil"/>
                    <w:tr2bl w:val="nil"/>
                  </w:tcBorders>
                  <w:shd w:val="clear" w:color="auto" w:fill="auto"/>
                  <w:noWrap w:val="0"/>
                  <w:vAlign w:val="center"/>
                </w:tcPr>
                <w:p w14:paraId="6A08FCD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693" w:type="pct"/>
                  <w:gridSpan w:val="2"/>
                  <w:tcBorders>
                    <w:tl2br w:val="nil"/>
                    <w:tr2bl w:val="nil"/>
                  </w:tcBorders>
                  <w:shd w:val="clear" w:color="auto" w:fill="auto"/>
                  <w:noWrap w:val="0"/>
                  <w:vAlign w:val="center"/>
                </w:tcPr>
                <w:p w14:paraId="03E8FFCF">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2BDEEC7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23A5406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p>
              </w:tc>
              <w:tc>
                <w:tcPr>
                  <w:tcW w:w="995" w:type="pct"/>
                  <w:tcBorders>
                    <w:tl2br w:val="nil"/>
                    <w:tr2bl w:val="nil"/>
                  </w:tcBorders>
                  <w:shd w:val="clear" w:color="auto" w:fill="auto"/>
                  <w:noWrap w:val="0"/>
                  <w:vAlign w:val="center"/>
                </w:tcPr>
                <w:p w14:paraId="7D21001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分料阀</w:t>
                  </w:r>
                </w:p>
              </w:tc>
              <w:tc>
                <w:tcPr>
                  <w:tcW w:w="843" w:type="pct"/>
                  <w:tcBorders>
                    <w:tl2br w:val="nil"/>
                    <w:tr2bl w:val="nil"/>
                  </w:tcBorders>
                  <w:shd w:val="clear" w:color="auto" w:fill="auto"/>
                  <w:noWrap w:val="0"/>
                  <w:vAlign w:val="center"/>
                </w:tcPr>
                <w:p w14:paraId="22A3C42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p>
              </w:tc>
              <w:tc>
                <w:tcPr>
                  <w:tcW w:w="1119" w:type="pct"/>
                  <w:tcBorders>
                    <w:tl2br w:val="nil"/>
                    <w:tr2bl w:val="nil"/>
                  </w:tcBorders>
                  <w:shd w:val="clear" w:color="auto" w:fill="auto"/>
                  <w:noWrap w:val="0"/>
                  <w:vAlign w:val="center"/>
                </w:tcPr>
                <w:p w14:paraId="4F67FD7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482" w:type="pct"/>
                  <w:gridSpan w:val="2"/>
                  <w:tcBorders>
                    <w:tl2br w:val="nil"/>
                    <w:tr2bl w:val="nil"/>
                  </w:tcBorders>
                  <w:shd w:val="clear" w:color="auto" w:fill="auto"/>
                  <w:noWrap w:val="0"/>
                  <w:vAlign w:val="center"/>
                </w:tcPr>
                <w:p w14:paraId="21199B0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723B281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93" w:type="pct"/>
                  <w:gridSpan w:val="2"/>
                  <w:tcBorders>
                    <w:tl2br w:val="nil"/>
                    <w:tr2bl w:val="nil"/>
                  </w:tcBorders>
                  <w:shd w:val="clear" w:color="auto" w:fill="auto"/>
                  <w:noWrap w:val="0"/>
                  <w:vAlign w:val="center"/>
                </w:tcPr>
                <w:p w14:paraId="7D11DB9C">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1F0C123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29ACC5D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995" w:type="pct"/>
                  <w:tcBorders>
                    <w:tl2br w:val="nil"/>
                    <w:tr2bl w:val="nil"/>
                  </w:tcBorders>
                  <w:shd w:val="clear" w:color="auto" w:fill="auto"/>
                  <w:noWrap w:val="0"/>
                  <w:vAlign w:val="center"/>
                </w:tcPr>
                <w:p w14:paraId="21FE06E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成品仓</w:t>
                  </w:r>
                </w:p>
              </w:tc>
              <w:tc>
                <w:tcPr>
                  <w:tcW w:w="843" w:type="pct"/>
                  <w:tcBorders>
                    <w:tl2br w:val="nil"/>
                    <w:tr2bl w:val="nil"/>
                  </w:tcBorders>
                  <w:shd w:val="clear" w:color="auto" w:fill="auto"/>
                  <w:noWrap w:val="0"/>
                  <w:vAlign w:val="center"/>
                </w:tcPr>
                <w:p w14:paraId="1BF614C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V150</w:t>
                  </w:r>
                </w:p>
              </w:tc>
              <w:tc>
                <w:tcPr>
                  <w:tcW w:w="1119" w:type="pct"/>
                  <w:tcBorders>
                    <w:tl2br w:val="nil"/>
                    <w:tr2bl w:val="nil"/>
                  </w:tcBorders>
                  <w:shd w:val="clear" w:color="auto" w:fill="auto"/>
                  <w:noWrap w:val="0"/>
                  <w:vAlign w:val="center"/>
                </w:tcPr>
                <w:p w14:paraId="79F7E47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482" w:type="pct"/>
                  <w:gridSpan w:val="2"/>
                  <w:tcBorders>
                    <w:tl2br w:val="nil"/>
                    <w:tr2bl w:val="nil"/>
                  </w:tcBorders>
                  <w:shd w:val="clear" w:color="auto" w:fill="auto"/>
                  <w:noWrap w:val="0"/>
                  <w:vAlign w:val="center"/>
                </w:tcPr>
                <w:p w14:paraId="7203D2A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5C2A47B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93" w:type="pct"/>
                  <w:gridSpan w:val="2"/>
                  <w:tcBorders>
                    <w:tl2br w:val="nil"/>
                    <w:tr2bl w:val="nil"/>
                  </w:tcBorders>
                  <w:shd w:val="clear" w:color="auto" w:fill="auto"/>
                  <w:noWrap w:val="0"/>
                  <w:vAlign w:val="center"/>
                </w:tcPr>
                <w:p w14:paraId="28C267B4">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7CF1D22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6DC0ABF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95" w:type="pct"/>
                  <w:tcBorders>
                    <w:tl2br w:val="nil"/>
                    <w:tr2bl w:val="nil"/>
                  </w:tcBorders>
                  <w:shd w:val="clear" w:color="auto" w:fill="auto"/>
                  <w:noWrap w:val="0"/>
                  <w:vAlign w:val="center"/>
                </w:tcPr>
                <w:p w14:paraId="6DC9DC8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流化装置</w:t>
                  </w:r>
                </w:p>
              </w:tc>
              <w:tc>
                <w:tcPr>
                  <w:tcW w:w="843" w:type="pct"/>
                  <w:tcBorders>
                    <w:tl2br w:val="nil"/>
                    <w:tr2bl w:val="nil"/>
                  </w:tcBorders>
                  <w:shd w:val="clear" w:color="auto" w:fill="auto"/>
                  <w:noWrap w:val="0"/>
                  <w:vAlign w:val="center"/>
                </w:tcPr>
                <w:p w14:paraId="03242E7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AP380</w:t>
                  </w:r>
                </w:p>
              </w:tc>
              <w:tc>
                <w:tcPr>
                  <w:tcW w:w="1119" w:type="pct"/>
                  <w:tcBorders>
                    <w:tl2br w:val="nil"/>
                    <w:tr2bl w:val="nil"/>
                  </w:tcBorders>
                  <w:shd w:val="clear" w:color="auto" w:fill="auto"/>
                  <w:noWrap w:val="0"/>
                  <w:vAlign w:val="center"/>
                </w:tcPr>
                <w:p w14:paraId="3E78080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482" w:type="pct"/>
                  <w:gridSpan w:val="2"/>
                  <w:tcBorders>
                    <w:tl2br w:val="nil"/>
                    <w:tr2bl w:val="nil"/>
                  </w:tcBorders>
                  <w:shd w:val="clear" w:color="auto" w:fill="auto"/>
                  <w:noWrap w:val="0"/>
                  <w:vAlign w:val="center"/>
                </w:tcPr>
                <w:p w14:paraId="02BE32C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套</w:t>
                  </w:r>
                </w:p>
              </w:tc>
              <w:tc>
                <w:tcPr>
                  <w:tcW w:w="527" w:type="pct"/>
                  <w:tcBorders>
                    <w:tl2br w:val="nil"/>
                    <w:tr2bl w:val="nil"/>
                  </w:tcBorders>
                  <w:shd w:val="clear" w:color="auto" w:fill="auto"/>
                  <w:noWrap w:val="0"/>
                  <w:vAlign w:val="center"/>
                </w:tcPr>
                <w:p w14:paraId="5A08981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93" w:type="pct"/>
                  <w:gridSpan w:val="2"/>
                  <w:tcBorders>
                    <w:tl2br w:val="nil"/>
                    <w:tr2bl w:val="nil"/>
                  </w:tcBorders>
                  <w:shd w:val="clear" w:color="auto" w:fill="auto"/>
                  <w:noWrap w:val="0"/>
                  <w:vAlign w:val="center"/>
                </w:tcPr>
                <w:p w14:paraId="5EE6C12A">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2F49B19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5566EF3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995" w:type="pct"/>
                  <w:tcBorders>
                    <w:tl2br w:val="nil"/>
                    <w:tr2bl w:val="nil"/>
                  </w:tcBorders>
                  <w:shd w:val="clear" w:color="auto" w:fill="auto"/>
                  <w:noWrap w:val="0"/>
                  <w:vAlign w:val="center"/>
                </w:tcPr>
                <w:p w14:paraId="4AC7F7C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散装机</w:t>
                  </w:r>
                </w:p>
              </w:tc>
              <w:tc>
                <w:tcPr>
                  <w:tcW w:w="843" w:type="pct"/>
                  <w:tcBorders>
                    <w:tl2br w:val="nil"/>
                    <w:tr2bl w:val="nil"/>
                  </w:tcBorders>
                  <w:shd w:val="clear" w:color="auto" w:fill="auto"/>
                  <w:noWrap w:val="0"/>
                  <w:vAlign w:val="center"/>
                </w:tcPr>
                <w:p w14:paraId="297F415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ZZ-120</w:t>
                  </w:r>
                </w:p>
              </w:tc>
              <w:tc>
                <w:tcPr>
                  <w:tcW w:w="1119" w:type="pct"/>
                  <w:tcBorders>
                    <w:tl2br w:val="nil"/>
                    <w:tr2bl w:val="nil"/>
                  </w:tcBorders>
                  <w:shd w:val="clear" w:color="auto" w:fill="auto"/>
                  <w:noWrap w:val="0"/>
                  <w:vAlign w:val="center"/>
                </w:tcPr>
                <w:p w14:paraId="559EED4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482" w:type="pct"/>
                  <w:gridSpan w:val="2"/>
                  <w:tcBorders>
                    <w:tl2br w:val="nil"/>
                    <w:tr2bl w:val="nil"/>
                  </w:tcBorders>
                  <w:shd w:val="clear" w:color="auto" w:fill="auto"/>
                  <w:noWrap w:val="0"/>
                  <w:vAlign w:val="center"/>
                </w:tcPr>
                <w:p w14:paraId="150785C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套</w:t>
                  </w:r>
                </w:p>
              </w:tc>
              <w:tc>
                <w:tcPr>
                  <w:tcW w:w="527" w:type="pct"/>
                  <w:tcBorders>
                    <w:tl2br w:val="nil"/>
                    <w:tr2bl w:val="nil"/>
                  </w:tcBorders>
                  <w:shd w:val="clear" w:color="auto" w:fill="auto"/>
                  <w:noWrap w:val="0"/>
                  <w:vAlign w:val="center"/>
                </w:tcPr>
                <w:p w14:paraId="3A39069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93" w:type="pct"/>
                  <w:gridSpan w:val="2"/>
                  <w:tcBorders>
                    <w:tl2br w:val="nil"/>
                    <w:tr2bl w:val="nil"/>
                  </w:tcBorders>
                  <w:shd w:val="clear" w:color="auto" w:fill="auto"/>
                  <w:noWrap w:val="0"/>
                  <w:vAlign w:val="center"/>
                </w:tcPr>
                <w:p w14:paraId="06352076">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07AD464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56B06D9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995" w:type="pct"/>
                  <w:tcBorders>
                    <w:tl2br w:val="nil"/>
                    <w:tr2bl w:val="nil"/>
                  </w:tcBorders>
                  <w:shd w:val="clear" w:color="auto" w:fill="auto"/>
                  <w:noWrap w:val="0"/>
                  <w:vAlign w:val="center"/>
                </w:tcPr>
                <w:p w14:paraId="4F83890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仓顶收尘器</w:t>
                  </w:r>
                </w:p>
              </w:tc>
              <w:tc>
                <w:tcPr>
                  <w:tcW w:w="843" w:type="pct"/>
                  <w:tcBorders>
                    <w:tl2br w:val="nil"/>
                    <w:tr2bl w:val="nil"/>
                  </w:tcBorders>
                  <w:shd w:val="clear" w:color="auto" w:fill="auto"/>
                  <w:noWrap w:val="0"/>
                  <w:vAlign w:val="center"/>
                </w:tcPr>
                <w:p w14:paraId="532821E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DMC120A</w:t>
                  </w:r>
                </w:p>
              </w:tc>
              <w:tc>
                <w:tcPr>
                  <w:tcW w:w="1119" w:type="pct"/>
                  <w:tcBorders>
                    <w:tl2br w:val="nil"/>
                    <w:tr2bl w:val="nil"/>
                  </w:tcBorders>
                  <w:shd w:val="clear" w:color="auto" w:fill="auto"/>
                  <w:noWrap w:val="0"/>
                  <w:vAlign w:val="center"/>
                </w:tcPr>
                <w:p w14:paraId="046D93E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w:t>
                  </w:r>
                </w:p>
              </w:tc>
              <w:tc>
                <w:tcPr>
                  <w:tcW w:w="482" w:type="pct"/>
                  <w:gridSpan w:val="2"/>
                  <w:tcBorders>
                    <w:tl2br w:val="nil"/>
                    <w:tr2bl w:val="nil"/>
                  </w:tcBorders>
                  <w:shd w:val="clear" w:color="auto" w:fill="auto"/>
                  <w:noWrap w:val="0"/>
                  <w:vAlign w:val="center"/>
                </w:tcPr>
                <w:p w14:paraId="4F5AAEB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2876FD1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93" w:type="pct"/>
                  <w:gridSpan w:val="2"/>
                  <w:tcBorders>
                    <w:tl2br w:val="nil"/>
                    <w:tr2bl w:val="nil"/>
                  </w:tcBorders>
                  <w:shd w:val="clear" w:color="auto" w:fill="auto"/>
                  <w:noWrap w:val="0"/>
                  <w:vAlign w:val="center"/>
                </w:tcPr>
                <w:p w14:paraId="24BA29F8">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30D2CED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2473527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六</w:t>
                  </w:r>
                </w:p>
              </w:tc>
              <w:tc>
                <w:tcPr>
                  <w:tcW w:w="2960" w:type="pct"/>
                  <w:gridSpan w:val="4"/>
                  <w:tcBorders>
                    <w:tl2br w:val="nil"/>
                    <w:tr2bl w:val="nil"/>
                  </w:tcBorders>
                  <w:shd w:val="clear" w:color="auto" w:fill="auto"/>
                  <w:noWrap w:val="0"/>
                  <w:vAlign w:val="center"/>
                </w:tcPr>
                <w:p w14:paraId="5D2F387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控制系统</w:t>
                  </w:r>
                </w:p>
              </w:tc>
              <w:tc>
                <w:tcPr>
                  <w:tcW w:w="480" w:type="pct"/>
                  <w:tcBorders>
                    <w:tl2br w:val="nil"/>
                    <w:tr2bl w:val="nil"/>
                  </w:tcBorders>
                  <w:shd w:val="clear" w:color="auto" w:fill="auto"/>
                  <w:noWrap w:val="0"/>
                  <w:vAlign w:val="center"/>
                </w:tcPr>
                <w:p w14:paraId="4895B891">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529" w:type="pct"/>
                  <w:gridSpan w:val="2"/>
                  <w:tcBorders>
                    <w:tl2br w:val="nil"/>
                    <w:tr2bl w:val="nil"/>
                  </w:tcBorders>
                  <w:shd w:val="clear" w:color="auto" w:fill="auto"/>
                  <w:noWrap w:val="0"/>
                  <w:vAlign w:val="center"/>
                </w:tcPr>
                <w:p w14:paraId="3C0EE02D">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691" w:type="pct"/>
                  <w:tcBorders>
                    <w:tl2br w:val="nil"/>
                    <w:tr2bl w:val="nil"/>
                  </w:tcBorders>
                  <w:shd w:val="clear" w:color="auto" w:fill="auto"/>
                  <w:noWrap w:val="0"/>
                  <w:vAlign w:val="center"/>
                </w:tcPr>
                <w:p w14:paraId="1C3ED72C">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7A42621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22" w:hRule="atLeast"/>
                <w:jc w:val="center"/>
              </w:trPr>
              <w:tc>
                <w:tcPr>
                  <w:tcW w:w="337" w:type="pct"/>
                  <w:tcBorders>
                    <w:tl2br w:val="nil"/>
                    <w:tr2bl w:val="nil"/>
                  </w:tcBorders>
                  <w:shd w:val="clear" w:color="auto" w:fill="auto"/>
                  <w:noWrap w:val="0"/>
                  <w:vAlign w:val="center"/>
                </w:tcPr>
                <w:p w14:paraId="29363D2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95" w:type="pct"/>
                  <w:tcBorders>
                    <w:tl2br w:val="nil"/>
                    <w:tr2bl w:val="nil"/>
                  </w:tcBorders>
                  <w:shd w:val="clear" w:color="auto" w:fill="auto"/>
                  <w:noWrap w:val="0"/>
                  <w:vAlign w:val="center"/>
                </w:tcPr>
                <w:p w14:paraId="64100DD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低压配电柜</w:t>
                  </w:r>
                </w:p>
              </w:tc>
              <w:tc>
                <w:tcPr>
                  <w:tcW w:w="843" w:type="pct"/>
                  <w:tcBorders>
                    <w:tl2br w:val="nil"/>
                    <w:tr2bl w:val="nil"/>
                  </w:tcBorders>
                  <w:shd w:val="clear" w:color="auto" w:fill="auto"/>
                  <w:noWrap w:val="0"/>
                  <w:vAlign w:val="center"/>
                </w:tcPr>
                <w:p w14:paraId="3D3E6449">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119" w:type="pct"/>
                  <w:tcBorders>
                    <w:tl2br w:val="nil"/>
                    <w:tr2bl w:val="nil"/>
                  </w:tcBorders>
                  <w:shd w:val="clear" w:color="auto" w:fill="auto"/>
                  <w:noWrap w:val="0"/>
                  <w:vAlign w:val="center"/>
                </w:tcPr>
                <w:p w14:paraId="1C781DD4">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482" w:type="pct"/>
                  <w:gridSpan w:val="2"/>
                  <w:tcBorders>
                    <w:tl2br w:val="nil"/>
                    <w:tr2bl w:val="nil"/>
                  </w:tcBorders>
                  <w:shd w:val="clear" w:color="auto" w:fill="auto"/>
                  <w:noWrap w:val="0"/>
                  <w:vAlign w:val="center"/>
                </w:tcPr>
                <w:p w14:paraId="71D87DB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3E2AC78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ign w:val="center"/>
                </w:tcPr>
                <w:p w14:paraId="608CF79D">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4C40C51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7835149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95" w:type="pct"/>
                  <w:tcBorders>
                    <w:tl2br w:val="nil"/>
                    <w:tr2bl w:val="nil"/>
                  </w:tcBorders>
                  <w:shd w:val="clear" w:color="auto" w:fill="auto"/>
                  <w:noWrap w:val="0"/>
                  <w:vAlign w:val="center"/>
                </w:tcPr>
                <w:p w14:paraId="4E1652E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主机及风机启动柜</w:t>
                  </w:r>
                </w:p>
              </w:tc>
              <w:tc>
                <w:tcPr>
                  <w:tcW w:w="843" w:type="pct"/>
                  <w:tcBorders>
                    <w:tl2br w:val="nil"/>
                    <w:tr2bl w:val="nil"/>
                  </w:tcBorders>
                  <w:shd w:val="clear" w:color="auto" w:fill="auto"/>
                  <w:noWrap w:val="0"/>
                  <w:vAlign w:val="center"/>
                </w:tcPr>
                <w:p w14:paraId="22B33C82">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119" w:type="pct"/>
                  <w:tcBorders>
                    <w:tl2br w:val="nil"/>
                    <w:tr2bl w:val="nil"/>
                  </w:tcBorders>
                  <w:shd w:val="clear" w:color="auto" w:fill="auto"/>
                  <w:noWrap w:val="0"/>
                  <w:vAlign w:val="center"/>
                </w:tcPr>
                <w:p w14:paraId="507039F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主机电机：250kw/380v/6级                     风机电机：220kw/380v/6级</w:t>
                  </w:r>
                </w:p>
              </w:tc>
              <w:tc>
                <w:tcPr>
                  <w:tcW w:w="482" w:type="pct"/>
                  <w:gridSpan w:val="2"/>
                  <w:tcBorders>
                    <w:tl2br w:val="nil"/>
                    <w:tr2bl w:val="nil"/>
                  </w:tcBorders>
                  <w:shd w:val="clear" w:color="auto" w:fill="auto"/>
                  <w:noWrap w:val="0"/>
                  <w:vAlign w:val="center"/>
                </w:tcPr>
                <w:p w14:paraId="742816B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498AC3C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ign w:val="center"/>
                </w:tcPr>
                <w:p w14:paraId="17A58F98">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696CE2B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768B21D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995" w:type="pct"/>
                  <w:tcBorders>
                    <w:tl2br w:val="nil"/>
                    <w:tr2bl w:val="nil"/>
                  </w:tcBorders>
                  <w:shd w:val="clear" w:color="auto" w:fill="auto"/>
                  <w:noWrap w:val="0"/>
                  <w:vAlign w:val="center"/>
                </w:tcPr>
                <w:p w14:paraId="41A928E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PLC控制柜</w:t>
                  </w:r>
                </w:p>
              </w:tc>
              <w:tc>
                <w:tcPr>
                  <w:tcW w:w="843" w:type="pct"/>
                  <w:tcBorders>
                    <w:tl2br w:val="nil"/>
                    <w:tr2bl w:val="nil"/>
                  </w:tcBorders>
                  <w:shd w:val="clear" w:color="auto" w:fill="auto"/>
                  <w:noWrap w:val="0"/>
                  <w:vAlign w:val="center"/>
                </w:tcPr>
                <w:p w14:paraId="734A4101">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119" w:type="pct"/>
                  <w:tcBorders>
                    <w:tl2br w:val="nil"/>
                    <w:tr2bl w:val="nil"/>
                  </w:tcBorders>
                  <w:shd w:val="clear" w:color="auto" w:fill="auto"/>
                  <w:noWrap w:val="0"/>
                  <w:vAlign w:val="center"/>
                </w:tcPr>
                <w:p w14:paraId="7222546A">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482" w:type="pct"/>
                  <w:gridSpan w:val="2"/>
                  <w:tcBorders>
                    <w:tl2br w:val="nil"/>
                    <w:tr2bl w:val="nil"/>
                  </w:tcBorders>
                  <w:shd w:val="clear" w:color="auto" w:fill="auto"/>
                  <w:noWrap w:val="0"/>
                  <w:vAlign w:val="center"/>
                </w:tcPr>
                <w:p w14:paraId="46F63DD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5DF8687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ign w:val="center"/>
                </w:tcPr>
                <w:p w14:paraId="5EB02102">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0C3854E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328A9DF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95" w:type="pct"/>
                  <w:tcBorders>
                    <w:tl2br w:val="nil"/>
                    <w:tr2bl w:val="nil"/>
                  </w:tcBorders>
                  <w:shd w:val="clear" w:color="auto" w:fill="auto"/>
                  <w:noWrap w:val="0"/>
                  <w:vAlign w:val="center"/>
                </w:tcPr>
                <w:p w14:paraId="39B0B82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辅机控制柜</w:t>
                  </w:r>
                </w:p>
              </w:tc>
              <w:tc>
                <w:tcPr>
                  <w:tcW w:w="843" w:type="pct"/>
                  <w:tcBorders>
                    <w:tl2br w:val="nil"/>
                    <w:tr2bl w:val="nil"/>
                  </w:tcBorders>
                  <w:shd w:val="clear" w:color="auto" w:fill="auto"/>
                  <w:noWrap w:val="0"/>
                  <w:vAlign w:val="center"/>
                </w:tcPr>
                <w:p w14:paraId="1158C43A">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119" w:type="pct"/>
                  <w:tcBorders>
                    <w:tl2br w:val="nil"/>
                    <w:tr2bl w:val="nil"/>
                  </w:tcBorders>
                  <w:shd w:val="clear" w:color="auto" w:fill="auto"/>
                  <w:noWrap w:val="0"/>
                  <w:vAlign w:val="center"/>
                </w:tcPr>
                <w:p w14:paraId="05C1B62B">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482" w:type="pct"/>
                  <w:gridSpan w:val="2"/>
                  <w:tcBorders>
                    <w:tl2br w:val="nil"/>
                    <w:tr2bl w:val="nil"/>
                  </w:tcBorders>
                  <w:shd w:val="clear" w:color="auto" w:fill="auto"/>
                  <w:noWrap w:val="0"/>
                  <w:vAlign w:val="center"/>
                </w:tcPr>
                <w:p w14:paraId="7991C49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套</w:t>
                  </w:r>
                </w:p>
              </w:tc>
              <w:tc>
                <w:tcPr>
                  <w:tcW w:w="527" w:type="pct"/>
                  <w:tcBorders>
                    <w:tl2br w:val="nil"/>
                    <w:tr2bl w:val="nil"/>
                  </w:tcBorders>
                  <w:shd w:val="clear" w:color="auto" w:fill="auto"/>
                  <w:noWrap w:val="0"/>
                  <w:vAlign w:val="center"/>
                </w:tcPr>
                <w:p w14:paraId="5036257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ign w:val="center"/>
                </w:tcPr>
                <w:p w14:paraId="583B1E0E">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6D45F84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1F822E7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995" w:type="pct"/>
                  <w:tcBorders>
                    <w:tl2br w:val="nil"/>
                    <w:tr2bl w:val="nil"/>
                  </w:tcBorders>
                  <w:shd w:val="clear" w:color="auto" w:fill="auto"/>
                  <w:noWrap w:val="0"/>
                  <w:vAlign w:val="center"/>
                </w:tcPr>
                <w:p w14:paraId="415385C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中控系统</w:t>
                  </w:r>
                </w:p>
              </w:tc>
              <w:tc>
                <w:tcPr>
                  <w:tcW w:w="843" w:type="pct"/>
                  <w:tcBorders>
                    <w:tl2br w:val="nil"/>
                    <w:tr2bl w:val="nil"/>
                  </w:tcBorders>
                  <w:shd w:val="clear" w:color="auto" w:fill="auto"/>
                  <w:noWrap w:val="0"/>
                  <w:vAlign w:val="center"/>
                </w:tcPr>
                <w:p w14:paraId="195DA6BF">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119" w:type="pct"/>
                  <w:tcBorders>
                    <w:tl2br w:val="nil"/>
                    <w:tr2bl w:val="nil"/>
                  </w:tcBorders>
                  <w:shd w:val="clear" w:color="auto" w:fill="auto"/>
                  <w:noWrap w:val="0"/>
                  <w:vAlign w:val="center"/>
                </w:tcPr>
                <w:p w14:paraId="7E4C929A">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482" w:type="pct"/>
                  <w:gridSpan w:val="2"/>
                  <w:tcBorders>
                    <w:tl2br w:val="nil"/>
                    <w:tr2bl w:val="nil"/>
                  </w:tcBorders>
                  <w:shd w:val="clear" w:color="auto" w:fill="auto"/>
                  <w:noWrap w:val="0"/>
                  <w:vAlign w:val="center"/>
                </w:tcPr>
                <w:p w14:paraId="71B50A4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3C6BD78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ign w:val="center"/>
                </w:tcPr>
                <w:p w14:paraId="402770F1">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043364F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34E83DB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995" w:type="pct"/>
                  <w:tcBorders>
                    <w:tl2br w:val="nil"/>
                    <w:tr2bl w:val="nil"/>
                  </w:tcBorders>
                  <w:shd w:val="clear" w:color="auto" w:fill="auto"/>
                  <w:noWrap w:val="0"/>
                  <w:vAlign w:val="center"/>
                </w:tcPr>
                <w:p w14:paraId="3A595C6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中央控制系统编程服务</w:t>
                  </w:r>
                </w:p>
              </w:tc>
              <w:tc>
                <w:tcPr>
                  <w:tcW w:w="843" w:type="pct"/>
                  <w:tcBorders>
                    <w:tl2br w:val="nil"/>
                    <w:tr2bl w:val="nil"/>
                  </w:tcBorders>
                  <w:shd w:val="clear" w:color="auto" w:fill="auto"/>
                  <w:noWrap w:val="0"/>
                  <w:vAlign w:val="center"/>
                </w:tcPr>
                <w:p w14:paraId="36031E21">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119" w:type="pct"/>
                  <w:tcBorders>
                    <w:tl2br w:val="nil"/>
                    <w:tr2bl w:val="nil"/>
                  </w:tcBorders>
                  <w:shd w:val="clear" w:color="auto" w:fill="auto"/>
                  <w:noWrap w:val="0"/>
                  <w:vAlign w:val="center"/>
                </w:tcPr>
                <w:p w14:paraId="21421B41">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482" w:type="pct"/>
                  <w:gridSpan w:val="2"/>
                  <w:tcBorders>
                    <w:tl2br w:val="nil"/>
                    <w:tr2bl w:val="nil"/>
                  </w:tcBorders>
                  <w:shd w:val="clear" w:color="auto" w:fill="auto"/>
                  <w:noWrap w:val="0"/>
                  <w:vAlign w:val="center"/>
                </w:tcPr>
                <w:p w14:paraId="5A12EE6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套</w:t>
                  </w:r>
                </w:p>
              </w:tc>
              <w:tc>
                <w:tcPr>
                  <w:tcW w:w="527" w:type="pct"/>
                  <w:tcBorders>
                    <w:tl2br w:val="nil"/>
                    <w:tr2bl w:val="nil"/>
                  </w:tcBorders>
                  <w:shd w:val="clear" w:color="auto" w:fill="auto"/>
                  <w:noWrap w:val="0"/>
                  <w:vAlign w:val="center"/>
                </w:tcPr>
                <w:p w14:paraId="1BA55E2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ign w:val="center"/>
                </w:tcPr>
                <w:p w14:paraId="62E4046E">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1C1851D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1D6B320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995" w:type="pct"/>
                  <w:tcBorders>
                    <w:tl2br w:val="nil"/>
                    <w:tr2bl w:val="nil"/>
                  </w:tcBorders>
                  <w:shd w:val="clear" w:color="auto" w:fill="auto"/>
                  <w:noWrap w:val="0"/>
                  <w:vAlign w:val="center"/>
                </w:tcPr>
                <w:p w14:paraId="2264501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封闭式定量给料机仪表柜</w:t>
                  </w:r>
                </w:p>
              </w:tc>
              <w:tc>
                <w:tcPr>
                  <w:tcW w:w="843" w:type="pct"/>
                  <w:tcBorders>
                    <w:tl2br w:val="nil"/>
                    <w:tr2bl w:val="nil"/>
                  </w:tcBorders>
                  <w:shd w:val="clear" w:color="auto" w:fill="auto"/>
                  <w:noWrap w:val="0"/>
                  <w:vAlign w:val="center"/>
                </w:tcPr>
                <w:p w14:paraId="612764A4">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119" w:type="pct"/>
                  <w:tcBorders>
                    <w:tl2br w:val="nil"/>
                    <w:tr2bl w:val="nil"/>
                  </w:tcBorders>
                  <w:shd w:val="clear" w:color="auto" w:fill="auto"/>
                  <w:noWrap w:val="0"/>
                  <w:vAlign w:val="center"/>
                </w:tcPr>
                <w:p w14:paraId="3F3DE660">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482" w:type="pct"/>
                  <w:gridSpan w:val="2"/>
                  <w:tcBorders>
                    <w:tl2br w:val="nil"/>
                    <w:tr2bl w:val="nil"/>
                  </w:tcBorders>
                  <w:shd w:val="clear" w:color="auto" w:fill="auto"/>
                  <w:noWrap w:val="0"/>
                  <w:vAlign w:val="center"/>
                </w:tcPr>
                <w:p w14:paraId="6313038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59CAFA5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ign w:val="center"/>
                </w:tcPr>
                <w:p w14:paraId="158F0C05">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795699F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75BAE1B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995" w:type="pct"/>
                  <w:tcBorders>
                    <w:tl2br w:val="nil"/>
                    <w:tr2bl w:val="nil"/>
                  </w:tcBorders>
                  <w:shd w:val="clear" w:color="auto" w:fill="auto"/>
                  <w:noWrap w:val="0"/>
                  <w:vAlign w:val="center"/>
                </w:tcPr>
                <w:p w14:paraId="64B0424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热风炉控制柜</w:t>
                  </w:r>
                </w:p>
              </w:tc>
              <w:tc>
                <w:tcPr>
                  <w:tcW w:w="843" w:type="pct"/>
                  <w:tcBorders>
                    <w:tl2br w:val="nil"/>
                    <w:tr2bl w:val="nil"/>
                  </w:tcBorders>
                  <w:shd w:val="clear" w:color="auto" w:fill="auto"/>
                  <w:noWrap w:val="0"/>
                  <w:vAlign w:val="center"/>
                </w:tcPr>
                <w:p w14:paraId="59803BD4">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119" w:type="pct"/>
                  <w:tcBorders>
                    <w:tl2br w:val="nil"/>
                    <w:tr2bl w:val="nil"/>
                  </w:tcBorders>
                  <w:shd w:val="clear" w:color="auto" w:fill="auto"/>
                  <w:noWrap w:val="0"/>
                  <w:vAlign w:val="center"/>
                </w:tcPr>
                <w:p w14:paraId="0DFD97AD">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482" w:type="pct"/>
                  <w:gridSpan w:val="2"/>
                  <w:tcBorders>
                    <w:tl2br w:val="nil"/>
                    <w:tr2bl w:val="nil"/>
                  </w:tcBorders>
                  <w:shd w:val="clear" w:color="auto" w:fill="auto"/>
                  <w:noWrap w:val="0"/>
                  <w:vAlign w:val="center"/>
                </w:tcPr>
                <w:p w14:paraId="6BC9DE5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42D4077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ign w:val="center"/>
                </w:tcPr>
                <w:p w14:paraId="119D8459">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750F09D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447A0C9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95" w:type="pct"/>
                  <w:tcBorders>
                    <w:tl2br w:val="nil"/>
                    <w:tr2bl w:val="nil"/>
                  </w:tcBorders>
                  <w:shd w:val="clear" w:color="auto" w:fill="auto"/>
                  <w:noWrap w:val="0"/>
                  <w:vAlign w:val="center"/>
                </w:tcPr>
                <w:p w14:paraId="05D6B5B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除尘器PLC控制柜</w:t>
                  </w:r>
                </w:p>
              </w:tc>
              <w:tc>
                <w:tcPr>
                  <w:tcW w:w="843" w:type="pct"/>
                  <w:tcBorders>
                    <w:tl2br w:val="nil"/>
                    <w:tr2bl w:val="nil"/>
                  </w:tcBorders>
                  <w:shd w:val="clear" w:color="auto" w:fill="auto"/>
                  <w:noWrap w:val="0"/>
                  <w:vAlign w:val="center"/>
                </w:tcPr>
                <w:p w14:paraId="21EE95DD">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119" w:type="pct"/>
                  <w:tcBorders>
                    <w:tl2br w:val="nil"/>
                    <w:tr2bl w:val="nil"/>
                  </w:tcBorders>
                  <w:shd w:val="clear" w:color="auto" w:fill="auto"/>
                  <w:noWrap w:val="0"/>
                  <w:vAlign w:val="center"/>
                </w:tcPr>
                <w:p w14:paraId="221F4856">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482" w:type="pct"/>
                  <w:gridSpan w:val="2"/>
                  <w:tcBorders>
                    <w:tl2br w:val="nil"/>
                    <w:tr2bl w:val="nil"/>
                  </w:tcBorders>
                  <w:shd w:val="clear" w:color="auto" w:fill="auto"/>
                  <w:noWrap w:val="0"/>
                  <w:vAlign w:val="center"/>
                </w:tcPr>
                <w:p w14:paraId="3C77B00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527" w:type="pct"/>
                  <w:tcBorders>
                    <w:tl2br w:val="nil"/>
                    <w:tr2bl w:val="nil"/>
                  </w:tcBorders>
                  <w:shd w:val="clear" w:color="auto" w:fill="auto"/>
                  <w:noWrap w:val="0"/>
                  <w:vAlign w:val="center"/>
                </w:tcPr>
                <w:p w14:paraId="5B830CB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ign w:val="center"/>
                </w:tcPr>
                <w:p w14:paraId="29ADD351">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0286A7D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25D6886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995" w:type="pct"/>
                  <w:vMerge w:val="restart"/>
                  <w:tcBorders>
                    <w:tl2br w:val="nil"/>
                    <w:tr2bl w:val="nil"/>
                  </w:tcBorders>
                  <w:shd w:val="clear" w:color="auto" w:fill="auto"/>
                  <w:noWrap w:val="0"/>
                  <w:vAlign w:val="center"/>
                </w:tcPr>
                <w:p w14:paraId="16DF04B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必要的传感器和检测元件包</w:t>
                  </w:r>
                </w:p>
              </w:tc>
              <w:tc>
                <w:tcPr>
                  <w:tcW w:w="843" w:type="pct"/>
                  <w:tcBorders>
                    <w:tl2br w:val="nil"/>
                    <w:tr2bl w:val="nil"/>
                  </w:tcBorders>
                  <w:shd w:val="clear" w:color="auto" w:fill="auto"/>
                  <w:noWrap w:val="0"/>
                  <w:vAlign w:val="center"/>
                </w:tcPr>
                <w:p w14:paraId="522CD8A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压力变送器</w:t>
                  </w:r>
                </w:p>
              </w:tc>
              <w:tc>
                <w:tcPr>
                  <w:tcW w:w="1119" w:type="pct"/>
                  <w:tcBorders>
                    <w:tl2br w:val="nil"/>
                    <w:tr2bl w:val="nil"/>
                  </w:tcBorders>
                  <w:shd w:val="clear" w:color="auto" w:fill="auto"/>
                  <w:noWrap w:val="0"/>
                  <w:vAlign w:val="center"/>
                </w:tcPr>
                <w:p w14:paraId="1DC667D3">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482" w:type="pct"/>
                  <w:gridSpan w:val="2"/>
                  <w:tcBorders>
                    <w:tl2br w:val="nil"/>
                    <w:tr2bl w:val="nil"/>
                  </w:tcBorders>
                  <w:shd w:val="clear" w:color="auto" w:fill="auto"/>
                  <w:noWrap w:val="0"/>
                  <w:vAlign w:val="center"/>
                </w:tcPr>
                <w:p w14:paraId="6749682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支</w:t>
                  </w:r>
                </w:p>
              </w:tc>
              <w:tc>
                <w:tcPr>
                  <w:tcW w:w="527" w:type="pct"/>
                  <w:tcBorders>
                    <w:tl2br w:val="nil"/>
                    <w:tr2bl w:val="nil"/>
                  </w:tcBorders>
                  <w:shd w:val="clear" w:color="auto" w:fill="auto"/>
                  <w:noWrap w:val="0"/>
                  <w:vAlign w:val="center"/>
                </w:tcPr>
                <w:p w14:paraId="6F92BDF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93" w:type="pct"/>
                  <w:gridSpan w:val="2"/>
                  <w:tcBorders>
                    <w:tl2br w:val="nil"/>
                    <w:tr2bl w:val="nil"/>
                  </w:tcBorders>
                  <w:shd w:val="clear" w:color="auto" w:fill="auto"/>
                  <w:noWrap w:val="0"/>
                  <w:vAlign w:val="center"/>
                </w:tcPr>
                <w:p w14:paraId="7E45A02E">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5E53889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7FACA69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995" w:type="pct"/>
                  <w:vMerge w:val="continue"/>
                  <w:tcBorders>
                    <w:tl2br w:val="nil"/>
                    <w:tr2bl w:val="nil"/>
                  </w:tcBorders>
                  <w:shd w:val="clear" w:color="auto" w:fill="auto"/>
                  <w:noWrap w:val="0"/>
                  <w:vAlign w:val="center"/>
                </w:tcPr>
                <w:p w14:paraId="0EBAADB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p>
              </w:tc>
              <w:tc>
                <w:tcPr>
                  <w:tcW w:w="843" w:type="pct"/>
                  <w:tcBorders>
                    <w:tl2br w:val="nil"/>
                    <w:tr2bl w:val="nil"/>
                  </w:tcBorders>
                  <w:shd w:val="clear" w:color="auto" w:fill="auto"/>
                  <w:noWrap w:val="0"/>
                  <w:vAlign w:val="center"/>
                </w:tcPr>
                <w:p w14:paraId="1ACEA51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温度变送器</w:t>
                  </w:r>
                </w:p>
              </w:tc>
              <w:tc>
                <w:tcPr>
                  <w:tcW w:w="1119" w:type="pct"/>
                  <w:tcBorders>
                    <w:tl2br w:val="nil"/>
                    <w:tr2bl w:val="nil"/>
                  </w:tcBorders>
                  <w:shd w:val="clear" w:color="auto" w:fill="auto"/>
                  <w:noWrap w:val="0"/>
                  <w:vAlign w:val="center"/>
                </w:tcPr>
                <w:p w14:paraId="34AF59F7">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482" w:type="pct"/>
                  <w:gridSpan w:val="2"/>
                  <w:tcBorders>
                    <w:tl2br w:val="nil"/>
                    <w:tr2bl w:val="nil"/>
                  </w:tcBorders>
                  <w:shd w:val="clear" w:color="auto" w:fill="auto"/>
                  <w:noWrap w:val="0"/>
                  <w:vAlign w:val="center"/>
                </w:tcPr>
                <w:p w14:paraId="20EF8E1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支</w:t>
                  </w:r>
                </w:p>
              </w:tc>
              <w:tc>
                <w:tcPr>
                  <w:tcW w:w="527" w:type="pct"/>
                  <w:tcBorders>
                    <w:tl2br w:val="nil"/>
                    <w:tr2bl w:val="nil"/>
                  </w:tcBorders>
                  <w:shd w:val="clear" w:color="auto" w:fill="auto"/>
                  <w:noWrap w:val="0"/>
                  <w:vAlign w:val="center"/>
                </w:tcPr>
                <w:p w14:paraId="6AE6EB0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693" w:type="pct"/>
                  <w:gridSpan w:val="2"/>
                  <w:tcBorders>
                    <w:tl2br w:val="nil"/>
                    <w:tr2bl w:val="nil"/>
                  </w:tcBorders>
                  <w:shd w:val="clear" w:color="auto" w:fill="auto"/>
                  <w:noWrap w:val="0"/>
                  <w:vAlign w:val="center"/>
                </w:tcPr>
                <w:p w14:paraId="770795C5">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72C8680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219AC93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995" w:type="pct"/>
                  <w:vMerge w:val="continue"/>
                  <w:tcBorders>
                    <w:tl2br w:val="nil"/>
                    <w:tr2bl w:val="nil"/>
                  </w:tcBorders>
                  <w:shd w:val="clear" w:color="auto" w:fill="auto"/>
                  <w:noWrap w:val="0"/>
                  <w:vAlign w:val="center"/>
                </w:tcPr>
                <w:p w14:paraId="0AD1389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p>
              </w:tc>
              <w:tc>
                <w:tcPr>
                  <w:tcW w:w="843" w:type="pct"/>
                  <w:tcBorders>
                    <w:tl2br w:val="nil"/>
                    <w:tr2bl w:val="nil"/>
                  </w:tcBorders>
                  <w:shd w:val="clear" w:color="auto" w:fill="auto"/>
                  <w:noWrap w:val="0"/>
                  <w:vAlign w:val="center"/>
                </w:tcPr>
                <w:p w14:paraId="5F74445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阻旋料位计</w:t>
                  </w:r>
                </w:p>
              </w:tc>
              <w:tc>
                <w:tcPr>
                  <w:tcW w:w="1119" w:type="pct"/>
                  <w:tcBorders>
                    <w:tl2br w:val="nil"/>
                    <w:tr2bl w:val="nil"/>
                  </w:tcBorders>
                  <w:shd w:val="clear" w:color="auto" w:fill="auto"/>
                  <w:noWrap w:val="0"/>
                  <w:vAlign w:val="center"/>
                </w:tcPr>
                <w:p w14:paraId="5D4C391E">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482" w:type="pct"/>
                  <w:gridSpan w:val="2"/>
                  <w:tcBorders>
                    <w:tl2br w:val="nil"/>
                    <w:tr2bl w:val="nil"/>
                  </w:tcBorders>
                  <w:shd w:val="clear" w:color="auto" w:fill="auto"/>
                  <w:noWrap w:val="0"/>
                  <w:vAlign w:val="center"/>
                </w:tcPr>
                <w:p w14:paraId="1F0131E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支</w:t>
                  </w:r>
                </w:p>
              </w:tc>
              <w:tc>
                <w:tcPr>
                  <w:tcW w:w="527" w:type="pct"/>
                  <w:tcBorders>
                    <w:tl2br w:val="nil"/>
                    <w:tr2bl w:val="nil"/>
                  </w:tcBorders>
                  <w:shd w:val="clear" w:color="auto" w:fill="auto"/>
                  <w:noWrap w:val="0"/>
                  <w:vAlign w:val="center"/>
                </w:tcPr>
                <w:p w14:paraId="43659F3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693" w:type="pct"/>
                  <w:gridSpan w:val="2"/>
                  <w:tcBorders>
                    <w:tl2br w:val="nil"/>
                    <w:tr2bl w:val="nil"/>
                  </w:tcBorders>
                  <w:shd w:val="clear" w:color="auto" w:fill="auto"/>
                  <w:noWrap w:val="0"/>
                  <w:vAlign w:val="center"/>
                </w:tcPr>
                <w:p w14:paraId="0EC978D4">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3B1A49F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337" w:type="pct"/>
                  <w:tcBorders>
                    <w:tl2br w:val="nil"/>
                    <w:tr2bl w:val="nil"/>
                  </w:tcBorders>
                  <w:shd w:val="clear" w:color="auto" w:fill="auto"/>
                  <w:noWrap w:val="0"/>
                  <w:vAlign w:val="center"/>
                </w:tcPr>
                <w:p w14:paraId="2D3A604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995" w:type="pct"/>
                  <w:vMerge w:val="continue"/>
                  <w:tcBorders>
                    <w:tl2br w:val="nil"/>
                    <w:tr2bl w:val="nil"/>
                  </w:tcBorders>
                  <w:shd w:val="clear" w:color="auto" w:fill="auto"/>
                  <w:noWrap w:val="0"/>
                  <w:vAlign w:val="center"/>
                </w:tcPr>
                <w:p w14:paraId="738BD74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p>
              </w:tc>
              <w:tc>
                <w:tcPr>
                  <w:tcW w:w="843" w:type="pct"/>
                  <w:tcBorders>
                    <w:tl2br w:val="nil"/>
                    <w:tr2bl w:val="nil"/>
                  </w:tcBorders>
                  <w:shd w:val="clear" w:color="auto" w:fill="auto"/>
                  <w:noWrap w:val="0"/>
                  <w:vAlign w:val="center"/>
                </w:tcPr>
                <w:p w14:paraId="61C377D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湿度变送器</w:t>
                  </w:r>
                </w:p>
              </w:tc>
              <w:tc>
                <w:tcPr>
                  <w:tcW w:w="1119" w:type="pct"/>
                  <w:tcBorders>
                    <w:tl2br w:val="nil"/>
                    <w:tr2bl w:val="nil"/>
                  </w:tcBorders>
                  <w:shd w:val="clear" w:color="auto" w:fill="auto"/>
                  <w:noWrap w:val="0"/>
                  <w:vAlign w:val="center"/>
                </w:tcPr>
                <w:p w14:paraId="4BD1081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482" w:type="pct"/>
                  <w:gridSpan w:val="2"/>
                  <w:tcBorders>
                    <w:tl2br w:val="nil"/>
                    <w:tr2bl w:val="nil"/>
                  </w:tcBorders>
                  <w:shd w:val="clear" w:color="auto" w:fill="auto"/>
                  <w:noWrap w:val="0"/>
                  <w:vAlign w:val="center"/>
                </w:tcPr>
                <w:p w14:paraId="5EBF4E6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支</w:t>
                  </w:r>
                </w:p>
              </w:tc>
              <w:tc>
                <w:tcPr>
                  <w:tcW w:w="527" w:type="pct"/>
                  <w:tcBorders>
                    <w:tl2br w:val="nil"/>
                    <w:tr2bl w:val="nil"/>
                  </w:tcBorders>
                  <w:shd w:val="clear" w:color="auto" w:fill="auto"/>
                  <w:noWrap w:val="0"/>
                  <w:vAlign w:val="center"/>
                </w:tcPr>
                <w:p w14:paraId="535AC69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3" w:type="pct"/>
                  <w:gridSpan w:val="2"/>
                  <w:tcBorders>
                    <w:tl2br w:val="nil"/>
                    <w:tr2bl w:val="nil"/>
                  </w:tcBorders>
                  <w:shd w:val="clear" w:color="auto" w:fill="auto"/>
                  <w:noWrap w:val="0"/>
                  <w:vAlign w:val="center"/>
                </w:tcPr>
                <w:p w14:paraId="00D0EF9D">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bl>
          <w:p w14:paraId="4990F154">
            <w:pPr>
              <w:tabs>
                <w:tab w:val="left" w:pos="676"/>
              </w:tabs>
              <w:wordWrap w:val="0"/>
              <w:spacing w:line="240" w:lineRule="auto"/>
              <w:jc w:val="center"/>
              <w:rPr>
                <w:b w:val="0"/>
                <w:bCs/>
                <w:szCs w:val="21"/>
              </w:rPr>
            </w:pPr>
          </w:p>
          <w:p w14:paraId="2D351D5F">
            <w:pPr>
              <w:numPr>
                <w:ilvl w:val="0"/>
                <w:numId w:val="4"/>
              </w:numPr>
              <w:tabs>
                <w:tab w:val="left" w:pos="0"/>
              </w:tabs>
              <w:wordWrap w:val="0"/>
              <w:ind w:left="0" w:firstLine="0"/>
              <w:jc w:val="center"/>
              <w:rPr>
                <w:rFonts w:hint="default" w:ascii="Times New Roman" w:hAnsi="Times New Roman" w:eastAsia="宋体" w:cs="Times New Roman"/>
                <w:b/>
                <w:bCs w:val="0"/>
                <w:szCs w:val="21"/>
              </w:rPr>
            </w:pPr>
            <w:r>
              <w:rPr>
                <w:rFonts w:hint="default" w:ascii="Times New Roman" w:hAnsi="Times New Roman" w:eastAsia="宋体" w:cs="Times New Roman"/>
                <w:b/>
                <w:bCs w:val="0"/>
                <w:szCs w:val="21"/>
                <w:lang w:val="en-US" w:eastAsia="zh-CN"/>
              </w:rPr>
              <w:t>DGR4000环保型整体式沥青搅拌设备一览表</w:t>
            </w:r>
          </w:p>
          <w:tbl>
            <w:tblPr>
              <w:tblStyle w:val="26"/>
              <w:tblW w:w="4942"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Layout w:type="fixed"/>
              <w:tblCellMar>
                <w:top w:w="0" w:type="dxa"/>
                <w:left w:w="108" w:type="dxa"/>
                <w:bottom w:w="0" w:type="dxa"/>
                <w:right w:w="108" w:type="dxa"/>
              </w:tblCellMar>
            </w:tblPr>
            <w:tblGrid>
              <w:gridCol w:w="657"/>
              <w:gridCol w:w="1350"/>
              <w:gridCol w:w="2296"/>
              <w:gridCol w:w="996"/>
              <w:gridCol w:w="3"/>
              <w:gridCol w:w="1493"/>
              <w:gridCol w:w="1238"/>
            </w:tblGrid>
            <w:tr w14:paraId="07C74C0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1A31F19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编号</w:t>
                  </w:r>
                </w:p>
              </w:tc>
              <w:tc>
                <w:tcPr>
                  <w:tcW w:w="840" w:type="pct"/>
                  <w:tcBorders>
                    <w:tl2br w:val="nil"/>
                    <w:tr2bl w:val="nil"/>
                  </w:tcBorders>
                  <w:shd w:val="clear" w:color="auto" w:fill="auto"/>
                  <w:noWrap w:val="0"/>
                  <w:vAlign w:val="center"/>
                </w:tcPr>
                <w:p w14:paraId="6BA34CB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名称</w:t>
                  </w:r>
                </w:p>
              </w:tc>
              <w:tc>
                <w:tcPr>
                  <w:tcW w:w="1429" w:type="pct"/>
                  <w:tcBorders>
                    <w:tl2br w:val="nil"/>
                    <w:tr2bl w:val="nil"/>
                  </w:tcBorders>
                  <w:shd w:val="clear" w:color="auto" w:fill="auto"/>
                  <w:noWrap w:val="0"/>
                  <w:vAlign w:val="center"/>
                </w:tcPr>
                <w:p w14:paraId="5273956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i w:val="0"/>
                      <w:iCs w:val="0"/>
                      <w:color w:val="000000"/>
                      <w:sz w:val="21"/>
                      <w:szCs w:val="21"/>
                      <w:u w:val="none"/>
                    </w:rPr>
                  </w:pPr>
                  <w:r>
                    <w:rPr>
                      <w:rFonts w:hint="eastAsia" w:ascii="Times New Roman" w:hAnsi="Times New Roman" w:cs="Times New Roman"/>
                      <w:b/>
                      <w:bCs/>
                      <w:i w:val="0"/>
                      <w:iCs w:val="0"/>
                      <w:color w:val="000000"/>
                      <w:kern w:val="0"/>
                      <w:sz w:val="21"/>
                      <w:szCs w:val="21"/>
                      <w:u w:val="none"/>
                      <w:lang w:val="en-US" w:eastAsia="zh-CN" w:bidi="ar"/>
                    </w:rPr>
                    <w:t>设备</w:t>
                  </w:r>
                  <w:r>
                    <w:rPr>
                      <w:rFonts w:hint="default" w:ascii="Times New Roman" w:hAnsi="Times New Roman" w:eastAsia="宋体" w:cs="Times New Roman"/>
                      <w:b/>
                      <w:bCs/>
                      <w:i w:val="0"/>
                      <w:iCs w:val="0"/>
                      <w:color w:val="000000"/>
                      <w:kern w:val="0"/>
                      <w:sz w:val="21"/>
                      <w:szCs w:val="21"/>
                      <w:u w:val="none"/>
                      <w:lang w:val="en-US" w:eastAsia="zh-CN" w:bidi="ar"/>
                    </w:rPr>
                    <w:t>型号</w:t>
                  </w:r>
                </w:p>
              </w:tc>
              <w:tc>
                <w:tcPr>
                  <w:tcW w:w="619" w:type="pct"/>
                  <w:tcBorders>
                    <w:tl2br w:val="nil"/>
                    <w:tr2bl w:val="nil"/>
                  </w:tcBorders>
                  <w:shd w:val="clear" w:color="auto" w:fill="auto"/>
                  <w:noWrap w:val="0"/>
                  <w:vAlign w:val="center"/>
                </w:tcPr>
                <w:p w14:paraId="551F472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数量</w:t>
                  </w:r>
                </w:p>
              </w:tc>
              <w:tc>
                <w:tcPr>
                  <w:tcW w:w="931" w:type="pct"/>
                  <w:gridSpan w:val="2"/>
                  <w:tcBorders>
                    <w:tl2br w:val="nil"/>
                    <w:tr2bl w:val="nil"/>
                  </w:tcBorders>
                  <w:shd w:val="clear" w:color="auto" w:fill="auto"/>
                  <w:noWrap w:val="0"/>
                  <w:vAlign w:val="center"/>
                </w:tcPr>
                <w:p w14:paraId="588A82F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单台功率k</w:t>
                  </w:r>
                  <w:r>
                    <w:rPr>
                      <w:rFonts w:hint="eastAsia" w:ascii="Times New Roman" w:hAnsi="Times New Roman" w:eastAsia="宋体" w:cs="Times New Roman"/>
                      <w:b/>
                      <w:bCs/>
                      <w:i w:val="0"/>
                      <w:iCs w:val="0"/>
                      <w:color w:val="000000"/>
                      <w:kern w:val="0"/>
                      <w:sz w:val="21"/>
                      <w:szCs w:val="21"/>
                      <w:u w:val="none"/>
                      <w:lang w:val="en-US" w:eastAsia="zh-CN" w:bidi="ar"/>
                    </w:rPr>
                    <w:t>W</w:t>
                  </w:r>
                </w:p>
              </w:tc>
              <w:tc>
                <w:tcPr>
                  <w:tcW w:w="770" w:type="pct"/>
                  <w:tcBorders>
                    <w:tl2br w:val="nil"/>
                    <w:tr2bl w:val="nil"/>
                  </w:tcBorders>
                  <w:shd w:val="clear" w:color="auto" w:fill="auto"/>
                  <w:noWrap w:val="0"/>
                  <w:vAlign w:val="center"/>
                </w:tcPr>
                <w:p w14:paraId="000433A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b/>
                      <w:bCs/>
                      <w:i w:val="0"/>
                      <w:iCs w:val="0"/>
                      <w:color w:val="000000"/>
                      <w:sz w:val="21"/>
                      <w:szCs w:val="21"/>
                      <w:u w:val="none"/>
                      <w:lang w:val="en-US" w:eastAsia="zh-CN"/>
                    </w:rPr>
                  </w:pPr>
                  <w:r>
                    <w:rPr>
                      <w:rFonts w:hint="eastAsia" w:ascii="Times New Roman" w:hAnsi="Times New Roman" w:cs="Times New Roman"/>
                      <w:b/>
                      <w:bCs/>
                      <w:i w:val="0"/>
                      <w:iCs w:val="0"/>
                      <w:color w:val="000000"/>
                      <w:sz w:val="21"/>
                      <w:szCs w:val="21"/>
                      <w:u w:val="none"/>
                      <w:lang w:val="en-US" w:eastAsia="zh-CN"/>
                    </w:rPr>
                    <w:t>备注</w:t>
                  </w:r>
                </w:p>
              </w:tc>
            </w:tr>
            <w:tr w14:paraId="4EFFB5C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17083BB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b/>
                      <w:bCs/>
                      <w:i w:val="0"/>
                      <w:iCs w:val="0"/>
                      <w:color w:val="000000"/>
                      <w:sz w:val="21"/>
                      <w:szCs w:val="21"/>
                      <w:highlight w:val="none"/>
                      <w:u w:val="none"/>
                      <w:lang w:val="en-US" w:eastAsia="zh-CN"/>
                    </w:rPr>
                  </w:pPr>
                  <w:r>
                    <w:rPr>
                      <w:rFonts w:hint="eastAsia" w:ascii="Times New Roman" w:hAnsi="Times New Roman" w:cs="Times New Roman"/>
                      <w:b/>
                      <w:bCs/>
                      <w:i w:val="0"/>
                      <w:iCs w:val="0"/>
                      <w:color w:val="000000"/>
                      <w:sz w:val="21"/>
                      <w:szCs w:val="21"/>
                      <w:highlight w:val="none"/>
                      <w:u w:val="none"/>
                      <w:lang w:val="en-US" w:eastAsia="zh-CN"/>
                    </w:rPr>
                    <w:t>一</w:t>
                  </w:r>
                </w:p>
              </w:tc>
              <w:tc>
                <w:tcPr>
                  <w:tcW w:w="4591" w:type="pct"/>
                  <w:gridSpan w:val="6"/>
                  <w:tcBorders>
                    <w:tl2br w:val="nil"/>
                    <w:tr2bl w:val="nil"/>
                  </w:tcBorders>
                  <w:shd w:val="clear" w:color="auto" w:fill="auto"/>
                  <w:noWrap w:val="0"/>
                  <w:vAlign w:val="center"/>
                </w:tcPr>
                <w:p w14:paraId="14707BD2">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b/>
                      <w:bCs/>
                      <w:i w:val="0"/>
                      <w:iCs w:val="0"/>
                      <w:color w:val="000000"/>
                      <w:sz w:val="21"/>
                      <w:szCs w:val="21"/>
                      <w:highlight w:val="none"/>
                      <w:u w:val="none"/>
                      <w:lang w:val="en-US" w:eastAsia="zh-CN"/>
                    </w:rPr>
                  </w:pPr>
                  <w:r>
                    <w:rPr>
                      <w:rFonts w:hint="default" w:ascii="Times New Roman" w:hAnsi="Times New Roman" w:eastAsia="宋体" w:cs="Times New Roman"/>
                      <w:b/>
                      <w:bCs/>
                      <w:i w:val="0"/>
                      <w:iCs w:val="0"/>
                      <w:color w:val="000000"/>
                      <w:sz w:val="21"/>
                      <w:szCs w:val="21"/>
                      <w:highlight w:val="none"/>
                      <w:u w:val="none"/>
                    </w:rPr>
                    <w:t>再生烘干系统</w:t>
                  </w:r>
                </w:p>
              </w:tc>
            </w:tr>
            <w:tr w14:paraId="197DB77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4CF2777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840" w:type="pct"/>
                  <w:tcBorders>
                    <w:tl2br w:val="nil"/>
                    <w:tr2bl w:val="nil"/>
                  </w:tcBorders>
                  <w:shd w:val="clear" w:color="auto" w:fill="auto"/>
                  <w:noWrap w:val="0"/>
                  <w:vAlign w:val="center"/>
                </w:tcPr>
                <w:p w14:paraId="7EB1867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干燥筒</w:t>
                  </w:r>
                </w:p>
              </w:tc>
              <w:tc>
                <w:tcPr>
                  <w:tcW w:w="1429" w:type="pct"/>
                  <w:tcBorders>
                    <w:tl2br w:val="nil"/>
                    <w:tr2bl w:val="nil"/>
                  </w:tcBorders>
                  <w:shd w:val="clear" w:color="auto" w:fill="auto"/>
                  <w:noWrap w:val="0"/>
                  <w:vAlign w:val="center"/>
                </w:tcPr>
                <w:p w14:paraId="6D6B11B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1LE0003-1EB23-3FA4</w:t>
                  </w:r>
                </w:p>
              </w:tc>
              <w:tc>
                <w:tcPr>
                  <w:tcW w:w="619" w:type="pct"/>
                  <w:tcBorders>
                    <w:tl2br w:val="nil"/>
                    <w:tr2bl w:val="nil"/>
                  </w:tcBorders>
                  <w:shd w:val="clear" w:color="auto" w:fill="auto"/>
                  <w:noWrap w:val="0"/>
                  <w:vAlign w:val="center"/>
                </w:tcPr>
                <w:p w14:paraId="394D8A5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4</w:t>
                  </w:r>
                </w:p>
              </w:tc>
              <w:tc>
                <w:tcPr>
                  <w:tcW w:w="931" w:type="pct"/>
                  <w:gridSpan w:val="2"/>
                  <w:tcBorders>
                    <w:tl2br w:val="nil"/>
                    <w:tr2bl w:val="nil"/>
                  </w:tcBorders>
                  <w:shd w:val="clear" w:color="auto" w:fill="auto"/>
                  <w:noWrap w:val="0"/>
                  <w:vAlign w:val="center"/>
                </w:tcPr>
                <w:p w14:paraId="4098804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18.50</w:t>
                  </w:r>
                </w:p>
              </w:tc>
              <w:tc>
                <w:tcPr>
                  <w:tcW w:w="770" w:type="pct"/>
                  <w:tcBorders>
                    <w:tl2br w:val="nil"/>
                    <w:tr2bl w:val="nil"/>
                  </w:tcBorders>
                  <w:shd w:val="clear" w:color="auto" w:fill="auto"/>
                  <w:noWrap w:val="0"/>
                  <w:vAlign w:val="center"/>
                </w:tcPr>
                <w:p w14:paraId="120BC8A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3AA5E12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4F7E687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2</w:t>
                  </w:r>
                </w:p>
              </w:tc>
              <w:tc>
                <w:tcPr>
                  <w:tcW w:w="840" w:type="pct"/>
                  <w:tcBorders>
                    <w:tl2br w:val="nil"/>
                    <w:tr2bl w:val="nil"/>
                  </w:tcBorders>
                  <w:shd w:val="clear" w:color="auto" w:fill="auto"/>
                  <w:noWrap w:val="0"/>
                  <w:vAlign w:val="center"/>
                </w:tcPr>
                <w:p w14:paraId="0D3ED90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引风机</w:t>
                  </w:r>
                </w:p>
              </w:tc>
              <w:tc>
                <w:tcPr>
                  <w:tcW w:w="1429" w:type="pct"/>
                  <w:tcBorders>
                    <w:tl2br w:val="nil"/>
                    <w:tr2bl w:val="nil"/>
                  </w:tcBorders>
                  <w:shd w:val="clear" w:color="auto" w:fill="auto"/>
                  <w:noWrap w:val="0"/>
                  <w:vAlign w:val="center"/>
                </w:tcPr>
                <w:p w14:paraId="5078C98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0001-2BB03-3JA4</w:t>
                  </w:r>
                </w:p>
              </w:tc>
              <w:tc>
                <w:tcPr>
                  <w:tcW w:w="619" w:type="pct"/>
                  <w:tcBorders>
                    <w:tl2br w:val="nil"/>
                    <w:tr2bl w:val="nil"/>
                  </w:tcBorders>
                  <w:shd w:val="clear" w:color="auto" w:fill="auto"/>
                  <w:noWrap w:val="0"/>
                  <w:vAlign w:val="center"/>
                </w:tcPr>
                <w:p w14:paraId="7FD937F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931" w:type="pct"/>
                  <w:gridSpan w:val="2"/>
                  <w:tcBorders>
                    <w:tl2br w:val="nil"/>
                    <w:tr2bl w:val="nil"/>
                  </w:tcBorders>
                  <w:shd w:val="clear" w:color="auto" w:fill="auto"/>
                  <w:noWrap w:val="0"/>
                  <w:vAlign w:val="center"/>
                </w:tcPr>
                <w:p w14:paraId="38BDFDA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37.00</w:t>
                  </w:r>
                </w:p>
              </w:tc>
              <w:tc>
                <w:tcPr>
                  <w:tcW w:w="770" w:type="pct"/>
                  <w:tcBorders>
                    <w:tl2br w:val="nil"/>
                    <w:tr2bl w:val="nil"/>
                  </w:tcBorders>
                  <w:shd w:val="clear" w:color="auto" w:fill="auto"/>
                  <w:noWrap w:val="0"/>
                  <w:vAlign w:val="center"/>
                </w:tcPr>
                <w:p w14:paraId="3AD885A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383E021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71265C3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3</w:t>
                  </w:r>
                </w:p>
              </w:tc>
              <w:tc>
                <w:tcPr>
                  <w:tcW w:w="840" w:type="pct"/>
                  <w:tcBorders>
                    <w:tl2br w:val="nil"/>
                    <w:tr2bl w:val="nil"/>
                  </w:tcBorders>
                  <w:shd w:val="clear" w:color="auto" w:fill="auto"/>
                  <w:noWrap w:val="0"/>
                  <w:vAlign w:val="center"/>
                </w:tcPr>
                <w:p w14:paraId="27E51A6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鼓风机</w:t>
                  </w:r>
                </w:p>
              </w:tc>
              <w:tc>
                <w:tcPr>
                  <w:tcW w:w="1429" w:type="pct"/>
                  <w:tcBorders>
                    <w:tl2br w:val="nil"/>
                    <w:tr2bl w:val="nil"/>
                  </w:tcBorders>
                  <w:shd w:val="clear" w:color="auto" w:fill="auto"/>
                  <w:noWrap w:val="0"/>
                  <w:vAlign w:val="center"/>
                </w:tcPr>
                <w:p w14:paraId="558D3D1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YE2-225M-2</w:t>
                  </w:r>
                </w:p>
              </w:tc>
              <w:tc>
                <w:tcPr>
                  <w:tcW w:w="619" w:type="pct"/>
                  <w:tcBorders>
                    <w:tl2br w:val="nil"/>
                    <w:tr2bl w:val="nil"/>
                  </w:tcBorders>
                  <w:shd w:val="clear" w:color="auto" w:fill="auto"/>
                  <w:noWrap w:val="0"/>
                  <w:vAlign w:val="center"/>
                </w:tcPr>
                <w:p w14:paraId="799D700E">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931" w:type="pct"/>
                  <w:gridSpan w:val="2"/>
                  <w:tcBorders>
                    <w:tl2br w:val="nil"/>
                    <w:tr2bl w:val="nil"/>
                  </w:tcBorders>
                  <w:shd w:val="clear" w:color="auto" w:fill="auto"/>
                  <w:noWrap w:val="0"/>
                  <w:vAlign w:val="center"/>
                </w:tcPr>
                <w:p w14:paraId="758DC80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45.00</w:t>
                  </w:r>
                </w:p>
              </w:tc>
              <w:tc>
                <w:tcPr>
                  <w:tcW w:w="770" w:type="pct"/>
                  <w:tcBorders>
                    <w:tl2br w:val="nil"/>
                    <w:tr2bl w:val="nil"/>
                  </w:tcBorders>
                  <w:shd w:val="clear" w:color="auto" w:fill="auto"/>
                  <w:noWrap w:val="0"/>
                  <w:vAlign w:val="center"/>
                </w:tcPr>
                <w:p w14:paraId="26A35B3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2621D77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489BE0D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4</w:t>
                  </w:r>
                </w:p>
              </w:tc>
              <w:tc>
                <w:tcPr>
                  <w:tcW w:w="840" w:type="pct"/>
                  <w:tcBorders>
                    <w:tl2br w:val="nil"/>
                    <w:tr2bl w:val="nil"/>
                  </w:tcBorders>
                  <w:shd w:val="clear" w:color="auto" w:fill="auto"/>
                  <w:noWrap w:val="0"/>
                  <w:vAlign w:val="center"/>
                </w:tcPr>
                <w:p w14:paraId="2EE9F9B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骨料提升机</w:t>
                  </w:r>
                </w:p>
              </w:tc>
              <w:tc>
                <w:tcPr>
                  <w:tcW w:w="1429" w:type="pct"/>
                  <w:tcBorders>
                    <w:tl2br w:val="nil"/>
                    <w:tr2bl w:val="nil"/>
                  </w:tcBorders>
                  <w:shd w:val="clear" w:color="auto" w:fill="auto"/>
                  <w:noWrap w:val="0"/>
                  <w:vAlign w:val="center"/>
                </w:tcPr>
                <w:p w14:paraId="1777561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1LE0001-2AB43-3AA4</w:t>
                  </w:r>
                </w:p>
              </w:tc>
              <w:tc>
                <w:tcPr>
                  <w:tcW w:w="619" w:type="pct"/>
                  <w:tcBorders>
                    <w:tl2br w:val="nil"/>
                    <w:tr2bl w:val="nil"/>
                  </w:tcBorders>
                  <w:shd w:val="clear" w:color="auto" w:fill="auto"/>
                  <w:noWrap w:val="0"/>
                  <w:vAlign w:val="center"/>
                </w:tcPr>
                <w:p w14:paraId="61C4E2C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cs="Times New Roman"/>
                      <w:i w:val="0"/>
                      <w:iCs w:val="0"/>
                      <w:color w:val="000000"/>
                      <w:sz w:val="21"/>
                      <w:szCs w:val="21"/>
                      <w:u w:val="none"/>
                      <w:lang w:val="en-US" w:eastAsia="zh-CN"/>
                    </w:rPr>
                    <w:t>1</w:t>
                  </w:r>
                </w:p>
              </w:tc>
              <w:tc>
                <w:tcPr>
                  <w:tcW w:w="931" w:type="pct"/>
                  <w:gridSpan w:val="2"/>
                  <w:tcBorders>
                    <w:tl2br w:val="nil"/>
                    <w:tr2bl w:val="nil"/>
                  </w:tcBorders>
                  <w:shd w:val="clear" w:color="auto" w:fill="auto"/>
                  <w:noWrap w:val="0"/>
                  <w:vAlign w:val="center"/>
                </w:tcPr>
                <w:p w14:paraId="35EB91C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30.00</w:t>
                  </w:r>
                </w:p>
              </w:tc>
              <w:tc>
                <w:tcPr>
                  <w:tcW w:w="770" w:type="pct"/>
                  <w:tcBorders>
                    <w:tl2br w:val="nil"/>
                    <w:tr2bl w:val="nil"/>
                  </w:tcBorders>
                  <w:shd w:val="clear" w:color="auto" w:fill="auto"/>
                  <w:noWrap w:val="0"/>
                  <w:vAlign w:val="center"/>
                </w:tcPr>
                <w:p w14:paraId="18875A9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09E4377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90" w:hRule="atLeast"/>
                <w:jc w:val="center"/>
              </w:trPr>
              <w:tc>
                <w:tcPr>
                  <w:tcW w:w="408" w:type="pct"/>
                  <w:tcBorders>
                    <w:tl2br w:val="nil"/>
                    <w:tr2bl w:val="nil"/>
                  </w:tcBorders>
                  <w:shd w:val="clear" w:color="auto" w:fill="auto"/>
                  <w:noWrap w:val="0"/>
                  <w:vAlign w:val="center"/>
                </w:tcPr>
                <w:p w14:paraId="71E71F4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5</w:t>
                  </w:r>
                </w:p>
              </w:tc>
              <w:tc>
                <w:tcPr>
                  <w:tcW w:w="840" w:type="pct"/>
                  <w:tcBorders>
                    <w:tl2br w:val="nil"/>
                    <w:tr2bl w:val="nil"/>
                  </w:tcBorders>
                  <w:shd w:val="clear" w:color="auto" w:fill="auto"/>
                  <w:noWrap w:val="0"/>
                  <w:vAlign w:val="center"/>
                </w:tcPr>
                <w:p w14:paraId="487F228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平皮带</w:t>
                  </w:r>
                </w:p>
              </w:tc>
              <w:tc>
                <w:tcPr>
                  <w:tcW w:w="1429" w:type="pct"/>
                  <w:tcBorders>
                    <w:tl2br w:val="nil"/>
                    <w:tr2bl w:val="nil"/>
                  </w:tcBorders>
                  <w:shd w:val="clear" w:color="auto" w:fill="auto"/>
                  <w:noWrap w:val="0"/>
                  <w:vAlign w:val="center"/>
                </w:tcPr>
                <w:p w14:paraId="4335DBD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1LE0002-1CB23-3FA4</w:t>
                  </w:r>
                </w:p>
              </w:tc>
              <w:tc>
                <w:tcPr>
                  <w:tcW w:w="619" w:type="pct"/>
                  <w:tcBorders>
                    <w:tl2br w:val="nil"/>
                    <w:tr2bl w:val="nil"/>
                  </w:tcBorders>
                  <w:shd w:val="clear" w:color="auto" w:fill="auto"/>
                  <w:noWrap w:val="0"/>
                  <w:vAlign w:val="center"/>
                </w:tcPr>
                <w:p w14:paraId="5AF301C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cs="Times New Roman"/>
                      <w:i w:val="0"/>
                      <w:iCs w:val="0"/>
                      <w:color w:val="000000"/>
                      <w:sz w:val="21"/>
                      <w:szCs w:val="21"/>
                      <w:u w:val="none"/>
                      <w:lang w:val="en-US" w:eastAsia="zh-CN"/>
                    </w:rPr>
                    <w:t>1</w:t>
                  </w:r>
                </w:p>
              </w:tc>
              <w:tc>
                <w:tcPr>
                  <w:tcW w:w="931" w:type="pct"/>
                  <w:gridSpan w:val="2"/>
                  <w:tcBorders>
                    <w:tl2br w:val="nil"/>
                    <w:tr2bl w:val="nil"/>
                  </w:tcBorders>
                  <w:shd w:val="clear" w:color="auto" w:fill="auto"/>
                  <w:noWrap w:val="0"/>
                  <w:vAlign w:val="center"/>
                </w:tcPr>
                <w:p w14:paraId="5C72203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7.50</w:t>
                  </w:r>
                </w:p>
              </w:tc>
              <w:tc>
                <w:tcPr>
                  <w:tcW w:w="770" w:type="pct"/>
                  <w:tcBorders>
                    <w:tl2br w:val="nil"/>
                    <w:tr2bl w:val="nil"/>
                  </w:tcBorders>
                  <w:shd w:val="clear" w:color="auto" w:fill="auto"/>
                  <w:noWrap w:val="0"/>
                  <w:vAlign w:val="center"/>
                </w:tcPr>
                <w:p w14:paraId="0F9129C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62E0D88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624AC4B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6</w:t>
                  </w:r>
                </w:p>
              </w:tc>
              <w:tc>
                <w:tcPr>
                  <w:tcW w:w="840" w:type="pct"/>
                  <w:tcBorders>
                    <w:tl2br w:val="nil"/>
                    <w:tr2bl w:val="nil"/>
                  </w:tcBorders>
                  <w:shd w:val="clear" w:color="auto" w:fill="auto"/>
                  <w:noWrap w:val="0"/>
                  <w:vAlign w:val="center"/>
                </w:tcPr>
                <w:p w14:paraId="5FF765E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斜皮带</w:t>
                  </w:r>
                </w:p>
              </w:tc>
              <w:tc>
                <w:tcPr>
                  <w:tcW w:w="1429" w:type="pct"/>
                  <w:tcBorders>
                    <w:tl2br w:val="nil"/>
                    <w:tr2bl w:val="nil"/>
                  </w:tcBorders>
                  <w:shd w:val="clear" w:color="auto" w:fill="auto"/>
                  <w:noWrap w:val="0"/>
                  <w:vAlign w:val="center"/>
                </w:tcPr>
                <w:p w14:paraId="36E657A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1LE0002-1CB23-3FA4</w:t>
                  </w:r>
                </w:p>
              </w:tc>
              <w:tc>
                <w:tcPr>
                  <w:tcW w:w="619" w:type="pct"/>
                  <w:tcBorders>
                    <w:tl2br w:val="nil"/>
                    <w:tr2bl w:val="nil"/>
                  </w:tcBorders>
                  <w:shd w:val="clear" w:color="auto" w:fill="auto"/>
                  <w:noWrap w:val="0"/>
                  <w:vAlign w:val="center"/>
                </w:tcPr>
                <w:p w14:paraId="3F0B79D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cs="Times New Roman"/>
                      <w:i w:val="0"/>
                      <w:iCs w:val="0"/>
                      <w:color w:val="000000"/>
                      <w:sz w:val="21"/>
                      <w:szCs w:val="21"/>
                      <w:u w:val="none"/>
                      <w:lang w:val="en-US" w:eastAsia="zh-CN"/>
                    </w:rPr>
                    <w:t>1</w:t>
                  </w:r>
                </w:p>
              </w:tc>
              <w:tc>
                <w:tcPr>
                  <w:tcW w:w="931" w:type="pct"/>
                  <w:gridSpan w:val="2"/>
                  <w:tcBorders>
                    <w:tl2br w:val="nil"/>
                    <w:tr2bl w:val="nil"/>
                  </w:tcBorders>
                  <w:shd w:val="clear" w:color="auto" w:fill="auto"/>
                  <w:noWrap w:val="0"/>
                  <w:vAlign w:val="center"/>
                </w:tcPr>
                <w:p w14:paraId="158F900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7.50</w:t>
                  </w:r>
                </w:p>
              </w:tc>
              <w:tc>
                <w:tcPr>
                  <w:tcW w:w="770" w:type="pct"/>
                  <w:tcBorders>
                    <w:tl2br w:val="nil"/>
                    <w:tr2bl w:val="nil"/>
                  </w:tcBorders>
                  <w:shd w:val="clear" w:color="auto" w:fill="auto"/>
                  <w:noWrap w:val="0"/>
                  <w:vAlign w:val="center"/>
                </w:tcPr>
                <w:p w14:paraId="5840200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2BD7F43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0B019E0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7</w:t>
                  </w:r>
                </w:p>
              </w:tc>
              <w:tc>
                <w:tcPr>
                  <w:tcW w:w="840" w:type="pct"/>
                  <w:tcBorders>
                    <w:tl2br w:val="nil"/>
                    <w:tr2bl w:val="nil"/>
                  </w:tcBorders>
                  <w:shd w:val="clear" w:color="auto" w:fill="auto"/>
                  <w:noWrap w:val="0"/>
                  <w:vAlign w:val="center"/>
                </w:tcPr>
                <w:p w14:paraId="611EC48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冷料仓</w:t>
                  </w:r>
                </w:p>
              </w:tc>
              <w:tc>
                <w:tcPr>
                  <w:tcW w:w="1429" w:type="pct"/>
                  <w:tcBorders>
                    <w:tl2br w:val="nil"/>
                    <w:tr2bl w:val="nil"/>
                  </w:tcBorders>
                  <w:shd w:val="clear" w:color="auto" w:fill="auto"/>
                  <w:noWrap w:val="0"/>
                  <w:vAlign w:val="center"/>
                </w:tcPr>
                <w:p w14:paraId="00C50C3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DV100L4</w:t>
                  </w:r>
                </w:p>
              </w:tc>
              <w:tc>
                <w:tcPr>
                  <w:tcW w:w="619" w:type="pct"/>
                  <w:tcBorders>
                    <w:tl2br w:val="nil"/>
                    <w:tr2bl w:val="nil"/>
                  </w:tcBorders>
                  <w:shd w:val="clear" w:color="auto" w:fill="auto"/>
                  <w:noWrap w:val="0"/>
                  <w:vAlign w:val="center"/>
                </w:tcPr>
                <w:p w14:paraId="550502F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3</w:t>
                  </w:r>
                </w:p>
              </w:tc>
              <w:tc>
                <w:tcPr>
                  <w:tcW w:w="931" w:type="pct"/>
                  <w:gridSpan w:val="2"/>
                  <w:tcBorders>
                    <w:tl2br w:val="nil"/>
                    <w:tr2bl w:val="nil"/>
                  </w:tcBorders>
                  <w:shd w:val="clear" w:color="auto" w:fill="auto"/>
                  <w:noWrap w:val="0"/>
                  <w:vAlign w:val="center"/>
                </w:tcPr>
                <w:p w14:paraId="348AE4D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3.00</w:t>
                  </w:r>
                </w:p>
              </w:tc>
              <w:tc>
                <w:tcPr>
                  <w:tcW w:w="770" w:type="pct"/>
                  <w:tcBorders>
                    <w:tl2br w:val="nil"/>
                    <w:tr2bl w:val="nil"/>
                  </w:tcBorders>
                  <w:shd w:val="clear" w:color="auto" w:fill="auto"/>
                  <w:noWrap w:val="0"/>
                  <w:vAlign w:val="center"/>
                </w:tcPr>
                <w:p w14:paraId="4E065E6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677D8E1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5A54F0C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8</w:t>
                  </w:r>
                </w:p>
              </w:tc>
              <w:tc>
                <w:tcPr>
                  <w:tcW w:w="840" w:type="pct"/>
                  <w:tcBorders>
                    <w:tl2br w:val="nil"/>
                    <w:tr2bl w:val="nil"/>
                  </w:tcBorders>
                  <w:shd w:val="clear" w:color="auto" w:fill="auto"/>
                  <w:noWrap w:val="0"/>
                  <w:vAlign w:val="center"/>
                </w:tcPr>
                <w:p w14:paraId="35A80D8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振动器</w:t>
                  </w:r>
                </w:p>
              </w:tc>
              <w:tc>
                <w:tcPr>
                  <w:tcW w:w="1429" w:type="pct"/>
                  <w:tcBorders>
                    <w:tl2br w:val="nil"/>
                    <w:tr2bl w:val="nil"/>
                  </w:tcBorders>
                  <w:shd w:val="clear" w:color="auto" w:fill="auto"/>
                  <w:noWrap w:val="0"/>
                  <w:vAlign w:val="center"/>
                </w:tcPr>
                <w:p w14:paraId="61C7704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MVE2500/15</w:t>
                  </w:r>
                </w:p>
              </w:tc>
              <w:tc>
                <w:tcPr>
                  <w:tcW w:w="619" w:type="pct"/>
                  <w:tcBorders>
                    <w:tl2br w:val="nil"/>
                    <w:tr2bl w:val="nil"/>
                  </w:tcBorders>
                  <w:shd w:val="clear" w:color="auto" w:fill="auto"/>
                  <w:noWrap w:val="0"/>
                  <w:vAlign w:val="center"/>
                </w:tcPr>
                <w:p w14:paraId="62EF692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2</w:t>
                  </w:r>
                </w:p>
              </w:tc>
              <w:tc>
                <w:tcPr>
                  <w:tcW w:w="931" w:type="pct"/>
                  <w:gridSpan w:val="2"/>
                  <w:tcBorders>
                    <w:tl2br w:val="nil"/>
                    <w:tr2bl w:val="nil"/>
                  </w:tcBorders>
                  <w:shd w:val="clear" w:color="auto" w:fill="auto"/>
                  <w:noWrap w:val="0"/>
                  <w:vAlign w:val="center"/>
                </w:tcPr>
                <w:p w14:paraId="6267EBF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1.20</w:t>
                  </w:r>
                </w:p>
              </w:tc>
              <w:tc>
                <w:tcPr>
                  <w:tcW w:w="770" w:type="pct"/>
                  <w:tcBorders>
                    <w:tl2br w:val="nil"/>
                    <w:tr2bl w:val="nil"/>
                  </w:tcBorders>
                  <w:shd w:val="clear" w:color="auto" w:fill="auto"/>
                  <w:noWrap w:val="0"/>
                  <w:vAlign w:val="center"/>
                </w:tcPr>
                <w:p w14:paraId="5710CE1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6535F75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1F8F37B4">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9</w:t>
                  </w:r>
                </w:p>
              </w:tc>
              <w:tc>
                <w:tcPr>
                  <w:tcW w:w="840" w:type="pct"/>
                  <w:tcBorders>
                    <w:tl2br w:val="nil"/>
                    <w:tr2bl w:val="nil"/>
                  </w:tcBorders>
                  <w:shd w:val="clear" w:color="auto" w:fill="auto"/>
                  <w:noWrap w:val="0"/>
                  <w:vAlign w:val="center"/>
                </w:tcPr>
                <w:p w14:paraId="399201F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螺茨风机</w:t>
                  </w:r>
                </w:p>
              </w:tc>
              <w:tc>
                <w:tcPr>
                  <w:tcW w:w="1429" w:type="pct"/>
                  <w:tcBorders>
                    <w:tl2br w:val="nil"/>
                    <w:tr2bl w:val="nil"/>
                  </w:tcBorders>
                  <w:shd w:val="clear" w:color="auto" w:fill="auto"/>
                  <w:noWrap w:val="0"/>
                  <w:vAlign w:val="center"/>
                </w:tcPr>
                <w:p w14:paraId="2B9A9B70">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sz w:val="21"/>
                      <w:szCs w:val="21"/>
                      <w:u w:val="none"/>
                    </w:rPr>
                    <w:t>YBX4-160L-4</w:t>
                  </w:r>
                </w:p>
              </w:tc>
              <w:tc>
                <w:tcPr>
                  <w:tcW w:w="619" w:type="pct"/>
                  <w:tcBorders>
                    <w:tl2br w:val="nil"/>
                    <w:tr2bl w:val="nil"/>
                  </w:tcBorders>
                  <w:shd w:val="clear" w:color="auto" w:fill="auto"/>
                  <w:noWrap w:val="0"/>
                  <w:vAlign w:val="center"/>
                </w:tcPr>
                <w:p w14:paraId="29A81F0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931" w:type="pct"/>
                  <w:gridSpan w:val="2"/>
                  <w:tcBorders>
                    <w:tl2br w:val="nil"/>
                    <w:tr2bl w:val="nil"/>
                  </w:tcBorders>
                  <w:shd w:val="clear" w:color="auto" w:fill="auto"/>
                  <w:noWrap w:val="0"/>
                  <w:vAlign w:val="center"/>
                </w:tcPr>
                <w:p w14:paraId="27F6CA0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15.00</w:t>
                  </w:r>
                </w:p>
              </w:tc>
              <w:tc>
                <w:tcPr>
                  <w:tcW w:w="770" w:type="pct"/>
                  <w:tcBorders>
                    <w:tl2br w:val="nil"/>
                    <w:tr2bl w:val="nil"/>
                  </w:tcBorders>
                  <w:shd w:val="clear" w:color="auto" w:fill="auto"/>
                  <w:noWrap w:val="0"/>
                  <w:vAlign w:val="center"/>
                </w:tcPr>
                <w:p w14:paraId="0A1DF82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223399A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4E09625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10</w:t>
                  </w:r>
                </w:p>
              </w:tc>
              <w:tc>
                <w:tcPr>
                  <w:tcW w:w="840" w:type="pct"/>
                  <w:tcBorders>
                    <w:tl2br w:val="nil"/>
                    <w:tr2bl w:val="nil"/>
                  </w:tcBorders>
                  <w:shd w:val="clear" w:color="auto" w:fill="auto"/>
                  <w:noWrap w:val="0"/>
                  <w:vAlign w:val="center"/>
                </w:tcPr>
                <w:p w14:paraId="380DED2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振动器</w:t>
                  </w:r>
                </w:p>
              </w:tc>
              <w:tc>
                <w:tcPr>
                  <w:tcW w:w="1429" w:type="pct"/>
                  <w:tcBorders>
                    <w:tl2br w:val="nil"/>
                    <w:tr2bl w:val="nil"/>
                  </w:tcBorders>
                  <w:shd w:val="clear" w:color="auto" w:fill="auto"/>
                  <w:noWrap w:val="0"/>
                  <w:vAlign w:val="center"/>
                </w:tcPr>
                <w:p w14:paraId="18B9DEE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MVE500/3</w:t>
                  </w:r>
                </w:p>
              </w:tc>
              <w:tc>
                <w:tcPr>
                  <w:tcW w:w="619" w:type="pct"/>
                  <w:tcBorders>
                    <w:tl2br w:val="nil"/>
                    <w:tr2bl w:val="nil"/>
                  </w:tcBorders>
                  <w:shd w:val="clear" w:color="auto" w:fill="auto"/>
                  <w:noWrap w:val="0"/>
                  <w:vAlign w:val="center"/>
                </w:tcPr>
                <w:p w14:paraId="3507660C">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3</w:t>
                  </w:r>
                </w:p>
              </w:tc>
              <w:tc>
                <w:tcPr>
                  <w:tcW w:w="931" w:type="pct"/>
                  <w:gridSpan w:val="2"/>
                  <w:tcBorders>
                    <w:tl2br w:val="nil"/>
                    <w:tr2bl w:val="nil"/>
                  </w:tcBorders>
                  <w:shd w:val="clear" w:color="auto" w:fill="auto"/>
                  <w:noWrap w:val="0"/>
                  <w:vAlign w:val="center"/>
                </w:tcPr>
                <w:p w14:paraId="330D5BC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0.50</w:t>
                  </w:r>
                </w:p>
              </w:tc>
              <w:tc>
                <w:tcPr>
                  <w:tcW w:w="770" w:type="pct"/>
                  <w:tcBorders>
                    <w:tl2br w:val="nil"/>
                    <w:tr2bl w:val="nil"/>
                  </w:tcBorders>
                  <w:shd w:val="clear" w:color="auto" w:fill="auto"/>
                  <w:noWrap w:val="0"/>
                  <w:vAlign w:val="center"/>
                </w:tcPr>
                <w:p w14:paraId="4085E80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23BDE3F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100C8F0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bCs/>
                      <w:i w:val="0"/>
                      <w:iCs w:val="0"/>
                      <w:color w:val="000000"/>
                      <w:sz w:val="21"/>
                      <w:szCs w:val="21"/>
                      <w:u w:val="none"/>
                      <w:lang w:val="en-US" w:eastAsia="zh-CN"/>
                    </w:rPr>
                  </w:pPr>
                  <w:r>
                    <w:rPr>
                      <w:rFonts w:hint="eastAsia" w:ascii="Times New Roman" w:hAnsi="Times New Roman" w:cs="Times New Roman"/>
                      <w:b/>
                      <w:bCs/>
                      <w:i w:val="0"/>
                      <w:iCs w:val="0"/>
                      <w:color w:val="000000"/>
                      <w:sz w:val="21"/>
                      <w:szCs w:val="21"/>
                      <w:u w:val="none"/>
                      <w:lang w:val="en-US" w:eastAsia="zh-CN"/>
                    </w:rPr>
                    <w:t>二</w:t>
                  </w:r>
                </w:p>
              </w:tc>
              <w:tc>
                <w:tcPr>
                  <w:tcW w:w="4591" w:type="pct"/>
                  <w:gridSpan w:val="6"/>
                  <w:tcBorders>
                    <w:tl2br w:val="nil"/>
                    <w:tr2bl w:val="nil"/>
                  </w:tcBorders>
                  <w:shd w:val="clear" w:color="auto" w:fill="auto"/>
                  <w:noWrap w:val="0"/>
                  <w:vAlign w:val="center"/>
                </w:tcPr>
                <w:p w14:paraId="6DC7ACE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b/>
                      <w:bCs/>
                      <w:i w:val="0"/>
                      <w:iCs w:val="0"/>
                      <w:color w:val="000000"/>
                      <w:sz w:val="21"/>
                      <w:szCs w:val="21"/>
                      <w:u w:val="none"/>
                      <w:lang w:val="en-US" w:eastAsia="zh-CN"/>
                    </w:rPr>
                  </w:pPr>
                  <w:r>
                    <w:rPr>
                      <w:rFonts w:hint="eastAsia" w:ascii="Times New Roman" w:hAnsi="Times New Roman" w:cs="Times New Roman"/>
                      <w:b/>
                      <w:bCs/>
                      <w:i w:val="0"/>
                      <w:iCs w:val="0"/>
                      <w:color w:val="000000"/>
                      <w:sz w:val="21"/>
                      <w:szCs w:val="21"/>
                      <w:u w:val="none"/>
                      <w:lang w:val="en-US" w:eastAsia="zh-CN"/>
                    </w:rPr>
                    <w:t>原生烘干系统</w:t>
                  </w:r>
                </w:p>
              </w:tc>
            </w:tr>
            <w:tr w14:paraId="0278375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38E2989A">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840" w:type="pct"/>
                  <w:tcBorders>
                    <w:tl2br w:val="nil"/>
                    <w:tr2bl w:val="nil"/>
                  </w:tcBorders>
                  <w:shd w:val="clear" w:color="auto" w:fill="auto"/>
                  <w:noWrap w:val="0"/>
                  <w:vAlign w:val="center"/>
                </w:tcPr>
                <w:p w14:paraId="46DD34D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滚筒机</w:t>
                  </w:r>
                </w:p>
              </w:tc>
              <w:tc>
                <w:tcPr>
                  <w:tcW w:w="1429" w:type="pct"/>
                  <w:tcBorders>
                    <w:tl2br w:val="nil"/>
                    <w:tr2bl w:val="nil"/>
                  </w:tcBorders>
                  <w:shd w:val="clear" w:color="auto" w:fill="auto"/>
                  <w:noWrap w:val="0"/>
                  <w:vAlign w:val="center"/>
                </w:tcPr>
                <w:p w14:paraId="04D99F0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1LE0002-1EB4-3FA4</w:t>
                  </w:r>
                </w:p>
              </w:tc>
              <w:tc>
                <w:tcPr>
                  <w:tcW w:w="619" w:type="pct"/>
                  <w:tcBorders>
                    <w:tl2br w:val="nil"/>
                    <w:tr2bl w:val="nil"/>
                  </w:tcBorders>
                  <w:shd w:val="clear" w:color="auto" w:fill="auto"/>
                  <w:noWrap w:val="0"/>
                  <w:vAlign w:val="center"/>
                </w:tcPr>
                <w:p w14:paraId="58401EA5">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4</w:t>
                  </w:r>
                </w:p>
              </w:tc>
              <w:tc>
                <w:tcPr>
                  <w:tcW w:w="931" w:type="pct"/>
                  <w:gridSpan w:val="2"/>
                  <w:tcBorders>
                    <w:tl2br w:val="nil"/>
                    <w:tr2bl w:val="nil"/>
                  </w:tcBorders>
                  <w:shd w:val="clear" w:color="auto" w:fill="auto"/>
                  <w:noWrap w:val="0"/>
                  <w:vAlign w:val="center"/>
                </w:tcPr>
                <w:p w14:paraId="4540665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22.00</w:t>
                  </w:r>
                </w:p>
              </w:tc>
              <w:tc>
                <w:tcPr>
                  <w:tcW w:w="770" w:type="pct"/>
                  <w:tcBorders>
                    <w:tl2br w:val="nil"/>
                    <w:tr2bl w:val="nil"/>
                  </w:tcBorders>
                  <w:shd w:val="clear" w:color="auto" w:fill="auto"/>
                  <w:noWrap w:val="0"/>
                  <w:vAlign w:val="center"/>
                </w:tcPr>
                <w:p w14:paraId="2801399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7A39CDC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20C7F76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2</w:t>
                  </w:r>
                </w:p>
              </w:tc>
              <w:tc>
                <w:tcPr>
                  <w:tcW w:w="840" w:type="pct"/>
                  <w:tcBorders>
                    <w:tl2br w:val="nil"/>
                    <w:tr2bl w:val="nil"/>
                  </w:tcBorders>
                  <w:shd w:val="clear" w:color="auto" w:fill="auto"/>
                  <w:noWrap w:val="0"/>
                  <w:vAlign w:val="center"/>
                </w:tcPr>
                <w:p w14:paraId="108E246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鼓风机</w:t>
                  </w:r>
                </w:p>
              </w:tc>
              <w:tc>
                <w:tcPr>
                  <w:tcW w:w="1429" w:type="pct"/>
                  <w:tcBorders>
                    <w:tl2br w:val="nil"/>
                    <w:tr2bl w:val="nil"/>
                  </w:tcBorders>
                  <w:shd w:val="clear" w:color="auto" w:fill="auto"/>
                  <w:noWrap w:val="0"/>
                  <w:vAlign w:val="center"/>
                </w:tcPr>
                <w:p w14:paraId="3ED913F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LWYE-250M-2</w:t>
                  </w:r>
                </w:p>
              </w:tc>
              <w:tc>
                <w:tcPr>
                  <w:tcW w:w="619" w:type="pct"/>
                  <w:tcBorders>
                    <w:tl2br w:val="nil"/>
                    <w:tr2bl w:val="nil"/>
                  </w:tcBorders>
                  <w:shd w:val="clear" w:color="auto" w:fill="auto"/>
                  <w:noWrap w:val="0"/>
                  <w:vAlign w:val="center"/>
                </w:tcPr>
                <w:p w14:paraId="2B137B1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931" w:type="pct"/>
                  <w:gridSpan w:val="2"/>
                  <w:tcBorders>
                    <w:tl2br w:val="nil"/>
                    <w:tr2bl w:val="nil"/>
                  </w:tcBorders>
                  <w:shd w:val="clear" w:color="auto" w:fill="auto"/>
                  <w:noWrap w:val="0"/>
                  <w:vAlign w:val="center"/>
                </w:tcPr>
                <w:p w14:paraId="2CF762A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55.00</w:t>
                  </w:r>
                </w:p>
              </w:tc>
              <w:tc>
                <w:tcPr>
                  <w:tcW w:w="770" w:type="pct"/>
                  <w:tcBorders>
                    <w:tl2br w:val="nil"/>
                    <w:tr2bl w:val="nil"/>
                  </w:tcBorders>
                  <w:shd w:val="clear" w:color="auto" w:fill="auto"/>
                  <w:noWrap w:val="0"/>
                  <w:vAlign w:val="center"/>
                </w:tcPr>
                <w:p w14:paraId="17FF2CF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22B4F5B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5897010F">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3</w:t>
                  </w:r>
                </w:p>
              </w:tc>
              <w:tc>
                <w:tcPr>
                  <w:tcW w:w="840" w:type="pct"/>
                  <w:tcBorders>
                    <w:tl2br w:val="nil"/>
                    <w:tr2bl w:val="nil"/>
                  </w:tcBorders>
                  <w:shd w:val="clear" w:color="auto" w:fill="auto"/>
                  <w:noWrap w:val="0"/>
                  <w:vAlign w:val="center"/>
                </w:tcPr>
                <w:p w14:paraId="7CBDA42E">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空压机</w:t>
                  </w:r>
                </w:p>
              </w:tc>
              <w:tc>
                <w:tcPr>
                  <w:tcW w:w="1429" w:type="pct"/>
                  <w:tcBorders>
                    <w:tl2br w:val="nil"/>
                    <w:tr2bl w:val="nil"/>
                  </w:tcBorders>
                  <w:shd w:val="clear" w:color="auto" w:fill="auto"/>
                  <w:noWrap w:val="0"/>
                  <w:vAlign w:val="center"/>
                </w:tcPr>
                <w:p w14:paraId="6AFBBBE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LKY-225M2-2</w:t>
                  </w:r>
                </w:p>
              </w:tc>
              <w:tc>
                <w:tcPr>
                  <w:tcW w:w="619" w:type="pct"/>
                  <w:tcBorders>
                    <w:tl2br w:val="nil"/>
                    <w:tr2bl w:val="nil"/>
                  </w:tcBorders>
                  <w:shd w:val="clear" w:color="auto" w:fill="auto"/>
                  <w:noWrap w:val="0"/>
                  <w:vAlign w:val="center"/>
                </w:tcPr>
                <w:p w14:paraId="7F2366B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931" w:type="pct"/>
                  <w:gridSpan w:val="2"/>
                  <w:tcBorders>
                    <w:tl2br w:val="nil"/>
                    <w:tr2bl w:val="nil"/>
                  </w:tcBorders>
                  <w:shd w:val="clear" w:color="auto" w:fill="auto"/>
                  <w:noWrap w:val="0"/>
                  <w:vAlign w:val="center"/>
                </w:tcPr>
                <w:p w14:paraId="2D9E38B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75.00</w:t>
                  </w:r>
                </w:p>
              </w:tc>
              <w:tc>
                <w:tcPr>
                  <w:tcW w:w="770" w:type="pct"/>
                  <w:tcBorders>
                    <w:tl2br w:val="nil"/>
                    <w:tr2bl w:val="nil"/>
                  </w:tcBorders>
                  <w:shd w:val="clear" w:color="auto" w:fill="auto"/>
                  <w:noWrap w:val="0"/>
                  <w:vAlign w:val="center"/>
                </w:tcPr>
                <w:p w14:paraId="2E8DEC2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p>
              </w:tc>
            </w:tr>
            <w:tr w14:paraId="643129C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4041EF2A">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4</w:t>
                  </w:r>
                </w:p>
              </w:tc>
              <w:tc>
                <w:tcPr>
                  <w:tcW w:w="840" w:type="pct"/>
                  <w:tcBorders>
                    <w:tl2br w:val="nil"/>
                    <w:tr2bl w:val="nil"/>
                  </w:tcBorders>
                  <w:shd w:val="clear" w:color="auto" w:fill="auto"/>
                  <w:noWrap w:val="0"/>
                  <w:vAlign w:val="center"/>
                </w:tcPr>
                <w:p w14:paraId="3C94A8D2">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sz w:val="21"/>
                      <w:szCs w:val="21"/>
                      <w:u w:val="none"/>
                    </w:rPr>
                    <w:t>螺茨风机</w:t>
                  </w:r>
                </w:p>
              </w:tc>
              <w:tc>
                <w:tcPr>
                  <w:tcW w:w="1429" w:type="pct"/>
                  <w:tcBorders>
                    <w:tl2br w:val="nil"/>
                    <w:tr2bl w:val="nil"/>
                  </w:tcBorders>
                  <w:shd w:val="clear" w:color="auto" w:fill="auto"/>
                  <w:noWrap w:val="0"/>
                  <w:vAlign w:val="center"/>
                </w:tcPr>
                <w:p w14:paraId="40E75E6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Y</w:t>
                  </w:r>
                  <w:r>
                    <w:rPr>
                      <w:rFonts w:hint="eastAsia" w:ascii="Times New Roman" w:hAnsi="Times New Roman" w:cs="Times New Roman"/>
                      <w:i w:val="0"/>
                      <w:iCs w:val="0"/>
                      <w:color w:val="000000"/>
                      <w:sz w:val="21"/>
                      <w:szCs w:val="21"/>
                      <w:u w:val="none"/>
                      <w:lang w:val="en-US" w:eastAsia="zh-CN"/>
                    </w:rPr>
                    <w:t>E</w:t>
                  </w:r>
                  <w:r>
                    <w:rPr>
                      <w:rFonts w:hint="default" w:ascii="Times New Roman" w:hAnsi="Times New Roman" w:eastAsia="宋体" w:cs="Times New Roman"/>
                      <w:i w:val="0"/>
                      <w:iCs w:val="0"/>
                      <w:color w:val="000000"/>
                      <w:sz w:val="21"/>
                      <w:szCs w:val="21"/>
                      <w:u w:val="none"/>
                    </w:rPr>
                    <w:t>3-180M-4</w:t>
                  </w:r>
                </w:p>
              </w:tc>
              <w:tc>
                <w:tcPr>
                  <w:tcW w:w="619" w:type="pct"/>
                  <w:tcBorders>
                    <w:tl2br w:val="nil"/>
                    <w:tr2bl w:val="nil"/>
                  </w:tcBorders>
                  <w:shd w:val="clear" w:color="auto" w:fill="auto"/>
                  <w:noWrap w:val="0"/>
                  <w:vAlign w:val="center"/>
                </w:tcPr>
                <w:p w14:paraId="7A2A2BB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931" w:type="pct"/>
                  <w:gridSpan w:val="2"/>
                  <w:tcBorders>
                    <w:tl2br w:val="nil"/>
                    <w:tr2bl w:val="nil"/>
                  </w:tcBorders>
                  <w:shd w:val="clear" w:color="auto" w:fill="auto"/>
                  <w:noWrap w:val="0"/>
                  <w:vAlign w:val="center"/>
                </w:tcPr>
                <w:p w14:paraId="5CFFC82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18.50</w:t>
                  </w:r>
                </w:p>
              </w:tc>
              <w:tc>
                <w:tcPr>
                  <w:tcW w:w="770" w:type="pct"/>
                  <w:tcBorders>
                    <w:tl2br w:val="nil"/>
                    <w:tr2bl w:val="nil"/>
                  </w:tcBorders>
                  <w:shd w:val="clear" w:color="auto" w:fill="auto"/>
                  <w:noWrap w:val="0"/>
                  <w:vAlign w:val="center"/>
                </w:tcPr>
                <w:p w14:paraId="0F283C5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p>
              </w:tc>
            </w:tr>
            <w:tr w14:paraId="7B5FCF4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3A0EC2AE">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5</w:t>
                  </w:r>
                </w:p>
              </w:tc>
              <w:tc>
                <w:tcPr>
                  <w:tcW w:w="840" w:type="pct"/>
                  <w:tcBorders>
                    <w:tl2br w:val="nil"/>
                    <w:tr2bl w:val="nil"/>
                  </w:tcBorders>
                  <w:shd w:val="clear" w:color="auto" w:fill="auto"/>
                  <w:noWrap w:val="0"/>
                  <w:vAlign w:val="center"/>
                </w:tcPr>
                <w:p w14:paraId="2B9C5F00">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吸尘风机</w:t>
                  </w:r>
                </w:p>
              </w:tc>
              <w:tc>
                <w:tcPr>
                  <w:tcW w:w="1429" w:type="pct"/>
                  <w:tcBorders>
                    <w:tl2br w:val="nil"/>
                    <w:tr2bl w:val="nil"/>
                  </w:tcBorders>
                  <w:shd w:val="clear" w:color="auto" w:fill="auto"/>
                  <w:noWrap w:val="0"/>
                  <w:vAlign w:val="center"/>
                </w:tcPr>
                <w:p w14:paraId="22FE003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1LE0001-1CB23-3FA4</w:t>
                  </w:r>
                </w:p>
              </w:tc>
              <w:tc>
                <w:tcPr>
                  <w:tcW w:w="619" w:type="pct"/>
                  <w:tcBorders>
                    <w:tl2br w:val="nil"/>
                    <w:tr2bl w:val="nil"/>
                  </w:tcBorders>
                  <w:shd w:val="clear" w:color="auto" w:fill="auto"/>
                  <w:noWrap w:val="0"/>
                  <w:vAlign w:val="center"/>
                </w:tcPr>
                <w:p w14:paraId="04C7BC4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931" w:type="pct"/>
                  <w:gridSpan w:val="2"/>
                  <w:tcBorders>
                    <w:tl2br w:val="nil"/>
                    <w:tr2bl w:val="nil"/>
                  </w:tcBorders>
                  <w:shd w:val="clear" w:color="auto" w:fill="auto"/>
                  <w:noWrap w:val="0"/>
                  <w:vAlign w:val="center"/>
                </w:tcPr>
                <w:p w14:paraId="641380D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4.00</w:t>
                  </w:r>
                </w:p>
              </w:tc>
              <w:tc>
                <w:tcPr>
                  <w:tcW w:w="770" w:type="pct"/>
                  <w:tcBorders>
                    <w:tl2br w:val="nil"/>
                    <w:tr2bl w:val="nil"/>
                  </w:tcBorders>
                  <w:shd w:val="clear" w:color="auto" w:fill="auto"/>
                  <w:noWrap w:val="0"/>
                  <w:vAlign w:val="center"/>
                </w:tcPr>
                <w:p w14:paraId="062ED82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p>
              </w:tc>
            </w:tr>
            <w:tr w14:paraId="1E4BE20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4CD3F847">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6</w:t>
                  </w:r>
                </w:p>
              </w:tc>
              <w:tc>
                <w:tcPr>
                  <w:tcW w:w="840" w:type="pct"/>
                  <w:tcBorders>
                    <w:tl2br w:val="nil"/>
                    <w:tr2bl w:val="nil"/>
                  </w:tcBorders>
                  <w:shd w:val="clear" w:color="auto" w:fill="auto"/>
                  <w:noWrap w:val="0"/>
                  <w:vAlign w:val="center"/>
                </w:tcPr>
                <w:p w14:paraId="0FF64EB9">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螺旋</w:t>
                  </w:r>
                </w:p>
              </w:tc>
              <w:tc>
                <w:tcPr>
                  <w:tcW w:w="1429" w:type="pct"/>
                  <w:tcBorders>
                    <w:tl2br w:val="nil"/>
                    <w:tr2bl w:val="nil"/>
                  </w:tcBorders>
                  <w:shd w:val="clear" w:color="auto" w:fill="auto"/>
                  <w:noWrap w:val="0"/>
                  <w:vAlign w:val="center"/>
                </w:tcPr>
                <w:p w14:paraId="0113B18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1LE0001-1CB23-3FA4</w:t>
                  </w:r>
                </w:p>
              </w:tc>
              <w:tc>
                <w:tcPr>
                  <w:tcW w:w="619" w:type="pct"/>
                  <w:tcBorders>
                    <w:tl2br w:val="nil"/>
                    <w:tr2bl w:val="nil"/>
                  </w:tcBorders>
                  <w:shd w:val="clear" w:color="auto" w:fill="auto"/>
                  <w:noWrap w:val="0"/>
                  <w:vAlign w:val="center"/>
                </w:tcPr>
                <w:p w14:paraId="6B80522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4</w:t>
                  </w:r>
                </w:p>
              </w:tc>
              <w:tc>
                <w:tcPr>
                  <w:tcW w:w="931" w:type="pct"/>
                  <w:gridSpan w:val="2"/>
                  <w:tcBorders>
                    <w:tl2br w:val="nil"/>
                    <w:tr2bl w:val="nil"/>
                  </w:tcBorders>
                  <w:shd w:val="clear" w:color="auto" w:fill="auto"/>
                  <w:noWrap w:val="0"/>
                  <w:vAlign w:val="center"/>
                </w:tcPr>
                <w:p w14:paraId="05905BF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7.50</w:t>
                  </w:r>
                </w:p>
              </w:tc>
              <w:tc>
                <w:tcPr>
                  <w:tcW w:w="770" w:type="pct"/>
                  <w:tcBorders>
                    <w:tl2br w:val="nil"/>
                    <w:tr2bl w:val="nil"/>
                  </w:tcBorders>
                  <w:shd w:val="clear" w:color="auto" w:fill="auto"/>
                  <w:noWrap w:val="0"/>
                  <w:vAlign w:val="center"/>
                </w:tcPr>
                <w:p w14:paraId="310CCC2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p>
              </w:tc>
            </w:tr>
            <w:tr w14:paraId="46FFB91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1646B916">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7</w:t>
                  </w:r>
                </w:p>
              </w:tc>
              <w:tc>
                <w:tcPr>
                  <w:tcW w:w="840" w:type="pct"/>
                  <w:tcBorders>
                    <w:tl2br w:val="nil"/>
                    <w:tr2bl w:val="nil"/>
                  </w:tcBorders>
                  <w:shd w:val="clear" w:color="auto" w:fill="auto"/>
                  <w:noWrap w:val="0"/>
                  <w:vAlign w:val="center"/>
                </w:tcPr>
                <w:p w14:paraId="26FAF99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cs="Times New Roman"/>
                      <w:i w:val="0"/>
                      <w:iCs w:val="0"/>
                      <w:color w:val="000000"/>
                      <w:sz w:val="21"/>
                      <w:szCs w:val="21"/>
                      <w:u w:val="none"/>
                      <w:lang w:val="en-US" w:eastAsia="zh-CN"/>
                    </w:rPr>
                    <w:t>螺旋</w:t>
                  </w:r>
                </w:p>
              </w:tc>
              <w:tc>
                <w:tcPr>
                  <w:tcW w:w="1429" w:type="pct"/>
                  <w:tcBorders>
                    <w:tl2br w:val="nil"/>
                    <w:tr2bl w:val="nil"/>
                  </w:tcBorders>
                  <w:shd w:val="clear" w:color="auto" w:fill="auto"/>
                  <w:noWrap w:val="0"/>
                  <w:vAlign w:val="center"/>
                </w:tcPr>
                <w:p w14:paraId="11A1DAE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1LE0001-1CB23-3FA4</w:t>
                  </w:r>
                </w:p>
              </w:tc>
              <w:tc>
                <w:tcPr>
                  <w:tcW w:w="619" w:type="pct"/>
                  <w:tcBorders>
                    <w:tl2br w:val="nil"/>
                    <w:tr2bl w:val="nil"/>
                  </w:tcBorders>
                  <w:shd w:val="clear" w:color="auto" w:fill="auto"/>
                  <w:noWrap w:val="0"/>
                  <w:vAlign w:val="center"/>
                </w:tcPr>
                <w:p w14:paraId="3E12436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10</w:t>
                  </w:r>
                </w:p>
              </w:tc>
              <w:tc>
                <w:tcPr>
                  <w:tcW w:w="931" w:type="pct"/>
                  <w:gridSpan w:val="2"/>
                  <w:tcBorders>
                    <w:tl2br w:val="nil"/>
                    <w:tr2bl w:val="nil"/>
                  </w:tcBorders>
                  <w:shd w:val="clear" w:color="auto" w:fill="auto"/>
                  <w:noWrap w:val="0"/>
                  <w:vAlign w:val="center"/>
                </w:tcPr>
                <w:p w14:paraId="66561EE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4.00</w:t>
                  </w:r>
                </w:p>
              </w:tc>
              <w:tc>
                <w:tcPr>
                  <w:tcW w:w="770" w:type="pct"/>
                  <w:tcBorders>
                    <w:tl2br w:val="nil"/>
                    <w:tr2bl w:val="nil"/>
                  </w:tcBorders>
                  <w:shd w:val="clear" w:color="auto" w:fill="auto"/>
                  <w:noWrap w:val="0"/>
                  <w:vAlign w:val="center"/>
                </w:tcPr>
                <w:p w14:paraId="2B4383B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3EB0002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21F5FE49">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8</w:t>
                  </w:r>
                </w:p>
              </w:tc>
              <w:tc>
                <w:tcPr>
                  <w:tcW w:w="840" w:type="pct"/>
                  <w:tcBorders>
                    <w:tl2br w:val="nil"/>
                    <w:tr2bl w:val="nil"/>
                  </w:tcBorders>
                  <w:shd w:val="clear" w:color="auto" w:fill="auto"/>
                  <w:noWrap w:val="0"/>
                  <w:vAlign w:val="center"/>
                </w:tcPr>
                <w:p w14:paraId="5F271FA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cs="Times New Roman"/>
                      <w:i w:val="0"/>
                      <w:iCs w:val="0"/>
                      <w:color w:val="000000"/>
                      <w:sz w:val="21"/>
                      <w:szCs w:val="21"/>
                      <w:u w:val="none"/>
                      <w:lang w:val="en-US" w:eastAsia="zh-CN"/>
                    </w:rPr>
                    <w:t>螺旋</w:t>
                  </w:r>
                </w:p>
              </w:tc>
              <w:tc>
                <w:tcPr>
                  <w:tcW w:w="1429" w:type="pct"/>
                  <w:tcBorders>
                    <w:tl2br w:val="nil"/>
                    <w:tr2bl w:val="nil"/>
                  </w:tcBorders>
                  <w:shd w:val="clear" w:color="auto" w:fill="auto"/>
                  <w:noWrap w:val="0"/>
                  <w:vAlign w:val="center"/>
                </w:tcPr>
                <w:p w14:paraId="26666F8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1LE0002-1DA23-3AA4</w:t>
                  </w:r>
                </w:p>
              </w:tc>
              <w:tc>
                <w:tcPr>
                  <w:tcW w:w="619" w:type="pct"/>
                  <w:tcBorders>
                    <w:tl2br w:val="nil"/>
                    <w:tr2bl w:val="nil"/>
                  </w:tcBorders>
                  <w:shd w:val="clear" w:color="auto" w:fill="auto"/>
                  <w:noWrap w:val="0"/>
                  <w:vAlign w:val="center"/>
                </w:tcPr>
                <w:p w14:paraId="5FC981D9">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2</w:t>
                  </w:r>
                </w:p>
              </w:tc>
              <w:tc>
                <w:tcPr>
                  <w:tcW w:w="931" w:type="pct"/>
                  <w:gridSpan w:val="2"/>
                  <w:tcBorders>
                    <w:tl2br w:val="nil"/>
                    <w:tr2bl w:val="nil"/>
                  </w:tcBorders>
                  <w:shd w:val="clear" w:color="auto" w:fill="auto"/>
                  <w:noWrap w:val="0"/>
                  <w:vAlign w:val="center"/>
                </w:tcPr>
                <w:p w14:paraId="2F793B7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11.00</w:t>
                  </w:r>
                </w:p>
              </w:tc>
              <w:tc>
                <w:tcPr>
                  <w:tcW w:w="770" w:type="pct"/>
                  <w:tcBorders>
                    <w:tl2br w:val="nil"/>
                    <w:tr2bl w:val="nil"/>
                  </w:tcBorders>
                  <w:shd w:val="clear" w:color="auto" w:fill="auto"/>
                  <w:noWrap w:val="0"/>
                  <w:vAlign w:val="center"/>
                </w:tcPr>
                <w:p w14:paraId="6D33C5E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3460915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90" w:hRule="atLeast"/>
                <w:jc w:val="center"/>
              </w:trPr>
              <w:tc>
                <w:tcPr>
                  <w:tcW w:w="408" w:type="pct"/>
                  <w:tcBorders>
                    <w:tl2br w:val="nil"/>
                    <w:tr2bl w:val="nil"/>
                  </w:tcBorders>
                  <w:shd w:val="clear" w:color="auto" w:fill="auto"/>
                  <w:noWrap w:val="0"/>
                  <w:vAlign w:val="center"/>
                </w:tcPr>
                <w:p w14:paraId="34466585">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9</w:t>
                  </w:r>
                </w:p>
              </w:tc>
              <w:tc>
                <w:tcPr>
                  <w:tcW w:w="840" w:type="pct"/>
                  <w:tcBorders>
                    <w:tl2br w:val="nil"/>
                    <w:tr2bl w:val="nil"/>
                  </w:tcBorders>
                  <w:shd w:val="clear" w:color="auto" w:fill="auto"/>
                  <w:noWrap w:val="0"/>
                  <w:vAlign w:val="center"/>
                </w:tcPr>
                <w:p w14:paraId="074F701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皮带机</w:t>
                  </w:r>
                </w:p>
              </w:tc>
              <w:tc>
                <w:tcPr>
                  <w:tcW w:w="1429" w:type="pct"/>
                  <w:tcBorders>
                    <w:tl2br w:val="nil"/>
                    <w:tr2bl w:val="nil"/>
                  </w:tcBorders>
                  <w:shd w:val="clear" w:color="auto" w:fill="auto"/>
                  <w:noWrap w:val="0"/>
                  <w:vAlign w:val="center"/>
                </w:tcPr>
                <w:p w14:paraId="7D88DFC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1LE0002-1DA23-3AA4</w:t>
                  </w:r>
                </w:p>
              </w:tc>
              <w:tc>
                <w:tcPr>
                  <w:tcW w:w="619" w:type="pct"/>
                  <w:tcBorders>
                    <w:tl2br w:val="nil"/>
                    <w:tr2bl w:val="nil"/>
                  </w:tcBorders>
                  <w:shd w:val="clear" w:color="auto" w:fill="auto"/>
                  <w:noWrap w:val="0"/>
                  <w:vAlign w:val="center"/>
                </w:tcPr>
                <w:p w14:paraId="081C80E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2</w:t>
                  </w:r>
                </w:p>
              </w:tc>
              <w:tc>
                <w:tcPr>
                  <w:tcW w:w="931" w:type="pct"/>
                  <w:gridSpan w:val="2"/>
                  <w:tcBorders>
                    <w:tl2br w:val="nil"/>
                    <w:tr2bl w:val="nil"/>
                  </w:tcBorders>
                  <w:shd w:val="clear" w:color="auto" w:fill="auto"/>
                  <w:noWrap w:val="0"/>
                  <w:vAlign w:val="center"/>
                </w:tcPr>
                <w:p w14:paraId="1F28971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11.00</w:t>
                  </w:r>
                </w:p>
              </w:tc>
              <w:tc>
                <w:tcPr>
                  <w:tcW w:w="770" w:type="pct"/>
                  <w:tcBorders>
                    <w:tl2br w:val="nil"/>
                    <w:tr2bl w:val="nil"/>
                  </w:tcBorders>
                  <w:shd w:val="clear" w:color="auto" w:fill="auto"/>
                  <w:noWrap w:val="0"/>
                  <w:vAlign w:val="center"/>
                </w:tcPr>
                <w:p w14:paraId="224E954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40070F4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7850769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10</w:t>
                  </w:r>
                </w:p>
              </w:tc>
              <w:tc>
                <w:tcPr>
                  <w:tcW w:w="840" w:type="pct"/>
                  <w:tcBorders>
                    <w:tl2br w:val="nil"/>
                    <w:tr2bl w:val="nil"/>
                  </w:tcBorders>
                  <w:shd w:val="clear" w:color="auto" w:fill="auto"/>
                  <w:noWrap w:val="0"/>
                  <w:vAlign w:val="center"/>
                </w:tcPr>
                <w:p w14:paraId="23C6852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冷料仓</w:t>
                  </w:r>
                </w:p>
              </w:tc>
              <w:tc>
                <w:tcPr>
                  <w:tcW w:w="1429" w:type="pct"/>
                  <w:tcBorders>
                    <w:tl2br w:val="nil"/>
                    <w:tr2bl w:val="nil"/>
                  </w:tcBorders>
                  <w:shd w:val="clear" w:color="auto" w:fill="auto"/>
                  <w:noWrap w:val="0"/>
                  <w:vAlign w:val="center"/>
                </w:tcPr>
                <w:p w14:paraId="12CD058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MN90L</w:t>
                  </w:r>
                </w:p>
              </w:tc>
              <w:tc>
                <w:tcPr>
                  <w:tcW w:w="619" w:type="pct"/>
                  <w:tcBorders>
                    <w:tl2br w:val="nil"/>
                    <w:tr2bl w:val="nil"/>
                  </w:tcBorders>
                  <w:shd w:val="clear" w:color="auto" w:fill="auto"/>
                  <w:noWrap w:val="0"/>
                  <w:vAlign w:val="center"/>
                </w:tcPr>
                <w:p w14:paraId="3EECC27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6</w:t>
                  </w:r>
                </w:p>
              </w:tc>
              <w:tc>
                <w:tcPr>
                  <w:tcW w:w="931" w:type="pct"/>
                  <w:gridSpan w:val="2"/>
                  <w:tcBorders>
                    <w:tl2br w:val="nil"/>
                    <w:tr2bl w:val="nil"/>
                  </w:tcBorders>
                  <w:shd w:val="clear" w:color="auto" w:fill="auto"/>
                  <w:noWrap w:val="0"/>
                  <w:vAlign w:val="center"/>
                </w:tcPr>
                <w:p w14:paraId="3CCBF93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2.20</w:t>
                  </w:r>
                </w:p>
              </w:tc>
              <w:tc>
                <w:tcPr>
                  <w:tcW w:w="770" w:type="pct"/>
                  <w:tcBorders>
                    <w:tl2br w:val="nil"/>
                    <w:tr2bl w:val="nil"/>
                  </w:tcBorders>
                  <w:shd w:val="clear" w:color="auto" w:fill="auto"/>
                  <w:noWrap w:val="0"/>
                  <w:vAlign w:val="center"/>
                </w:tcPr>
                <w:p w14:paraId="3F24C92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0603443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547CAB4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11</w:t>
                  </w:r>
                </w:p>
              </w:tc>
              <w:tc>
                <w:tcPr>
                  <w:tcW w:w="840" w:type="pct"/>
                  <w:tcBorders>
                    <w:tl2br w:val="nil"/>
                    <w:tr2bl w:val="nil"/>
                  </w:tcBorders>
                  <w:shd w:val="clear" w:color="auto" w:fill="auto"/>
                  <w:noWrap w:val="0"/>
                  <w:vAlign w:val="center"/>
                </w:tcPr>
                <w:p w14:paraId="6DE88A7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振动器</w:t>
                  </w:r>
                </w:p>
              </w:tc>
              <w:tc>
                <w:tcPr>
                  <w:tcW w:w="1429" w:type="pct"/>
                  <w:tcBorders>
                    <w:tl2br w:val="nil"/>
                    <w:tr2bl w:val="nil"/>
                  </w:tcBorders>
                  <w:shd w:val="clear" w:color="auto" w:fill="auto"/>
                  <w:noWrap w:val="0"/>
                  <w:vAlign w:val="center"/>
                </w:tcPr>
                <w:p w14:paraId="2526F2E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MVE500/3</w:t>
                  </w:r>
                </w:p>
              </w:tc>
              <w:tc>
                <w:tcPr>
                  <w:tcW w:w="619" w:type="pct"/>
                  <w:tcBorders>
                    <w:tl2br w:val="nil"/>
                    <w:tr2bl w:val="nil"/>
                  </w:tcBorders>
                  <w:shd w:val="clear" w:color="auto" w:fill="auto"/>
                  <w:noWrap w:val="0"/>
                  <w:vAlign w:val="center"/>
                </w:tcPr>
                <w:p w14:paraId="35444F3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3</w:t>
                  </w:r>
                </w:p>
              </w:tc>
              <w:tc>
                <w:tcPr>
                  <w:tcW w:w="931" w:type="pct"/>
                  <w:gridSpan w:val="2"/>
                  <w:tcBorders>
                    <w:tl2br w:val="nil"/>
                    <w:tr2bl w:val="nil"/>
                  </w:tcBorders>
                  <w:shd w:val="clear" w:color="auto" w:fill="auto"/>
                  <w:noWrap w:val="0"/>
                  <w:vAlign w:val="center"/>
                </w:tcPr>
                <w:p w14:paraId="7C9F940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0.50</w:t>
                  </w:r>
                </w:p>
              </w:tc>
              <w:tc>
                <w:tcPr>
                  <w:tcW w:w="770" w:type="pct"/>
                  <w:tcBorders>
                    <w:tl2br w:val="nil"/>
                    <w:tr2bl w:val="nil"/>
                  </w:tcBorders>
                  <w:shd w:val="clear" w:color="auto" w:fill="auto"/>
                  <w:noWrap w:val="0"/>
                  <w:vAlign w:val="center"/>
                </w:tcPr>
                <w:p w14:paraId="71F7049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530662A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1E632A8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12</w:t>
                  </w:r>
                </w:p>
              </w:tc>
              <w:tc>
                <w:tcPr>
                  <w:tcW w:w="840" w:type="pct"/>
                  <w:tcBorders>
                    <w:tl2br w:val="nil"/>
                    <w:tr2bl w:val="nil"/>
                  </w:tcBorders>
                  <w:shd w:val="clear" w:color="auto" w:fill="auto"/>
                  <w:noWrap w:val="0"/>
                  <w:vAlign w:val="center"/>
                </w:tcPr>
                <w:p w14:paraId="15A3A49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沥青输送泵</w:t>
                  </w:r>
                </w:p>
              </w:tc>
              <w:tc>
                <w:tcPr>
                  <w:tcW w:w="1429" w:type="pct"/>
                  <w:tcBorders>
                    <w:tl2br w:val="nil"/>
                    <w:tr2bl w:val="nil"/>
                  </w:tcBorders>
                  <w:shd w:val="clear" w:color="auto" w:fill="auto"/>
                  <w:noWrap w:val="0"/>
                  <w:vAlign w:val="center"/>
                </w:tcPr>
                <w:p w14:paraId="778E175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1LE0003-1EC43-3AA4</w:t>
                  </w:r>
                </w:p>
              </w:tc>
              <w:tc>
                <w:tcPr>
                  <w:tcW w:w="619" w:type="pct"/>
                  <w:tcBorders>
                    <w:tl2br w:val="nil"/>
                    <w:tr2bl w:val="nil"/>
                  </w:tcBorders>
                  <w:shd w:val="clear" w:color="auto" w:fill="auto"/>
                  <w:noWrap w:val="0"/>
                  <w:vAlign w:val="center"/>
                </w:tcPr>
                <w:p w14:paraId="711C08B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931" w:type="pct"/>
                  <w:gridSpan w:val="2"/>
                  <w:tcBorders>
                    <w:tl2br w:val="nil"/>
                    <w:tr2bl w:val="nil"/>
                  </w:tcBorders>
                  <w:shd w:val="clear" w:color="auto" w:fill="auto"/>
                  <w:noWrap w:val="0"/>
                  <w:vAlign w:val="center"/>
                </w:tcPr>
                <w:p w14:paraId="6DC3148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15.00</w:t>
                  </w:r>
                </w:p>
              </w:tc>
              <w:tc>
                <w:tcPr>
                  <w:tcW w:w="770" w:type="pct"/>
                  <w:tcBorders>
                    <w:tl2br w:val="nil"/>
                    <w:tr2bl w:val="nil"/>
                  </w:tcBorders>
                  <w:shd w:val="clear" w:color="auto" w:fill="auto"/>
                  <w:noWrap w:val="0"/>
                  <w:vAlign w:val="center"/>
                </w:tcPr>
                <w:p w14:paraId="719DEC9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5478D14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90" w:hRule="atLeast"/>
                <w:jc w:val="center"/>
              </w:trPr>
              <w:tc>
                <w:tcPr>
                  <w:tcW w:w="408" w:type="pct"/>
                  <w:tcBorders>
                    <w:tl2br w:val="nil"/>
                    <w:tr2bl w:val="nil"/>
                  </w:tcBorders>
                  <w:shd w:val="clear" w:color="auto" w:fill="auto"/>
                  <w:noWrap w:val="0"/>
                  <w:vAlign w:val="center"/>
                </w:tcPr>
                <w:p w14:paraId="6954FD2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13</w:t>
                  </w:r>
                </w:p>
              </w:tc>
              <w:tc>
                <w:tcPr>
                  <w:tcW w:w="840" w:type="pct"/>
                  <w:tcBorders>
                    <w:tl2br w:val="nil"/>
                    <w:tr2bl w:val="nil"/>
                  </w:tcBorders>
                  <w:shd w:val="clear" w:color="auto" w:fill="auto"/>
                  <w:noWrap w:val="0"/>
                  <w:vAlign w:val="center"/>
                </w:tcPr>
                <w:p w14:paraId="0AD6F24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沥青倒灌泵</w:t>
                  </w:r>
                </w:p>
              </w:tc>
              <w:tc>
                <w:tcPr>
                  <w:tcW w:w="1429" w:type="pct"/>
                  <w:tcBorders>
                    <w:tl2br w:val="nil"/>
                    <w:tr2bl w:val="nil"/>
                  </w:tcBorders>
                  <w:shd w:val="clear" w:color="auto" w:fill="auto"/>
                  <w:noWrap w:val="0"/>
                  <w:vAlign w:val="center"/>
                </w:tcPr>
                <w:p w14:paraId="0CB8DC4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1LE0002-1DB43-3AA4</w:t>
                  </w:r>
                </w:p>
              </w:tc>
              <w:tc>
                <w:tcPr>
                  <w:tcW w:w="619" w:type="pct"/>
                  <w:tcBorders>
                    <w:tl2br w:val="nil"/>
                    <w:tr2bl w:val="nil"/>
                  </w:tcBorders>
                  <w:shd w:val="clear" w:color="auto" w:fill="auto"/>
                  <w:noWrap w:val="0"/>
                  <w:vAlign w:val="center"/>
                </w:tcPr>
                <w:p w14:paraId="0248B26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931" w:type="pct"/>
                  <w:gridSpan w:val="2"/>
                  <w:tcBorders>
                    <w:tl2br w:val="nil"/>
                    <w:tr2bl w:val="nil"/>
                  </w:tcBorders>
                  <w:shd w:val="clear" w:color="auto" w:fill="auto"/>
                  <w:noWrap w:val="0"/>
                  <w:vAlign w:val="center"/>
                </w:tcPr>
                <w:p w14:paraId="289CB0E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15.00</w:t>
                  </w:r>
                </w:p>
              </w:tc>
              <w:tc>
                <w:tcPr>
                  <w:tcW w:w="770" w:type="pct"/>
                  <w:tcBorders>
                    <w:tl2br w:val="nil"/>
                    <w:tr2bl w:val="nil"/>
                  </w:tcBorders>
                  <w:shd w:val="clear" w:color="auto" w:fill="auto"/>
                  <w:noWrap w:val="0"/>
                  <w:vAlign w:val="center"/>
                </w:tcPr>
                <w:p w14:paraId="35CF0FD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52D586E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35CDACE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14</w:t>
                  </w:r>
                </w:p>
              </w:tc>
              <w:tc>
                <w:tcPr>
                  <w:tcW w:w="840" w:type="pct"/>
                  <w:tcBorders>
                    <w:tl2br w:val="nil"/>
                    <w:tr2bl w:val="nil"/>
                  </w:tcBorders>
                  <w:shd w:val="clear" w:color="auto" w:fill="auto"/>
                  <w:noWrap w:val="0"/>
                  <w:vAlign w:val="center"/>
                </w:tcPr>
                <w:p w14:paraId="6906456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沥青喷洒泵</w:t>
                  </w:r>
                </w:p>
              </w:tc>
              <w:tc>
                <w:tcPr>
                  <w:tcW w:w="1429" w:type="pct"/>
                  <w:tcBorders>
                    <w:tl2br w:val="nil"/>
                    <w:tr2bl w:val="nil"/>
                  </w:tcBorders>
                  <w:shd w:val="clear" w:color="auto" w:fill="auto"/>
                  <w:noWrap w:val="0"/>
                  <w:vAlign w:val="center"/>
                </w:tcPr>
                <w:p w14:paraId="43A56E0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DRS180L4BE3Q</w:t>
                  </w:r>
                </w:p>
              </w:tc>
              <w:tc>
                <w:tcPr>
                  <w:tcW w:w="619" w:type="pct"/>
                  <w:tcBorders>
                    <w:tl2br w:val="nil"/>
                    <w:tr2bl w:val="nil"/>
                  </w:tcBorders>
                  <w:shd w:val="clear" w:color="auto" w:fill="auto"/>
                  <w:noWrap w:val="0"/>
                  <w:vAlign w:val="center"/>
                </w:tcPr>
                <w:p w14:paraId="78650C7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931" w:type="pct"/>
                  <w:gridSpan w:val="2"/>
                  <w:tcBorders>
                    <w:tl2br w:val="nil"/>
                    <w:tr2bl w:val="nil"/>
                  </w:tcBorders>
                  <w:shd w:val="clear" w:color="auto" w:fill="auto"/>
                  <w:noWrap w:val="0"/>
                  <w:vAlign w:val="center"/>
                </w:tcPr>
                <w:p w14:paraId="0D717E9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22.00</w:t>
                  </w:r>
                </w:p>
              </w:tc>
              <w:tc>
                <w:tcPr>
                  <w:tcW w:w="770" w:type="pct"/>
                  <w:tcBorders>
                    <w:tl2br w:val="nil"/>
                    <w:tr2bl w:val="nil"/>
                  </w:tcBorders>
                  <w:shd w:val="clear" w:color="auto" w:fill="auto"/>
                  <w:noWrap w:val="0"/>
                  <w:vAlign w:val="center"/>
                </w:tcPr>
                <w:p w14:paraId="69CD7FD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564F969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2B7239C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15</w:t>
                  </w:r>
                </w:p>
              </w:tc>
              <w:tc>
                <w:tcPr>
                  <w:tcW w:w="840" w:type="pct"/>
                  <w:tcBorders>
                    <w:tl2br w:val="nil"/>
                    <w:tr2bl w:val="nil"/>
                  </w:tcBorders>
                  <w:shd w:val="clear" w:color="auto" w:fill="auto"/>
                  <w:noWrap w:val="0"/>
                  <w:vAlign w:val="center"/>
                </w:tcPr>
                <w:p w14:paraId="134C784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搅拌锅电机</w:t>
                  </w:r>
                </w:p>
              </w:tc>
              <w:tc>
                <w:tcPr>
                  <w:tcW w:w="1429" w:type="pct"/>
                  <w:tcBorders>
                    <w:tl2br w:val="nil"/>
                    <w:tr2bl w:val="nil"/>
                  </w:tcBorders>
                  <w:shd w:val="clear" w:color="auto" w:fill="auto"/>
                  <w:noWrap w:val="0"/>
                  <w:vAlign w:val="center"/>
                </w:tcPr>
                <w:p w14:paraId="38895BF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DVE280S4</w:t>
                  </w:r>
                </w:p>
              </w:tc>
              <w:tc>
                <w:tcPr>
                  <w:tcW w:w="619" w:type="pct"/>
                  <w:tcBorders>
                    <w:tl2br w:val="nil"/>
                    <w:tr2bl w:val="nil"/>
                  </w:tcBorders>
                  <w:shd w:val="clear" w:color="auto" w:fill="auto"/>
                  <w:noWrap w:val="0"/>
                  <w:vAlign w:val="center"/>
                </w:tcPr>
                <w:p w14:paraId="5F328A5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2</w:t>
                  </w:r>
                </w:p>
              </w:tc>
              <w:tc>
                <w:tcPr>
                  <w:tcW w:w="931" w:type="pct"/>
                  <w:gridSpan w:val="2"/>
                  <w:tcBorders>
                    <w:tl2br w:val="nil"/>
                    <w:tr2bl w:val="nil"/>
                  </w:tcBorders>
                  <w:shd w:val="clear" w:color="auto" w:fill="auto"/>
                  <w:noWrap w:val="0"/>
                  <w:vAlign w:val="center"/>
                </w:tcPr>
                <w:p w14:paraId="35ED503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75.00</w:t>
                  </w:r>
                </w:p>
              </w:tc>
              <w:tc>
                <w:tcPr>
                  <w:tcW w:w="770" w:type="pct"/>
                  <w:tcBorders>
                    <w:tl2br w:val="nil"/>
                    <w:tr2bl w:val="nil"/>
                  </w:tcBorders>
                  <w:shd w:val="clear" w:color="auto" w:fill="auto"/>
                  <w:noWrap w:val="0"/>
                  <w:vAlign w:val="center"/>
                </w:tcPr>
                <w:p w14:paraId="67370BD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47583F9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636F8A5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16</w:t>
                  </w:r>
                </w:p>
              </w:tc>
              <w:tc>
                <w:tcPr>
                  <w:tcW w:w="840" w:type="pct"/>
                  <w:tcBorders>
                    <w:tl2br w:val="nil"/>
                    <w:tr2bl w:val="nil"/>
                  </w:tcBorders>
                  <w:shd w:val="clear" w:color="auto" w:fill="auto"/>
                  <w:noWrap w:val="0"/>
                  <w:vAlign w:val="center"/>
                </w:tcPr>
                <w:p w14:paraId="338E04C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斗式提升机</w:t>
                  </w:r>
                </w:p>
              </w:tc>
              <w:tc>
                <w:tcPr>
                  <w:tcW w:w="1429" w:type="pct"/>
                  <w:tcBorders>
                    <w:tl2br w:val="nil"/>
                    <w:tr2bl w:val="nil"/>
                  </w:tcBorders>
                  <w:shd w:val="clear" w:color="auto" w:fill="auto"/>
                  <w:noWrap w:val="0"/>
                  <w:vAlign w:val="center"/>
                </w:tcPr>
                <w:p w14:paraId="29966FF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1LE0001-2AB43-3AA4</w:t>
                  </w:r>
                </w:p>
              </w:tc>
              <w:tc>
                <w:tcPr>
                  <w:tcW w:w="619" w:type="pct"/>
                  <w:tcBorders>
                    <w:tl2br w:val="nil"/>
                    <w:tr2bl w:val="nil"/>
                  </w:tcBorders>
                  <w:shd w:val="clear" w:color="auto" w:fill="auto"/>
                  <w:noWrap w:val="0"/>
                  <w:vAlign w:val="center"/>
                </w:tcPr>
                <w:p w14:paraId="787E0F8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931" w:type="pct"/>
                  <w:gridSpan w:val="2"/>
                  <w:tcBorders>
                    <w:tl2br w:val="nil"/>
                    <w:tr2bl w:val="nil"/>
                  </w:tcBorders>
                  <w:shd w:val="clear" w:color="auto" w:fill="auto"/>
                  <w:noWrap w:val="0"/>
                  <w:vAlign w:val="center"/>
                </w:tcPr>
                <w:p w14:paraId="2539CA3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37.00</w:t>
                  </w:r>
                </w:p>
              </w:tc>
              <w:tc>
                <w:tcPr>
                  <w:tcW w:w="770" w:type="pct"/>
                  <w:tcBorders>
                    <w:tl2br w:val="nil"/>
                    <w:tr2bl w:val="nil"/>
                  </w:tcBorders>
                  <w:shd w:val="clear" w:color="auto" w:fill="auto"/>
                  <w:noWrap w:val="0"/>
                  <w:vAlign w:val="center"/>
                </w:tcPr>
                <w:p w14:paraId="3D29B04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5D21184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24" w:hRule="atLeast"/>
                <w:jc w:val="center"/>
              </w:trPr>
              <w:tc>
                <w:tcPr>
                  <w:tcW w:w="408" w:type="pct"/>
                  <w:tcBorders>
                    <w:tl2br w:val="nil"/>
                    <w:tr2bl w:val="nil"/>
                  </w:tcBorders>
                  <w:shd w:val="clear" w:color="auto" w:fill="auto"/>
                  <w:noWrap w:val="0"/>
                  <w:vAlign w:val="center"/>
                </w:tcPr>
                <w:p w14:paraId="250AB37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17</w:t>
                  </w:r>
                </w:p>
              </w:tc>
              <w:tc>
                <w:tcPr>
                  <w:tcW w:w="840" w:type="pct"/>
                  <w:tcBorders>
                    <w:tl2br w:val="nil"/>
                    <w:tr2bl w:val="nil"/>
                  </w:tcBorders>
                  <w:shd w:val="clear" w:color="auto" w:fill="auto"/>
                  <w:noWrap w:val="0"/>
                  <w:vAlign w:val="center"/>
                </w:tcPr>
                <w:p w14:paraId="0DE06C5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cs="Times New Roman"/>
                      <w:i w:val="0"/>
                      <w:iCs w:val="0"/>
                      <w:color w:val="000000"/>
                      <w:sz w:val="21"/>
                      <w:szCs w:val="21"/>
                      <w:u w:val="none"/>
                      <w:lang w:val="en-US" w:eastAsia="zh-CN"/>
                    </w:rPr>
                    <w:t>振动筛</w:t>
                  </w:r>
                  <w:r>
                    <w:rPr>
                      <w:rFonts w:hint="default" w:ascii="Times New Roman" w:hAnsi="Times New Roman" w:eastAsia="宋体" w:cs="Times New Roman"/>
                      <w:i w:val="0"/>
                      <w:iCs w:val="0"/>
                      <w:color w:val="000000"/>
                      <w:sz w:val="21"/>
                      <w:szCs w:val="21"/>
                      <w:u w:val="none"/>
                    </w:rPr>
                    <w:t>电机</w:t>
                  </w:r>
                </w:p>
              </w:tc>
              <w:tc>
                <w:tcPr>
                  <w:tcW w:w="1429" w:type="pct"/>
                  <w:tcBorders>
                    <w:tl2br w:val="nil"/>
                    <w:tr2bl w:val="nil"/>
                  </w:tcBorders>
                  <w:shd w:val="clear" w:color="auto" w:fill="auto"/>
                  <w:noWrap w:val="0"/>
                  <w:vAlign w:val="center"/>
                </w:tcPr>
                <w:p w14:paraId="03A0F52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1LE0002-1DA43-3FA4</w:t>
                  </w:r>
                </w:p>
              </w:tc>
              <w:tc>
                <w:tcPr>
                  <w:tcW w:w="619" w:type="pct"/>
                  <w:tcBorders>
                    <w:tl2br w:val="nil"/>
                    <w:tr2bl w:val="nil"/>
                  </w:tcBorders>
                  <w:shd w:val="clear" w:color="auto" w:fill="auto"/>
                  <w:noWrap w:val="0"/>
                  <w:vAlign w:val="center"/>
                </w:tcPr>
                <w:p w14:paraId="266B862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2</w:t>
                  </w:r>
                </w:p>
              </w:tc>
              <w:tc>
                <w:tcPr>
                  <w:tcW w:w="931" w:type="pct"/>
                  <w:gridSpan w:val="2"/>
                  <w:tcBorders>
                    <w:tl2br w:val="nil"/>
                    <w:tr2bl w:val="nil"/>
                  </w:tcBorders>
                  <w:shd w:val="clear" w:color="auto" w:fill="auto"/>
                  <w:noWrap w:val="0"/>
                  <w:vAlign w:val="center"/>
                </w:tcPr>
                <w:p w14:paraId="1857335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18.50</w:t>
                  </w:r>
                </w:p>
              </w:tc>
              <w:tc>
                <w:tcPr>
                  <w:tcW w:w="770" w:type="pct"/>
                  <w:tcBorders>
                    <w:tl2br w:val="nil"/>
                    <w:tr2bl w:val="nil"/>
                  </w:tcBorders>
                  <w:shd w:val="clear" w:color="auto" w:fill="auto"/>
                  <w:noWrap w:val="0"/>
                  <w:vAlign w:val="center"/>
                </w:tcPr>
                <w:p w14:paraId="0D0E217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298BF41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1582DB9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18</w:t>
                  </w:r>
                </w:p>
              </w:tc>
              <w:tc>
                <w:tcPr>
                  <w:tcW w:w="840" w:type="pct"/>
                  <w:tcBorders>
                    <w:tl2br w:val="nil"/>
                    <w:tr2bl w:val="nil"/>
                  </w:tcBorders>
                  <w:shd w:val="clear" w:color="auto" w:fill="auto"/>
                  <w:noWrap w:val="0"/>
                  <w:vAlign w:val="center"/>
                </w:tcPr>
                <w:p w14:paraId="03B8001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粉料提升机</w:t>
                  </w:r>
                </w:p>
              </w:tc>
              <w:tc>
                <w:tcPr>
                  <w:tcW w:w="1429" w:type="pct"/>
                  <w:tcBorders>
                    <w:tl2br w:val="nil"/>
                    <w:tr2bl w:val="nil"/>
                  </w:tcBorders>
                  <w:shd w:val="clear" w:color="auto" w:fill="auto"/>
                  <w:noWrap w:val="0"/>
                  <w:vAlign w:val="center"/>
                </w:tcPr>
                <w:p w14:paraId="481CEBA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1LE0001-1CB23-3FA4</w:t>
                  </w:r>
                </w:p>
              </w:tc>
              <w:tc>
                <w:tcPr>
                  <w:tcW w:w="619" w:type="pct"/>
                  <w:tcBorders>
                    <w:tl2br w:val="nil"/>
                    <w:tr2bl w:val="nil"/>
                  </w:tcBorders>
                  <w:shd w:val="clear" w:color="auto" w:fill="auto"/>
                  <w:noWrap w:val="0"/>
                  <w:vAlign w:val="center"/>
                </w:tcPr>
                <w:p w14:paraId="049CD45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931" w:type="pct"/>
                  <w:gridSpan w:val="2"/>
                  <w:tcBorders>
                    <w:tl2br w:val="nil"/>
                    <w:tr2bl w:val="nil"/>
                  </w:tcBorders>
                  <w:shd w:val="clear" w:color="auto" w:fill="auto"/>
                  <w:noWrap w:val="0"/>
                  <w:vAlign w:val="center"/>
                </w:tcPr>
                <w:p w14:paraId="34C7949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7.50</w:t>
                  </w:r>
                </w:p>
              </w:tc>
              <w:tc>
                <w:tcPr>
                  <w:tcW w:w="770" w:type="pct"/>
                  <w:tcBorders>
                    <w:tl2br w:val="nil"/>
                    <w:tr2bl w:val="nil"/>
                  </w:tcBorders>
                  <w:shd w:val="clear" w:color="auto" w:fill="auto"/>
                  <w:noWrap w:val="0"/>
                  <w:vAlign w:val="center"/>
                </w:tcPr>
                <w:p w14:paraId="7F100BE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4E5BC1E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3D0A647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19</w:t>
                  </w:r>
                </w:p>
              </w:tc>
              <w:tc>
                <w:tcPr>
                  <w:tcW w:w="840" w:type="pct"/>
                  <w:tcBorders>
                    <w:tl2br w:val="nil"/>
                    <w:tr2bl w:val="nil"/>
                  </w:tcBorders>
                  <w:shd w:val="clear" w:color="auto" w:fill="auto"/>
                  <w:noWrap w:val="0"/>
                  <w:vAlign w:val="center"/>
                </w:tcPr>
                <w:p w14:paraId="00D28D4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粉</w:t>
                  </w:r>
                  <w:r>
                    <w:rPr>
                      <w:rFonts w:hint="eastAsia" w:ascii="Times New Roman" w:hAnsi="Times New Roman" w:cs="Times New Roman"/>
                      <w:i w:val="0"/>
                      <w:iCs w:val="0"/>
                      <w:color w:val="000000"/>
                      <w:sz w:val="21"/>
                      <w:szCs w:val="21"/>
                      <w:u w:val="none"/>
                      <w:lang w:val="en-US" w:eastAsia="zh-CN"/>
                    </w:rPr>
                    <w:t>料</w:t>
                  </w:r>
                  <w:r>
                    <w:rPr>
                      <w:rFonts w:hint="default" w:ascii="Times New Roman" w:hAnsi="Times New Roman" w:eastAsia="宋体" w:cs="Times New Roman"/>
                      <w:i w:val="0"/>
                      <w:iCs w:val="0"/>
                      <w:color w:val="000000"/>
                      <w:sz w:val="21"/>
                      <w:szCs w:val="21"/>
                      <w:u w:val="none"/>
                    </w:rPr>
                    <w:t>螺旋</w:t>
                  </w:r>
                </w:p>
              </w:tc>
              <w:tc>
                <w:tcPr>
                  <w:tcW w:w="1429" w:type="pct"/>
                  <w:tcBorders>
                    <w:tl2br w:val="nil"/>
                    <w:tr2bl w:val="nil"/>
                  </w:tcBorders>
                  <w:shd w:val="clear" w:color="auto" w:fill="auto"/>
                  <w:noWrap w:val="0"/>
                  <w:vAlign w:val="center"/>
                </w:tcPr>
                <w:p w14:paraId="3221B48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1LE0003-1AB52-1FA4</w:t>
                  </w:r>
                </w:p>
              </w:tc>
              <w:tc>
                <w:tcPr>
                  <w:tcW w:w="619" w:type="pct"/>
                  <w:tcBorders>
                    <w:tl2br w:val="nil"/>
                    <w:tr2bl w:val="nil"/>
                  </w:tcBorders>
                  <w:shd w:val="clear" w:color="auto" w:fill="auto"/>
                  <w:noWrap w:val="0"/>
                  <w:vAlign w:val="center"/>
                </w:tcPr>
                <w:p w14:paraId="2483AB5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7</w:t>
                  </w:r>
                </w:p>
              </w:tc>
              <w:tc>
                <w:tcPr>
                  <w:tcW w:w="931" w:type="pct"/>
                  <w:gridSpan w:val="2"/>
                  <w:tcBorders>
                    <w:tl2br w:val="nil"/>
                    <w:tr2bl w:val="nil"/>
                  </w:tcBorders>
                  <w:shd w:val="clear" w:color="auto" w:fill="auto"/>
                  <w:noWrap w:val="0"/>
                  <w:vAlign w:val="center"/>
                </w:tcPr>
                <w:p w14:paraId="6B30503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3.00</w:t>
                  </w:r>
                </w:p>
              </w:tc>
              <w:tc>
                <w:tcPr>
                  <w:tcW w:w="770" w:type="pct"/>
                  <w:tcBorders>
                    <w:tl2br w:val="nil"/>
                    <w:tr2bl w:val="nil"/>
                  </w:tcBorders>
                  <w:shd w:val="clear" w:color="auto" w:fill="auto"/>
                  <w:noWrap w:val="0"/>
                  <w:vAlign w:val="center"/>
                </w:tcPr>
                <w:p w14:paraId="4C5DF6F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1D557E5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1584EA8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b/>
                      <w:bCs/>
                      <w:i w:val="0"/>
                      <w:iCs w:val="0"/>
                      <w:color w:val="000000"/>
                      <w:sz w:val="21"/>
                      <w:szCs w:val="21"/>
                      <w:u w:val="none"/>
                      <w:lang w:val="en-US" w:eastAsia="zh-CN"/>
                    </w:rPr>
                  </w:pPr>
                  <w:r>
                    <w:rPr>
                      <w:rFonts w:hint="eastAsia" w:ascii="Times New Roman" w:hAnsi="Times New Roman" w:cs="Times New Roman"/>
                      <w:b/>
                      <w:bCs/>
                      <w:i w:val="0"/>
                      <w:iCs w:val="0"/>
                      <w:color w:val="000000"/>
                      <w:sz w:val="21"/>
                      <w:szCs w:val="21"/>
                      <w:u w:val="none"/>
                      <w:lang w:val="en-US" w:eastAsia="zh-CN"/>
                    </w:rPr>
                    <w:t>三</w:t>
                  </w:r>
                </w:p>
              </w:tc>
              <w:tc>
                <w:tcPr>
                  <w:tcW w:w="4591" w:type="pct"/>
                  <w:gridSpan w:val="6"/>
                  <w:tcBorders>
                    <w:tl2br w:val="nil"/>
                    <w:tr2bl w:val="nil"/>
                  </w:tcBorders>
                  <w:shd w:val="clear" w:color="auto" w:fill="auto"/>
                  <w:noWrap w:val="0"/>
                  <w:vAlign w:val="center"/>
                </w:tcPr>
                <w:p w14:paraId="645F12E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sz w:val="21"/>
                      <w:szCs w:val="21"/>
                      <w:u w:val="none"/>
                    </w:rPr>
                    <w:t>除尘系统</w:t>
                  </w:r>
                </w:p>
              </w:tc>
            </w:tr>
            <w:tr w14:paraId="3C60A11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13" w:hRule="atLeast"/>
                <w:jc w:val="center"/>
              </w:trPr>
              <w:tc>
                <w:tcPr>
                  <w:tcW w:w="408" w:type="pct"/>
                  <w:tcBorders>
                    <w:tl2br w:val="nil"/>
                    <w:tr2bl w:val="nil"/>
                  </w:tcBorders>
                  <w:shd w:val="clear" w:color="auto" w:fill="auto"/>
                  <w:noWrap w:val="0"/>
                  <w:vAlign w:val="center"/>
                </w:tcPr>
                <w:p w14:paraId="06F6924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840" w:type="pct"/>
                  <w:tcBorders>
                    <w:tl2br w:val="nil"/>
                    <w:tr2bl w:val="nil"/>
                  </w:tcBorders>
                  <w:shd w:val="clear" w:color="auto" w:fill="auto"/>
                  <w:noWrap w:val="0"/>
                  <w:vAlign w:val="center"/>
                </w:tcPr>
                <w:p w14:paraId="45CB217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引风机</w:t>
                  </w:r>
                </w:p>
              </w:tc>
              <w:tc>
                <w:tcPr>
                  <w:tcW w:w="1429" w:type="pct"/>
                  <w:tcBorders>
                    <w:tl2br w:val="nil"/>
                    <w:tr2bl w:val="nil"/>
                  </w:tcBorders>
                  <w:shd w:val="clear" w:color="auto" w:fill="auto"/>
                  <w:noWrap w:val="0"/>
                  <w:vAlign w:val="center"/>
                </w:tcPr>
                <w:p w14:paraId="028C5C2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cs="Times New Roman"/>
                      <w:i w:val="0"/>
                      <w:iCs w:val="0"/>
                      <w:color w:val="000000"/>
                      <w:sz w:val="21"/>
                      <w:szCs w:val="21"/>
                      <w:u w:val="none"/>
                      <w:lang w:val="en-US" w:eastAsia="zh-CN"/>
                    </w:rPr>
                    <w:t>YE</w:t>
                  </w:r>
                  <w:r>
                    <w:rPr>
                      <w:rFonts w:hint="default" w:ascii="Times New Roman" w:hAnsi="Times New Roman" w:eastAsia="宋体" w:cs="Times New Roman"/>
                      <w:i w:val="0"/>
                      <w:iCs w:val="0"/>
                      <w:color w:val="000000"/>
                      <w:sz w:val="21"/>
                      <w:szCs w:val="21"/>
                      <w:u w:val="none"/>
                    </w:rPr>
                    <w:t>4-315L2-4</w:t>
                  </w:r>
                </w:p>
              </w:tc>
              <w:tc>
                <w:tcPr>
                  <w:tcW w:w="619" w:type="pct"/>
                  <w:tcBorders>
                    <w:tl2br w:val="nil"/>
                    <w:tr2bl w:val="nil"/>
                  </w:tcBorders>
                  <w:shd w:val="clear" w:color="auto" w:fill="auto"/>
                  <w:noWrap w:val="0"/>
                  <w:vAlign w:val="center"/>
                </w:tcPr>
                <w:p w14:paraId="781CBF2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931" w:type="pct"/>
                  <w:gridSpan w:val="2"/>
                  <w:tcBorders>
                    <w:tl2br w:val="nil"/>
                    <w:tr2bl w:val="nil"/>
                  </w:tcBorders>
                  <w:shd w:val="clear" w:color="auto" w:fill="auto"/>
                  <w:noWrap w:val="0"/>
                  <w:vAlign w:val="center"/>
                </w:tcPr>
                <w:p w14:paraId="7876A9C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200.00</w:t>
                  </w:r>
                </w:p>
              </w:tc>
              <w:tc>
                <w:tcPr>
                  <w:tcW w:w="770" w:type="pct"/>
                  <w:tcBorders>
                    <w:tl2br w:val="nil"/>
                    <w:tr2bl w:val="nil"/>
                  </w:tcBorders>
                  <w:shd w:val="clear" w:color="auto" w:fill="auto"/>
                  <w:noWrap w:val="0"/>
                  <w:vAlign w:val="center"/>
                </w:tcPr>
                <w:p w14:paraId="15DE420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7CE0E10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0BE5AAA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2</w:t>
                  </w:r>
                </w:p>
              </w:tc>
              <w:tc>
                <w:tcPr>
                  <w:tcW w:w="840" w:type="pct"/>
                  <w:tcBorders>
                    <w:tl2br w:val="nil"/>
                    <w:tr2bl w:val="nil"/>
                  </w:tcBorders>
                  <w:shd w:val="clear" w:color="auto" w:fill="auto"/>
                  <w:noWrap w:val="0"/>
                  <w:vAlign w:val="center"/>
                </w:tcPr>
                <w:p w14:paraId="7D8B1A6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鼓风机</w:t>
                  </w:r>
                </w:p>
              </w:tc>
              <w:tc>
                <w:tcPr>
                  <w:tcW w:w="1429" w:type="pct"/>
                  <w:tcBorders>
                    <w:tl2br w:val="nil"/>
                    <w:tr2bl w:val="nil"/>
                  </w:tcBorders>
                  <w:shd w:val="clear" w:color="auto" w:fill="auto"/>
                  <w:noWrap w:val="0"/>
                  <w:vAlign w:val="center"/>
                </w:tcPr>
                <w:p w14:paraId="113E09B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YE4-280S-4</w:t>
                  </w:r>
                </w:p>
              </w:tc>
              <w:tc>
                <w:tcPr>
                  <w:tcW w:w="619" w:type="pct"/>
                  <w:tcBorders>
                    <w:tl2br w:val="nil"/>
                    <w:tr2bl w:val="nil"/>
                  </w:tcBorders>
                  <w:shd w:val="clear" w:color="auto" w:fill="auto"/>
                  <w:noWrap w:val="0"/>
                  <w:vAlign w:val="center"/>
                </w:tcPr>
                <w:p w14:paraId="3F9AB49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931" w:type="pct"/>
                  <w:gridSpan w:val="2"/>
                  <w:tcBorders>
                    <w:tl2br w:val="nil"/>
                    <w:tr2bl w:val="nil"/>
                  </w:tcBorders>
                  <w:shd w:val="clear" w:color="auto" w:fill="auto"/>
                  <w:noWrap w:val="0"/>
                  <w:vAlign w:val="center"/>
                </w:tcPr>
                <w:p w14:paraId="019A3A5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75.00</w:t>
                  </w:r>
                </w:p>
              </w:tc>
              <w:tc>
                <w:tcPr>
                  <w:tcW w:w="770" w:type="pct"/>
                  <w:tcBorders>
                    <w:tl2br w:val="nil"/>
                    <w:tr2bl w:val="nil"/>
                  </w:tcBorders>
                  <w:shd w:val="clear" w:color="auto" w:fill="auto"/>
                  <w:noWrap w:val="0"/>
                  <w:vAlign w:val="center"/>
                </w:tcPr>
                <w:p w14:paraId="1F11C70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04994B7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092F223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b/>
                      <w:bCs/>
                      <w:i w:val="0"/>
                      <w:iCs w:val="0"/>
                      <w:color w:val="000000"/>
                      <w:sz w:val="21"/>
                      <w:szCs w:val="21"/>
                      <w:u w:val="none"/>
                      <w:lang w:val="en-US" w:eastAsia="zh-CN"/>
                    </w:rPr>
                  </w:pPr>
                  <w:r>
                    <w:rPr>
                      <w:rFonts w:hint="eastAsia" w:ascii="Times New Roman" w:hAnsi="Times New Roman" w:cs="Times New Roman"/>
                      <w:b/>
                      <w:bCs/>
                      <w:i w:val="0"/>
                      <w:iCs w:val="0"/>
                      <w:color w:val="000000"/>
                      <w:sz w:val="21"/>
                      <w:szCs w:val="21"/>
                      <w:u w:val="none"/>
                      <w:lang w:val="en-US" w:eastAsia="zh-CN"/>
                    </w:rPr>
                    <w:t>四</w:t>
                  </w:r>
                </w:p>
              </w:tc>
              <w:tc>
                <w:tcPr>
                  <w:tcW w:w="2891" w:type="pct"/>
                  <w:gridSpan w:val="4"/>
                  <w:tcBorders>
                    <w:tl2br w:val="nil"/>
                    <w:tr2bl w:val="nil"/>
                  </w:tcBorders>
                  <w:shd w:val="clear" w:color="auto" w:fill="auto"/>
                  <w:noWrap w:val="0"/>
                  <w:vAlign w:val="center"/>
                </w:tcPr>
                <w:p w14:paraId="6B0258D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b/>
                      <w:bCs/>
                      <w:i w:val="0"/>
                      <w:iCs w:val="0"/>
                      <w:color w:val="000000"/>
                      <w:sz w:val="21"/>
                      <w:szCs w:val="21"/>
                      <w:u w:val="none"/>
                      <w:lang w:val="en-US" w:eastAsia="zh-CN"/>
                    </w:rPr>
                  </w:pPr>
                  <w:r>
                    <w:rPr>
                      <w:rFonts w:hint="eastAsia" w:ascii="Times New Roman" w:hAnsi="Times New Roman" w:cs="Times New Roman"/>
                      <w:b/>
                      <w:bCs/>
                      <w:i w:val="0"/>
                      <w:iCs w:val="0"/>
                      <w:color w:val="000000"/>
                      <w:sz w:val="21"/>
                      <w:szCs w:val="21"/>
                      <w:u w:val="none"/>
                      <w:lang w:val="en-US" w:eastAsia="zh-CN"/>
                    </w:rPr>
                    <w:t>加热系统</w:t>
                  </w:r>
                </w:p>
              </w:tc>
              <w:tc>
                <w:tcPr>
                  <w:tcW w:w="929" w:type="pct"/>
                  <w:tcBorders>
                    <w:tl2br w:val="nil"/>
                    <w:tr2bl w:val="nil"/>
                  </w:tcBorders>
                  <w:shd w:val="clear" w:color="auto" w:fill="auto"/>
                  <w:noWrap w:val="0"/>
                  <w:vAlign w:val="center"/>
                </w:tcPr>
                <w:p w14:paraId="58C2A81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bCs/>
                      <w:i w:val="0"/>
                      <w:iCs w:val="0"/>
                      <w:color w:val="000000"/>
                      <w:sz w:val="21"/>
                      <w:szCs w:val="21"/>
                      <w:u w:val="none"/>
                    </w:rPr>
                  </w:pPr>
                </w:p>
              </w:tc>
              <w:tc>
                <w:tcPr>
                  <w:tcW w:w="770" w:type="pct"/>
                  <w:tcBorders>
                    <w:tl2br w:val="nil"/>
                    <w:tr2bl w:val="nil"/>
                  </w:tcBorders>
                  <w:shd w:val="clear" w:color="auto" w:fill="auto"/>
                  <w:noWrap w:val="0"/>
                  <w:vAlign w:val="center"/>
                </w:tcPr>
                <w:p w14:paraId="401839D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bCs/>
                      <w:i w:val="0"/>
                      <w:iCs w:val="0"/>
                      <w:color w:val="000000"/>
                      <w:sz w:val="21"/>
                      <w:szCs w:val="21"/>
                      <w:u w:val="none"/>
                    </w:rPr>
                  </w:pPr>
                </w:p>
              </w:tc>
            </w:tr>
            <w:tr w14:paraId="45FF967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2018359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840" w:type="pct"/>
                  <w:tcBorders>
                    <w:tl2br w:val="nil"/>
                    <w:tr2bl w:val="nil"/>
                  </w:tcBorders>
                  <w:shd w:val="clear" w:color="auto" w:fill="auto"/>
                  <w:noWrap w:val="0"/>
                  <w:vAlign w:val="center"/>
                </w:tcPr>
                <w:p w14:paraId="0FCCB71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导热油炉</w:t>
                  </w:r>
                </w:p>
              </w:tc>
              <w:tc>
                <w:tcPr>
                  <w:tcW w:w="1429" w:type="pct"/>
                  <w:tcBorders>
                    <w:tl2br w:val="nil"/>
                    <w:tr2bl w:val="nil"/>
                  </w:tcBorders>
                  <w:shd w:val="clear" w:color="auto" w:fill="auto"/>
                  <w:noWrap w:val="0"/>
                  <w:vAlign w:val="center"/>
                </w:tcPr>
                <w:p w14:paraId="101AA08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1LE0002-1EA23-3FA4</w:t>
                  </w:r>
                </w:p>
              </w:tc>
              <w:tc>
                <w:tcPr>
                  <w:tcW w:w="619" w:type="pct"/>
                  <w:tcBorders>
                    <w:tl2br w:val="nil"/>
                    <w:tr2bl w:val="nil"/>
                  </w:tcBorders>
                  <w:shd w:val="clear" w:color="auto" w:fill="auto"/>
                  <w:noWrap w:val="0"/>
                  <w:vAlign w:val="center"/>
                </w:tcPr>
                <w:p w14:paraId="463B817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2</w:t>
                  </w:r>
                </w:p>
              </w:tc>
              <w:tc>
                <w:tcPr>
                  <w:tcW w:w="931" w:type="pct"/>
                  <w:gridSpan w:val="2"/>
                  <w:tcBorders>
                    <w:tl2br w:val="nil"/>
                    <w:tr2bl w:val="nil"/>
                  </w:tcBorders>
                  <w:shd w:val="clear" w:color="auto" w:fill="auto"/>
                  <w:noWrap w:val="0"/>
                  <w:vAlign w:val="center"/>
                </w:tcPr>
                <w:p w14:paraId="01D182F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22.00</w:t>
                  </w:r>
                </w:p>
              </w:tc>
              <w:tc>
                <w:tcPr>
                  <w:tcW w:w="770" w:type="pct"/>
                  <w:tcBorders>
                    <w:tl2br w:val="nil"/>
                    <w:tr2bl w:val="nil"/>
                  </w:tcBorders>
                  <w:shd w:val="clear" w:color="auto" w:fill="auto"/>
                  <w:noWrap w:val="0"/>
                  <w:vAlign w:val="center"/>
                </w:tcPr>
                <w:p w14:paraId="55F2AB2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一用一备</w:t>
                  </w:r>
                </w:p>
              </w:tc>
            </w:tr>
            <w:tr w14:paraId="2EFD763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7547FF7C">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2</w:t>
                  </w:r>
                </w:p>
              </w:tc>
              <w:tc>
                <w:tcPr>
                  <w:tcW w:w="840" w:type="pct"/>
                  <w:tcBorders>
                    <w:tl2br w:val="nil"/>
                    <w:tr2bl w:val="nil"/>
                  </w:tcBorders>
                  <w:shd w:val="clear" w:color="auto" w:fill="auto"/>
                  <w:noWrap w:val="0"/>
                  <w:vAlign w:val="center"/>
                </w:tcPr>
                <w:p w14:paraId="79C68DAC">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导热油增压泵</w:t>
                  </w:r>
                </w:p>
              </w:tc>
              <w:tc>
                <w:tcPr>
                  <w:tcW w:w="1429" w:type="pct"/>
                  <w:tcBorders>
                    <w:tl2br w:val="nil"/>
                    <w:tr2bl w:val="nil"/>
                  </w:tcBorders>
                  <w:shd w:val="clear" w:color="auto" w:fill="auto"/>
                  <w:noWrap w:val="0"/>
                  <w:vAlign w:val="center"/>
                </w:tcPr>
                <w:p w14:paraId="4B5A511B">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MN90L</w:t>
                  </w:r>
                </w:p>
              </w:tc>
              <w:tc>
                <w:tcPr>
                  <w:tcW w:w="619" w:type="pct"/>
                  <w:tcBorders>
                    <w:tl2br w:val="nil"/>
                    <w:tr2bl w:val="nil"/>
                  </w:tcBorders>
                  <w:shd w:val="clear" w:color="auto" w:fill="auto"/>
                  <w:noWrap w:val="0"/>
                  <w:vAlign w:val="center"/>
                </w:tcPr>
                <w:p w14:paraId="106D4F1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931" w:type="pct"/>
                  <w:gridSpan w:val="2"/>
                  <w:tcBorders>
                    <w:tl2br w:val="nil"/>
                    <w:tr2bl w:val="nil"/>
                  </w:tcBorders>
                  <w:shd w:val="clear" w:color="auto" w:fill="auto"/>
                  <w:noWrap w:val="0"/>
                  <w:vAlign w:val="center"/>
                </w:tcPr>
                <w:p w14:paraId="069DA3D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2.20</w:t>
                  </w:r>
                </w:p>
              </w:tc>
              <w:tc>
                <w:tcPr>
                  <w:tcW w:w="770" w:type="pct"/>
                  <w:tcBorders>
                    <w:tl2br w:val="nil"/>
                    <w:tr2bl w:val="nil"/>
                  </w:tcBorders>
                  <w:shd w:val="clear" w:color="auto" w:fill="auto"/>
                  <w:noWrap w:val="0"/>
                  <w:vAlign w:val="center"/>
                </w:tcPr>
                <w:p w14:paraId="495999F5">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p>
              </w:tc>
            </w:tr>
            <w:tr w14:paraId="61FAEC7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7788CEB2">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3</w:t>
                  </w:r>
                </w:p>
              </w:tc>
              <w:tc>
                <w:tcPr>
                  <w:tcW w:w="840" w:type="pct"/>
                  <w:tcBorders>
                    <w:tl2br w:val="nil"/>
                    <w:tr2bl w:val="nil"/>
                  </w:tcBorders>
                  <w:shd w:val="clear" w:color="auto" w:fill="auto"/>
                  <w:noWrap w:val="0"/>
                  <w:vAlign w:val="center"/>
                </w:tcPr>
                <w:p w14:paraId="61A49DE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小锅炉燃烧机</w:t>
                  </w:r>
                </w:p>
              </w:tc>
              <w:tc>
                <w:tcPr>
                  <w:tcW w:w="1429" w:type="pct"/>
                  <w:tcBorders>
                    <w:tl2br w:val="nil"/>
                    <w:tr2bl w:val="nil"/>
                  </w:tcBorders>
                  <w:shd w:val="clear" w:color="auto" w:fill="auto"/>
                  <w:noWrap w:val="0"/>
                  <w:vAlign w:val="center"/>
                </w:tcPr>
                <w:p w14:paraId="44092F4D">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1LE0003-0DA22-1AA4</w:t>
                  </w:r>
                </w:p>
              </w:tc>
              <w:tc>
                <w:tcPr>
                  <w:tcW w:w="619" w:type="pct"/>
                  <w:tcBorders>
                    <w:tl2br w:val="nil"/>
                    <w:tr2bl w:val="nil"/>
                  </w:tcBorders>
                  <w:shd w:val="clear" w:color="auto" w:fill="auto"/>
                  <w:noWrap w:val="0"/>
                  <w:vAlign w:val="center"/>
                </w:tcPr>
                <w:p w14:paraId="3EBBFA0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931" w:type="pct"/>
                  <w:gridSpan w:val="2"/>
                  <w:tcBorders>
                    <w:tl2br w:val="nil"/>
                    <w:tr2bl w:val="nil"/>
                  </w:tcBorders>
                  <w:shd w:val="clear" w:color="auto" w:fill="auto"/>
                  <w:noWrap w:val="0"/>
                  <w:vAlign w:val="center"/>
                </w:tcPr>
                <w:p w14:paraId="2649889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0.75</w:t>
                  </w:r>
                </w:p>
              </w:tc>
              <w:tc>
                <w:tcPr>
                  <w:tcW w:w="770" w:type="pct"/>
                  <w:tcBorders>
                    <w:tl2br w:val="nil"/>
                    <w:tr2bl w:val="nil"/>
                  </w:tcBorders>
                  <w:shd w:val="clear" w:color="auto" w:fill="auto"/>
                  <w:noWrap w:val="0"/>
                  <w:vAlign w:val="center"/>
                </w:tcPr>
                <w:p w14:paraId="0603073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5C869B8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3EF7AD1C">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4</w:t>
                  </w:r>
                </w:p>
              </w:tc>
              <w:tc>
                <w:tcPr>
                  <w:tcW w:w="840" w:type="pct"/>
                  <w:tcBorders>
                    <w:tl2br w:val="nil"/>
                    <w:tr2bl w:val="nil"/>
                  </w:tcBorders>
                  <w:shd w:val="clear" w:color="auto" w:fill="auto"/>
                  <w:noWrap w:val="0"/>
                  <w:vAlign w:val="center"/>
                </w:tcPr>
                <w:p w14:paraId="163EA1E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注油泵</w:t>
                  </w:r>
                </w:p>
              </w:tc>
              <w:tc>
                <w:tcPr>
                  <w:tcW w:w="1429" w:type="pct"/>
                  <w:tcBorders>
                    <w:tl2br w:val="nil"/>
                    <w:tr2bl w:val="nil"/>
                  </w:tcBorders>
                  <w:shd w:val="clear" w:color="auto" w:fill="auto"/>
                  <w:noWrap w:val="0"/>
                  <w:vAlign w:val="center"/>
                </w:tcPr>
                <w:p w14:paraId="14617595">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1LE0001-0EB42-1JA4</w:t>
                  </w:r>
                </w:p>
              </w:tc>
              <w:tc>
                <w:tcPr>
                  <w:tcW w:w="619" w:type="pct"/>
                  <w:tcBorders>
                    <w:tl2br w:val="nil"/>
                    <w:tr2bl w:val="nil"/>
                  </w:tcBorders>
                  <w:shd w:val="clear" w:color="auto" w:fill="auto"/>
                  <w:noWrap w:val="0"/>
                  <w:vAlign w:val="center"/>
                </w:tcPr>
                <w:p w14:paraId="701E638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931" w:type="pct"/>
                  <w:gridSpan w:val="2"/>
                  <w:tcBorders>
                    <w:tl2br w:val="nil"/>
                    <w:tr2bl w:val="nil"/>
                  </w:tcBorders>
                  <w:shd w:val="clear" w:color="auto" w:fill="auto"/>
                  <w:noWrap w:val="0"/>
                  <w:vAlign w:val="center"/>
                </w:tcPr>
                <w:p w14:paraId="37394C5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1.50</w:t>
                  </w:r>
                </w:p>
              </w:tc>
              <w:tc>
                <w:tcPr>
                  <w:tcW w:w="770" w:type="pct"/>
                  <w:tcBorders>
                    <w:tl2br w:val="nil"/>
                    <w:tr2bl w:val="nil"/>
                  </w:tcBorders>
                  <w:shd w:val="clear" w:color="auto" w:fill="auto"/>
                  <w:noWrap w:val="0"/>
                  <w:vAlign w:val="center"/>
                </w:tcPr>
                <w:p w14:paraId="220BFC0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7319290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69A74B6C">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5</w:t>
                  </w:r>
                </w:p>
              </w:tc>
              <w:tc>
                <w:tcPr>
                  <w:tcW w:w="840" w:type="pct"/>
                  <w:tcBorders>
                    <w:tl2br w:val="nil"/>
                    <w:tr2bl w:val="nil"/>
                  </w:tcBorders>
                  <w:shd w:val="clear" w:color="auto" w:fill="auto"/>
                  <w:noWrap w:val="0"/>
                  <w:vAlign w:val="center"/>
                </w:tcPr>
                <w:p w14:paraId="56C8600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锅炉燃烧机</w:t>
                  </w:r>
                </w:p>
              </w:tc>
              <w:tc>
                <w:tcPr>
                  <w:tcW w:w="1429" w:type="pct"/>
                  <w:tcBorders>
                    <w:tl2br w:val="nil"/>
                    <w:tr2bl w:val="nil"/>
                  </w:tcBorders>
                  <w:shd w:val="clear" w:color="auto" w:fill="auto"/>
                  <w:noWrap w:val="0"/>
                  <w:vAlign w:val="center"/>
                </w:tcPr>
                <w:p w14:paraId="2EBAB58C">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RS1</w:t>
                  </w:r>
                  <w:r>
                    <w:rPr>
                      <w:rFonts w:hint="eastAsia" w:ascii="Times New Roman" w:hAnsi="Times New Roman" w:eastAsia="宋体" w:cs="Times New Roman"/>
                      <w:i w:val="0"/>
                      <w:iCs w:val="0"/>
                      <w:color w:val="000000"/>
                      <w:sz w:val="21"/>
                      <w:szCs w:val="21"/>
                      <w:u w:val="none"/>
                      <w:lang w:val="en-US" w:eastAsia="zh-CN"/>
                    </w:rPr>
                    <w:t>00</w:t>
                  </w:r>
                </w:p>
              </w:tc>
              <w:tc>
                <w:tcPr>
                  <w:tcW w:w="619" w:type="pct"/>
                  <w:tcBorders>
                    <w:tl2br w:val="nil"/>
                    <w:tr2bl w:val="nil"/>
                  </w:tcBorders>
                  <w:shd w:val="clear" w:color="auto" w:fill="auto"/>
                  <w:noWrap w:val="0"/>
                  <w:vAlign w:val="center"/>
                </w:tcPr>
                <w:p w14:paraId="751BE82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931" w:type="pct"/>
                  <w:gridSpan w:val="2"/>
                  <w:tcBorders>
                    <w:tl2br w:val="nil"/>
                    <w:tr2bl w:val="nil"/>
                  </w:tcBorders>
                  <w:shd w:val="clear" w:color="auto" w:fill="auto"/>
                  <w:noWrap w:val="0"/>
                  <w:vAlign w:val="center"/>
                </w:tcPr>
                <w:p w14:paraId="1DD03B9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1.80</w:t>
                  </w:r>
                </w:p>
              </w:tc>
              <w:tc>
                <w:tcPr>
                  <w:tcW w:w="770" w:type="pct"/>
                  <w:tcBorders>
                    <w:tl2br w:val="nil"/>
                    <w:tr2bl w:val="nil"/>
                  </w:tcBorders>
                  <w:shd w:val="clear" w:color="auto" w:fill="auto"/>
                  <w:noWrap w:val="0"/>
                  <w:vAlign w:val="center"/>
                </w:tcPr>
                <w:p w14:paraId="0939289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774F09D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77EAFE2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i w:val="0"/>
                      <w:iCs w:val="0"/>
                      <w:color w:val="000000"/>
                      <w:sz w:val="21"/>
                      <w:szCs w:val="21"/>
                      <w:u w:val="none"/>
                      <w:lang w:val="en-US" w:eastAsia="zh-CN"/>
                    </w:rPr>
                  </w:pPr>
                  <w:r>
                    <w:rPr>
                      <w:rFonts w:hint="eastAsia" w:ascii="Times New Roman" w:hAnsi="Times New Roman" w:cs="Times New Roman"/>
                      <w:b/>
                      <w:bCs/>
                      <w:i w:val="0"/>
                      <w:iCs w:val="0"/>
                      <w:color w:val="000000"/>
                      <w:sz w:val="21"/>
                      <w:szCs w:val="21"/>
                      <w:u w:val="none"/>
                      <w:lang w:val="en-US" w:eastAsia="zh-CN"/>
                    </w:rPr>
                    <w:t>五</w:t>
                  </w:r>
                </w:p>
              </w:tc>
              <w:tc>
                <w:tcPr>
                  <w:tcW w:w="4591" w:type="pct"/>
                  <w:gridSpan w:val="6"/>
                  <w:tcBorders>
                    <w:tl2br w:val="nil"/>
                    <w:tr2bl w:val="nil"/>
                  </w:tcBorders>
                  <w:shd w:val="clear" w:color="auto" w:fill="auto"/>
                  <w:noWrap w:val="0"/>
                  <w:vAlign w:val="center"/>
                </w:tcPr>
                <w:p w14:paraId="6C1F687C">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b/>
                      <w:bCs/>
                      <w:i w:val="0"/>
                      <w:iCs w:val="0"/>
                      <w:color w:val="000000"/>
                      <w:sz w:val="21"/>
                      <w:szCs w:val="21"/>
                      <w:u w:val="none"/>
                      <w:lang w:val="en-US" w:eastAsia="zh-CN"/>
                    </w:rPr>
                  </w:pPr>
                  <w:r>
                    <w:rPr>
                      <w:rFonts w:hint="eastAsia" w:ascii="Times New Roman" w:hAnsi="Times New Roman" w:cs="Times New Roman"/>
                      <w:b/>
                      <w:bCs/>
                      <w:i w:val="0"/>
                      <w:iCs w:val="0"/>
                      <w:color w:val="000000"/>
                      <w:sz w:val="21"/>
                      <w:szCs w:val="21"/>
                      <w:u w:val="none"/>
                      <w:lang w:val="en-US" w:eastAsia="zh-CN"/>
                    </w:rPr>
                    <w:t>乳化沥青系统</w:t>
                  </w:r>
                </w:p>
              </w:tc>
            </w:tr>
            <w:tr w14:paraId="3244C5E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32393DF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840" w:type="pct"/>
                  <w:tcBorders>
                    <w:tl2br w:val="nil"/>
                    <w:tr2bl w:val="nil"/>
                  </w:tcBorders>
                  <w:shd w:val="clear" w:color="auto" w:fill="auto"/>
                  <w:noWrap w:val="0"/>
                  <w:vAlign w:val="center"/>
                </w:tcPr>
                <w:p w14:paraId="001F9BD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乳化沥青泵</w:t>
                  </w:r>
                </w:p>
              </w:tc>
              <w:tc>
                <w:tcPr>
                  <w:tcW w:w="1429" w:type="pct"/>
                  <w:tcBorders>
                    <w:tl2br w:val="nil"/>
                    <w:tr2bl w:val="nil"/>
                  </w:tcBorders>
                  <w:shd w:val="clear" w:color="auto" w:fill="auto"/>
                  <w:noWrap w:val="0"/>
                  <w:vAlign w:val="center"/>
                </w:tcPr>
                <w:p w14:paraId="67C7DD8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1LE0001-2AB43-3AA4</w:t>
                  </w:r>
                </w:p>
              </w:tc>
              <w:tc>
                <w:tcPr>
                  <w:tcW w:w="619" w:type="pct"/>
                  <w:tcBorders>
                    <w:tl2br w:val="nil"/>
                    <w:tr2bl w:val="nil"/>
                  </w:tcBorders>
                  <w:shd w:val="clear" w:color="auto" w:fill="auto"/>
                  <w:noWrap w:val="0"/>
                  <w:vAlign w:val="center"/>
                </w:tcPr>
                <w:p w14:paraId="4E488C22">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931" w:type="pct"/>
                  <w:gridSpan w:val="2"/>
                  <w:tcBorders>
                    <w:tl2br w:val="nil"/>
                    <w:tr2bl w:val="nil"/>
                  </w:tcBorders>
                  <w:shd w:val="clear" w:color="auto" w:fill="auto"/>
                  <w:noWrap w:val="0"/>
                  <w:vAlign w:val="center"/>
                </w:tcPr>
                <w:p w14:paraId="1049EDF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30.00</w:t>
                  </w:r>
                </w:p>
              </w:tc>
              <w:tc>
                <w:tcPr>
                  <w:tcW w:w="770" w:type="pct"/>
                  <w:tcBorders>
                    <w:tl2br w:val="nil"/>
                    <w:tr2bl w:val="nil"/>
                  </w:tcBorders>
                  <w:shd w:val="clear" w:color="auto" w:fill="auto"/>
                  <w:noWrap w:val="0"/>
                  <w:vAlign w:val="center"/>
                </w:tcPr>
                <w:p w14:paraId="68B1D64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6ACAA2F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314DBBE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2</w:t>
                  </w:r>
                </w:p>
              </w:tc>
              <w:tc>
                <w:tcPr>
                  <w:tcW w:w="840" w:type="pct"/>
                  <w:tcBorders>
                    <w:tl2br w:val="nil"/>
                    <w:tr2bl w:val="nil"/>
                  </w:tcBorders>
                  <w:shd w:val="clear" w:color="auto" w:fill="auto"/>
                  <w:noWrap w:val="0"/>
                  <w:vAlign w:val="center"/>
                </w:tcPr>
                <w:p w14:paraId="07D412E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沥青泵</w:t>
                  </w:r>
                </w:p>
              </w:tc>
              <w:tc>
                <w:tcPr>
                  <w:tcW w:w="1429" w:type="pct"/>
                  <w:tcBorders>
                    <w:tl2br w:val="nil"/>
                    <w:tr2bl w:val="nil"/>
                  </w:tcBorders>
                  <w:shd w:val="clear" w:color="auto" w:fill="auto"/>
                  <w:noWrap w:val="0"/>
                  <w:vAlign w:val="center"/>
                </w:tcPr>
                <w:p w14:paraId="71D59B9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MN90L</w:t>
                  </w:r>
                </w:p>
              </w:tc>
              <w:tc>
                <w:tcPr>
                  <w:tcW w:w="619" w:type="pct"/>
                  <w:tcBorders>
                    <w:tl2br w:val="nil"/>
                    <w:tr2bl w:val="nil"/>
                  </w:tcBorders>
                  <w:shd w:val="clear" w:color="auto" w:fill="auto"/>
                  <w:noWrap w:val="0"/>
                  <w:vAlign w:val="center"/>
                </w:tcPr>
                <w:p w14:paraId="6F9F6A79">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931" w:type="pct"/>
                  <w:gridSpan w:val="2"/>
                  <w:tcBorders>
                    <w:tl2br w:val="nil"/>
                    <w:tr2bl w:val="nil"/>
                  </w:tcBorders>
                  <w:shd w:val="clear" w:color="auto" w:fill="auto"/>
                  <w:noWrap w:val="0"/>
                  <w:vAlign w:val="center"/>
                </w:tcPr>
                <w:p w14:paraId="02609CA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2.20</w:t>
                  </w:r>
                </w:p>
              </w:tc>
              <w:tc>
                <w:tcPr>
                  <w:tcW w:w="770" w:type="pct"/>
                  <w:tcBorders>
                    <w:tl2br w:val="nil"/>
                    <w:tr2bl w:val="nil"/>
                  </w:tcBorders>
                  <w:shd w:val="clear" w:color="auto" w:fill="auto"/>
                  <w:noWrap w:val="0"/>
                  <w:vAlign w:val="center"/>
                </w:tcPr>
                <w:p w14:paraId="6BA87DA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218BA4C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2B25C24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3</w:t>
                  </w:r>
                </w:p>
              </w:tc>
              <w:tc>
                <w:tcPr>
                  <w:tcW w:w="840" w:type="pct"/>
                  <w:tcBorders>
                    <w:tl2br w:val="nil"/>
                    <w:tr2bl w:val="nil"/>
                  </w:tcBorders>
                  <w:shd w:val="clear" w:color="auto" w:fill="auto"/>
                  <w:noWrap w:val="0"/>
                  <w:vAlign w:val="center"/>
                </w:tcPr>
                <w:p w14:paraId="1A6A3B6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水泵</w:t>
                  </w:r>
                </w:p>
              </w:tc>
              <w:tc>
                <w:tcPr>
                  <w:tcW w:w="1429" w:type="pct"/>
                  <w:tcBorders>
                    <w:tl2br w:val="nil"/>
                    <w:tr2bl w:val="nil"/>
                  </w:tcBorders>
                  <w:shd w:val="clear" w:color="auto" w:fill="auto"/>
                  <w:noWrap w:val="0"/>
                  <w:vAlign w:val="center"/>
                </w:tcPr>
                <w:p w14:paraId="510B3C9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sz w:val="21"/>
                      <w:szCs w:val="21"/>
                      <w:u w:val="none"/>
                    </w:rPr>
                    <w:t>MN90L</w:t>
                  </w:r>
                </w:p>
              </w:tc>
              <w:tc>
                <w:tcPr>
                  <w:tcW w:w="619" w:type="pct"/>
                  <w:tcBorders>
                    <w:tl2br w:val="nil"/>
                    <w:tr2bl w:val="nil"/>
                  </w:tcBorders>
                  <w:shd w:val="clear" w:color="auto" w:fill="auto"/>
                  <w:noWrap w:val="0"/>
                  <w:vAlign w:val="center"/>
                </w:tcPr>
                <w:p w14:paraId="160BC2D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cs="Times New Roman"/>
                      <w:i w:val="0"/>
                      <w:iCs w:val="0"/>
                      <w:color w:val="000000"/>
                      <w:sz w:val="21"/>
                      <w:szCs w:val="21"/>
                      <w:u w:val="none"/>
                      <w:lang w:val="en-US" w:eastAsia="zh-CN"/>
                    </w:rPr>
                    <w:t>1</w:t>
                  </w:r>
                </w:p>
              </w:tc>
              <w:tc>
                <w:tcPr>
                  <w:tcW w:w="931" w:type="pct"/>
                  <w:gridSpan w:val="2"/>
                  <w:tcBorders>
                    <w:tl2br w:val="nil"/>
                    <w:tr2bl w:val="nil"/>
                  </w:tcBorders>
                  <w:shd w:val="clear" w:color="auto" w:fill="auto"/>
                  <w:noWrap w:val="0"/>
                  <w:vAlign w:val="center"/>
                </w:tcPr>
                <w:p w14:paraId="3DAC98A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cs="Times New Roman"/>
                      <w:i w:val="0"/>
                      <w:iCs w:val="0"/>
                      <w:color w:val="000000"/>
                      <w:sz w:val="21"/>
                      <w:szCs w:val="21"/>
                      <w:u w:val="none"/>
                      <w:lang w:val="en-US" w:eastAsia="zh-CN"/>
                    </w:rPr>
                    <w:t>2.20</w:t>
                  </w:r>
                </w:p>
              </w:tc>
              <w:tc>
                <w:tcPr>
                  <w:tcW w:w="770" w:type="pct"/>
                  <w:tcBorders>
                    <w:tl2br w:val="nil"/>
                    <w:tr2bl w:val="nil"/>
                  </w:tcBorders>
                  <w:shd w:val="clear" w:color="auto" w:fill="auto"/>
                  <w:noWrap w:val="0"/>
                  <w:vAlign w:val="center"/>
                </w:tcPr>
                <w:p w14:paraId="30D6FC4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7952146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6A2A3D37">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4</w:t>
                  </w:r>
                </w:p>
              </w:tc>
              <w:tc>
                <w:tcPr>
                  <w:tcW w:w="840" w:type="pct"/>
                  <w:tcBorders>
                    <w:tl2br w:val="nil"/>
                    <w:tr2bl w:val="nil"/>
                  </w:tcBorders>
                  <w:shd w:val="clear" w:color="auto" w:fill="auto"/>
                  <w:noWrap w:val="0"/>
                  <w:vAlign w:val="center"/>
                </w:tcPr>
                <w:p w14:paraId="08D41A1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乳化成品泵</w:t>
                  </w:r>
                </w:p>
              </w:tc>
              <w:tc>
                <w:tcPr>
                  <w:tcW w:w="1429" w:type="pct"/>
                  <w:tcBorders>
                    <w:tl2br w:val="nil"/>
                    <w:tr2bl w:val="nil"/>
                  </w:tcBorders>
                  <w:shd w:val="clear" w:color="auto" w:fill="auto"/>
                  <w:noWrap w:val="0"/>
                  <w:vAlign w:val="center"/>
                </w:tcPr>
                <w:p w14:paraId="1050832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1LE0003-1AB52-1FA4</w:t>
                  </w:r>
                </w:p>
              </w:tc>
              <w:tc>
                <w:tcPr>
                  <w:tcW w:w="619" w:type="pct"/>
                  <w:tcBorders>
                    <w:tl2br w:val="nil"/>
                    <w:tr2bl w:val="nil"/>
                  </w:tcBorders>
                  <w:shd w:val="clear" w:color="auto" w:fill="auto"/>
                  <w:noWrap w:val="0"/>
                  <w:vAlign w:val="center"/>
                </w:tcPr>
                <w:p w14:paraId="522317D8">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931" w:type="pct"/>
                  <w:gridSpan w:val="2"/>
                  <w:tcBorders>
                    <w:tl2br w:val="nil"/>
                    <w:tr2bl w:val="nil"/>
                  </w:tcBorders>
                  <w:shd w:val="clear" w:color="auto" w:fill="auto"/>
                  <w:noWrap w:val="0"/>
                  <w:vAlign w:val="center"/>
                </w:tcPr>
                <w:p w14:paraId="7E0C76B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3.00</w:t>
                  </w:r>
                </w:p>
              </w:tc>
              <w:tc>
                <w:tcPr>
                  <w:tcW w:w="770" w:type="pct"/>
                  <w:tcBorders>
                    <w:tl2br w:val="nil"/>
                    <w:tr2bl w:val="nil"/>
                  </w:tcBorders>
                  <w:shd w:val="clear" w:color="auto" w:fill="auto"/>
                  <w:noWrap w:val="0"/>
                  <w:vAlign w:val="center"/>
                </w:tcPr>
                <w:p w14:paraId="6661BD5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1B32458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425AB476">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5</w:t>
                  </w:r>
                </w:p>
              </w:tc>
              <w:tc>
                <w:tcPr>
                  <w:tcW w:w="840" w:type="pct"/>
                  <w:tcBorders>
                    <w:tl2br w:val="nil"/>
                    <w:tr2bl w:val="nil"/>
                  </w:tcBorders>
                  <w:shd w:val="clear" w:color="auto" w:fill="auto"/>
                  <w:noWrap w:val="0"/>
                  <w:vAlign w:val="center"/>
                </w:tcPr>
                <w:p w14:paraId="57CB4E5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成品搅拌泵</w:t>
                  </w:r>
                </w:p>
              </w:tc>
              <w:tc>
                <w:tcPr>
                  <w:tcW w:w="1429" w:type="pct"/>
                  <w:tcBorders>
                    <w:tl2br w:val="nil"/>
                    <w:tr2bl w:val="nil"/>
                  </w:tcBorders>
                  <w:shd w:val="clear" w:color="auto" w:fill="auto"/>
                  <w:noWrap w:val="0"/>
                  <w:vAlign w:val="center"/>
                </w:tcPr>
                <w:p w14:paraId="17760A3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1LE0001-1CB03-3AA4</w:t>
                  </w:r>
                </w:p>
              </w:tc>
              <w:tc>
                <w:tcPr>
                  <w:tcW w:w="619" w:type="pct"/>
                  <w:tcBorders>
                    <w:tl2br w:val="nil"/>
                    <w:tr2bl w:val="nil"/>
                  </w:tcBorders>
                  <w:shd w:val="clear" w:color="auto" w:fill="auto"/>
                  <w:noWrap w:val="0"/>
                  <w:vAlign w:val="center"/>
                </w:tcPr>
                <w:p w14:paraId="36A78F09">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2</w:t>
                  </w:r>
                </w:p>
              </w:tc>
              <w:tc>
                <w:tcPr>
                  <w:tcW w:w="931" w:type="pct"/>
                  <w:gridSpan w:val="2"/>
                  <w:tcBorders>
                    <w:tl2br w:val="nil"/>
                    <w:tr2bl w:val="nil"/>
                  </w:tcBorders>
                  <w:shd w:val="clear" w:color="auto" w:fill="auto"/>
                  <w:noWrap w:val="0"/>
                  <w:vAlign w:val="center"/>
                </w:tcPr>
                <w:p w14:paraId="1592EC1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5.50</w:t>
                  </w:r>
                </w:p>
              </w:tc>
              <w:tc>
                <w:tcPr>
                  <w:tcW w:w="770" w:type="pct"/>
                  <w:tcBorders>
                    <w:tl2br w:val="nil"/>
                    <w:tr2bl w:val="nil"/>
                  </w:tcBorders>
                  <w:shd w:val="clear" w:color="auto" w:fill="auto"/>
                  <w:noWrap w:val="0"/>
                  <w:vAlign w:val="center"/>
                </w:tcPr>
                <w:p w14:paraId="4BBD38C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610E669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90" w:hRule="atLeast"/>
                <w:jc w:val="center"/>
              </w:trPr>
              <w:tc>
                <w:tcPr>
                  <w:tcW w:w="408" w:type="pct"/>
                  <w:tcBorders>
                    <w:tl2br w:val="nil"/>
                    <w:tr2bl w:val="nil"/>
                  </w:tcBorders>
                  <w:shd w:val="clear" w:color="auto" w:fill="auto"/>
                  <w:noWrap w:val="0"/>
                  <w:vAlign w:val="center"/>
                </w:tcPr>
                <w:p w14:paraId="36E1AB2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b/>
                      <w:bCs/>
                      <w:i w:val="0"/>
                      <w:iCs w:val="0"/>
                      <w:color w:val="000000"/>
                      <w:sz w:val="21"/>
                      <w:szCs w:val="21"/>
                      <w:u w:val="none"/>
                      <w:lang w:val="en-US" w:eastAsia="zh-CN"/>
                    </w:rPr>
                  </w:pPr>
                  <w:r>
                    <w:rPr>
                      <w:rFonts w:hint="eastAsia" w:ascii="Times New Roman" w:hAnsi="Times New Roman" w:cs="Times New Roman"/>
                      <w:b/>
                      <w:bCs/>
                      <w:i w:val="0"/>
                      <w:iCs w:val="0"/>
                      <w:color w:val="000000"/>
                      <w:sz w:val="21"/>
                      <w:szCs w:val="21"/>
                      <w:u w:val="none"/>
                      <w:lang w:val="en-US" w:eastAsia="zh-CN"/>
                    </w:rPr>
                    <w:t>六</w:t>
                  </w:r>
                </w:p>
              </w:tc>
              <w:tc>
                <w:tcPr>
                  <w:tcW w:w="4591" w:type="pct"/>
                  <w:gridSpan w:val="6"/>
                  <w:tcBorders>
                    <w:tl2br w:val="nil"/>
                    <w:tr2bl w:val="nil"/>
                  </w:tcBorders>
                  <w:shd w:val="clear" w:color="auto" w:fill="auto"/>
                  <w:noWrap w:val="0"/>
                  <w:vAlign w:val="center"/>
                </w:tcPr>
                <w:p w14:paraId="673259C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i w:val="0"/>
                      <w:iCs w:val="0"/>
                      <w:color w:val="000000"/>
                      <w:sz w:val="21"/>
                      <w:szCs w:val="21"/>
                      <w:u w:val="none"/>
                    </w:rPr>
                  </w:pPr>
                  <w:r>
                    <w:rPr>
                      <w:rFonts w:hint="eastAsia" w:ascii="Times New Roman" w:hAnsi="Times New Roman" w:cs="Times New Roman"/>
                      <w:b/>
                      <w:bCs/>
                      <w:i w:val="0"/>
                      <w:iCs w:val="0"/>
                      <w:color w:val="000000"/>
                      <w:sz w:val="21"/>
                      <w:szCs w:val="21"/>
                      <w:u w:val="none"/>
                      <w:lang w:val="en-US" w:eastAsia="zh-CN"/>
                    </w:rPr>
                    <w:t>缓存计量</w:t>
                  </w:r>
                </w:p>
              </w:tc>
            </w:tr>
            <w:tr w14:paraId="38FA75E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58BBBBE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840" w:type="pct"/>
                  <w:tcBorders>
                    <w:tl2br w:val="nil"/>
                    <w:tr2bl w:val="nil"/>
                  </w:tcBorders>
                  <w:shd w:val="clear" w:color="auto" w:fill="auto"/>
                  <w:noWrap w:val="0"/>
                  <w:vAlign w:val="center"/>
                </w:tcPr>
                <w:p w14:paraId="799F658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卸料门加热</w:t>
                  </w:r>
                </w:p>
              </w:tc>
              <w:tc>
                <w:tcPr>
                  <w:tcW w:w="1429" w:type="pct"/>
                  <w:tcBorders>
                    <w:tl2br w:val="nil"/>
                    <w:tr2bl w:val="nil"/>
                  </w:tcBorders>
                  <w:shd w:val="clear" w:color="auto" w:fill="auto"/>
                  <w:noWrap w:val="0"/>
                  <w:vAlign w:val="center"/>
                </w:tcPr>
                <w:p w14:paraId="11AB20D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w:t>
                  </w:r>
                </w:p>
              </w:tc>
              <w:tc>
                <w:tcPr>
                  <w:tcW w:w="619" w:type="pct"/>
                  <w:tcBorders>
                    <w:tl2br w:val="nil"/>
                    <w:tr2bl w:val="nil"/>
                  </w:tcBorders>
                  <w:shd w:val="clear" w:color="auto" w:fill="auto"/>
                  <w:noWrap w:val="0"/>
                  <w:vAlign w:val="center"/>
                </w:tcPr>
                <w:p w14:paraId="23740B50">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6</w:t>
                  </w:r>
                </w:p>
              </w:tc>
              <w:tc>
                <w:tcPr>
                  <w:tcW w:w="931" w:type="pct"/>
                  <w:gridSpan w:val="2"/>
                  <w:tcBorders>
                    <w:tl2br w:val="nil"/>
                    <w:tr2bl w:val="nil"/>
                  </w:tcBorders>
                  <w:shd w:val="clear" w:color="auto" w:fill="auto"/>
                  <w:noWrap w:val="0"/>
                  <w:vAlign w:val="center"/>
                </w:tcPr>
                <w:p w14:paraId="3F6D55F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0.35</w:t>
                  </w:r>
                </w:p>
              </w:tc>
              <w:tc>
                <w:tcPr>
                  <w:tcW w:w="770" w:type="pct"/>
                  <w:vMerge w:val="restart"/>
                  <w:tcBorders>
                    <w:tl2br w:val="nil"/>
                    <w:tr2bl w:val="nil"/>
                  </w:tcBorders>
                  <w:shd w:val="clear" w:color="auto" w:fill="auto"/>
                  <w:noWrap w:val="0"/>
                  <w:vAlign w:val="center"/>
                </w:tcPr>
                <w:p w14:paraId="30FD427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加热管工作，庳坜另紡喁崋塵半除备型号</w:t>
                  </w:r>
                </w:p>
              </w:tc>
            </w:tr>
            <w:tr w14:paraId="276F830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21E2280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2</w:t>
                  </w:r>
                </w:p>
              </w:tc>
              <w:tc>
                <w:tcPr>
                  <w:tcW w:w="840" w:type="pct"/>
                  <w:tcBorders>
                    <w:tl2br w:val="nil"/>
                    <w:tr2bl w:val="nil"/>
                  </w:tcBorders>
                  <w:shd w:val="clear" w:color="auto" w:fill="auto"/>
                  <w:noWrap w:val="0"/>
                  <w:vAlign w:val="center"/>
                </w:tcPr>
                <w:p w14:paraId="2D8EB0A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仓体加热</w:t>
                  </w:r>
                </w:p>
              </w:tc>
              <w:tc>
                <w:tcPr>
                  <w:tcW w:w="1429" w:type="pct"/>
                  <w:tcBorders>
                    <w:tl2br w:val="nil"/>
                    <w:tr2bl w:val="nil"/>
                  </w:tcBorders>
                  <w:shd w:val="clear" w:color="auto" w:fill="auto"/>
                  <w:noWrap w:val="0"/>
                  <w:vAlign w:val="center"/>
                </w:tcPr>
                <w:p w14:paraId="400FAE8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w:t>
                  </w:r>
                </w:p>
              </w:tc>
              <w:tc>
                <w:tcPr>
                  <w:tcW w:w="619" w:type="pct"/>
                  <w:tcBorders>
                    <w:tl2br w:val="nil"/>
                    <w:tr2bl w:val="nil"/>
                  </w:tcBorders>
                  <w:shd w:val="clear" w:color="auto" w:fill="auto"/>
                  <w:noWrap w:val="0"/>
                  <w:vAlign w:val="center"/>
                </w:tcPr>
                <w:p w14:paraId="630C18A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24</w:t>
                  </w:r>
                </w:p>
              </w:tc>
              <w:tc>
                <w:tcPr>
                  <w:tcW w:w="931" w:type="pct"/>
                  <w:gridSpan w:val="2"/>
                  <w:tcBorders>
                    <w:tl2br w:val="nil"/>
                    <w:tr2bl w:val="nil"/>
                  </w:tcBorders>
                  <w:shd w:val="clear" w:color="auto" w:fill="auto"/>
                  <w:noWrap w:val="0"/>
                  <w:vAlign w:val="center"/>
                </w:tcPr>
                <w:p w14:paraId="3DA4ADC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2.00</w:t>
                  </w:r>
                </w:p>
              </w:tc>
              <w:tc>
                <w:tcPr>
                  <w:tcW w:w="770" w:type="pct"/>
                  <w:vMerge w:val="continue"/>
                  <w:tcBorders>
                    <w:tl2br w:val="nil"/>
                    <w:tr2bl w:val="nil"/>
                  </w:tcBorders>
                  <w:shd w:val="clear" w:color="auto" w:fill="auto"/>
                  <w:noWrap w:val="0"/>
                  <w:vAlign w:val="center"/>
                </w:tcPr>
                <w:p w14:paraId="0B1B22D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20D25E8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90" w:hRule="atLeast"/>
                <w:jc w:val="center"/>
              </w:trPr>
              <w:tc>
                <w:tcPr>
                  <w:tcW w:w="408" w:type="pct"/>
                  <w:tcBorders>
                    <w:tl2br w:val="nil"/>
                    <w:tr2bl w:val="nil"/>
                  </w:tcBorders>
                  <w:shd w:val="clear" w:color="auto" w:fill="auto"/>
                  <w:noWrap w:val="0"/>
                  <w:vAlign w:val="center"/>
                </w:tcPr>
                <w:p w14:paraId="7718F3F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3</w:t>
                  </w:r>
                </w:p>
              </w:tc>
              <w:tc>
                <w:tcPr>
                  <w:tcW w:w="840" w:type="pct"/>
                  <w:tcBorders>
                    <w:tl2br w:val="nil"/>
                    <w:tr2bl w:val="nil"/>
                  </w:tcBorders>
                  <w:shd w:val="clear" w:color="auto" w:fill="auto"/>
                  <w:noWrap w:val="0"/>
                  <w:vAlign w:val="center"/>
                </w:tcPr>
                <w:p w14:paraId="30B7751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斗体加热</w:t>
                  </w:r>
                </w:p>
              </w:tc>
              <w:tc>
                <w:tcPr>
                  <w:tcW w:w="1429" w:type="pct"/>
                  <w:tcBorders>
                    <w:tl2br w:val="nil"/>
                    <w:tr2bl w:val="nil"/>
                  </w:tcBorders>
                  <w:shd w:val="clear" w:color="auto" w:fill="auto"/>
                  <w:noWrap w:val="0"/>
                  <w:vAlign w:val="center"/>
                </w:tcPr>
                <w:p w14:paraId="4AB24D3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w:t>
                  </w:r>
                </w:p>
              </w:tc>
              <w:tc>
                <w:tcPr>
                  <w:tcW w:w="619" w:type="pct"/>
                  <w:tcBorders>
                    <w:tl2br w:val="nil"/>
                    <w:tr2bl w:val="nil"/>
                  </w:tcBorders>
                  <w:shd w:val="clear" w:color="auto" w:fill="auto"/>
                  <w:noWrap w:val="0"/>
                  <w:vAlign w:val="center"/>
                </w:tcPr>
                <w:p w14:paraId="46F7766A">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6</w:t>
                  </w:r>
                </w:p>
              </w:tc>
              <w:tc>
                <w:tcPr>
                  <w:tcW w:w="931" w:type="pct"/>
                  <w:gridSpan w:val="2"/>
                  <w:tcBorders>
                    <w:tl2br w:val="nil"/>
                    <w:tr2bl w:val="nil"/>
                  </w:tcBorders>
                  <w:shd w:val="clear" w:color="auto" w:fill="auto"/>
                  <w:noWrap w:val="0"/>
                  <w:vAlign w:val="center"/>
                </w:tcPr>
                <w:p w14:paraId="2B3D79D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2.50</w:t>
                  </w:r>
                </w:p>
              </w:tc>
              <w:tc>
                <w:tcPr>
                  <w:tcW w:w="770" w:type="pct"/>
                  <w:vMerge w:val="continue"/>
                  <w:tcBorders>
                    <w:tl2br w:val="nil"/>
                    <w:tr2bl w:val="nil"/>
                  </w:tcBorders>
                  <w:shd w:val="clear" w:color="auto" w:fill="auto"/>
                  <w:noWrap w:val="0"/>
                  <w:vAlign w:val="center"/>
                </w:tcPr>
                <w:p w14:paraId="6AC7A96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542AE9B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7DCD3C3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4</w:t>
                  </w:r>
                </w:p>
              </w:tc>
              <w:tc>
                <w:tcPr>
                  <w:tcW w:w="840" w:type="pct"/>
                  <w:tcBorders>
                    <w:tl2br w:val="nil"/>
                    <w:tr2bl w:val="nil"/>
                  </w:tcBorders>
                  <w:shd w:val="clear" w:color="auto" w:fill="auto"/>
                  <w:noWrap w:val="0"/>
                  <w:vAlign w:val="center"/>
                </w:tcPr>
                <w:p w14:paraId="4EC4472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称量斗卸料门电加热</w:t>
                  </w:r>
                </w:p>
              </w:tc>
              <w:tc>
                <w:tcPr>
                  <w:tcW w:w="1429" w:type="pct"/>
                  <w:tcBorders>
                    <w:tl2br w:val="nil"/>
                    <w:tr2bl w:val="nil"/>
                  </w:tcBorders>
                  <w:shd w:val="clear" w:color="auto" w:fill="auto"/>
                  <w:noWrap w:val="0"/>
                  <w:vAlign w:val="center"/>
                </w:tcPr>
                <w:p w14:paraId="7B21EDD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w:t>
                  </w:r>
                </w:p>
              </w:tc>
              <w:tc>
                <w:tcPr>
                  <w:tcW w:w="619" w:type="pct"/>
                  <w:tcBorders>
                    <w:tl2br w:val="nil"/>
                    <w:tr2bl w:val="nil"/>
                  </w:tcBorders>
                  <w:shd w:val="clear" w:color="auto" w:fill="auto"/>
                  <w:noWrap w:val="0"/>
                  <w:vAlign w:val="center"/>
                </w:tcPr>
                <w:p w14:paraId="5442523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3</w:t>
                  </w:r>
                </w:p>
              </w:tc>
              <w:tc>
                <w:tcPr>
                  <w:tcW w:w="931" w:type="pct"/>
                  <w:gridSpan w:val="2"/>
                  <w:tcBorders>
                    <w:tl2br w:val="nil"/>
                    <w:tr2bl w:val="nil"/>
                  </w:tcBorders>
                  <w:shd w:val="clear" w:color="auto" w:fill="auto"/>
                  <w:noWrap w:val="0"/>
                  <w:vAlign w:val="center"/>
                </w:tcPr>
                <w:p w14:paraId="5DA5573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0.50</w:t>
                  </w:r>
                </w:p>
              </w:tc>
              <w:tc>
                <w:tcPr>
                  <w:tcW w:w="770" w:type="pct"/>
                  <w:vMerge w:val="continue"/>
                  <w:tcBorders>
                    <w:tl2br w:val="nil"/>
                    <w:tr2bl w:val="nil"/>
                  </w:tcBorders>
                  <w:shd w:val="clear" w:color="auto" w:fill="auto"/>
                  <w:noWrap w:val="0"/>
                  <w:vAlign w:val="center"/>
                </w:tcPr>
                <w:p w14:paraId="5AB661D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7FBE488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0B55922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b/>
                      <w:bCs/>
                      <w:i w:val="0"/>
                      <w:iCs w:val="0"/>
                      <w:color w:val="000000"/>
                      <w:sz w:val="21"/>
                      <w:szCs w:val="21"/>
                      <w:u w:val="none"/>
                      <w:lang w:val="en-US" w:eastAsia="zh-CN"/>
                    </w:rPr>
                  </w:pPr>
                  <w:r>
                    <w:rPr>
                      <w:rFonts w:hint="eastAsia" w:ascii="Times New Roman" w:hAnsi="Times New Roman" w:cs="Times New Roman"/>
                      <w:b/>
                      <w:bCs/>
                      <w:i w:val="0"/>
                      <w:iCs w:val="0"/>
                      <w:color w:val="000000"/>
                      <w:sz w:val="21"/>
                      <w:szCs w:val="21"/>
                      <w:u w:val="none"/>
                      <w:lang w:val="en-US" w:eastAsia="zh-CN"/>
                    </w:rPr>
                    <w:t>七</w:t>
                  </w:r>
                </w:p>
              </w:tc>
              <w:tc>
                <w:tcPr>
                  <w:tcW w:w="2891" w:type="pct"/>
                  <w:gridSpan w:val="4"/>
                  <w:tcBorders>
                    <w:tl2br w:val="nil"/>
                    <w:tr2bl w:val="nil"/>
                  </w:tcBorders>
                  <w:shd w:val="clear" w:color="auto" w:fill="auto"/>
                  <w:noWrap w:val="0"/>
                  <w:vAlign w:val="center"/>
                </w:tcPr>
                <w:p w14:paraId="2EB8F9E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b/>
                      <w:bCs/>
                      <w:i w:val="0"/>
                      <w:iCs w:val="0"/>
                      <w:color w:val="000000"/>
                      <w:sz w:val="21"/>
                      <w:szCs w:val="21"/>
                      <w:u w:val="none"/>
                      <w:lang w:val="en-US" w:eastAsia="zh-CN"/>
                    </w:rPr>
                  </w:pPr>
                  <w:r>
                    <w:rPr>
                      <w:rFonts w:hint="eastAsia" w:ascii="Times New Roman" w:hAnsi="Times New Roman" w:cs="Times New Roman"/>
                      <w:b/>
                      <w:bCs/>
                      <w:i w:val="0"/>
                      <w:iCs w:val="0"/>
                      <w:color w:val="000000"/>
                      <w:sz w:val="21"/>
                      <w:szCs w:val="21"/>
                      <w:u w:val="none"/>
                      <w:lang w:val="en-US" w:eastAsia="zh-CN"/>
                    </w:rPr>
                    <w:t>环保系统</w:t>
                  </w:r>
                </w:p>
              </w:tc>
              <w:tc>
                <w:tcPr>
                  <w:tcW w:w="929" w:type="pct"/>
                  <w:tcBorders>
                    <w:tl2br w:val="nil"/>
                    <w:tr2bl w:val="nil"/>
                  </w:tcBorders>
                  <w:shd w:val="clear" w:color="auto" w:fill="auto"/>
                  <w:noWrap w:val="0"/>
                  <w:vAlign w:val="center"/>
                </w:tcPr>
                <w:p w14:paraId="018AE3A2">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p>
              </w:tc>
              <w:tc>
                <w:tcPr>
                  <w:tcW w:w="770" w:type="pct"/>
                  <w:tcBorders>
                    <w:tl2br w:val="nil"/>
                    <w:tr2bl w:val="nil"/>
                  </w:tcBorders>
                  <w:shd w:val="clear" w:color="auto" w:fill="auto"/>
                  <w:noWrap w:val="0"/>
                  <w:vAlign w:val="center"/>
                </w:tcPr>
                <w:p w14:paraId="2ED02EA3">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p>
              </w:tc>
            </w:tr>
            <w:tr w14:paraId="28FCA08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22" w:hRule="atLeast"/>
                <w:jc w:val="center"/>
              </w:trPr>
              <w:tc>
                <w:tcPr>
                  <w:tcW w:w="408" w:type="pct"/>
                  <w:tcBorders>
                    <w:tl2br w:val="nil"/>
                    <w:tr2bl w:val="nil"/>
                  </w:tcBorders>
                  <w:shd w:val="clear" w:color="auto" w:fill="auto"/>
                  <w:noWrap w:val="0"/>
                  <w:vAlign w:val="center"/>
                </w:tcPr>
                <w:p w14:paraId="303929A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840" w:type="pct"/>
                  <w:tcBorders>
                    <w:tl2br w:val="nil"/>
                    <w:tr2bl w:val="nil"/>
                  </w:tcBorders>
                  <w:shd w:val="clear" w:color="auto" w:fill="auto"/>
                  <w:noWrap w:val="0"/>
                  <w:vAlign w:val="center"/>
                </w:tcPr>
                <w:p w14:paraId="25DD53D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喷淋塔水泵</w:t>
                  </w:r>
                </w:p>
              </w:tc>
              <w:tc>
                <w:tcPr>
                  <w:tcW w:w="1429" w:type="pct"/>
                  <w:tcBorders>
                    <w:tl2br w:val="nil"/>
                    <w:tr2bl w:val="nil"/>
                  </w:tcBorders>
                  <w:shd w:val="clear" w:color="auto" w:fill="auto"/>
                  <w:noWrap w:val="0"/>
                  <w:vAlign w:val="center"/>
                </w:tcPr>
                <w:p w14:paraId="14100EDA">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YE3-112M-2P</w:t>
                  </w:r>
                </w:p>
              </w:tc>
              <w:tc>
                <w:tcPr>
                  <w:tcW w:w="619" w:type="pct"/>
                  <w:tcBorders>
                    <w:tl2br w:val="nil"/>
                    <w:tr2bl w:val="nil"/>
                  </w:tcBorders>
                  <w:shd w:val="clear" w:color="auto" w:fill="auto"/>
                  <w:noWrap w:val="0"/>
                  <w:vAlign w:val="center"/>
                </w:tcPr>
                <w:p w14:paraId="16532D3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931" w:type="pct"/>
                  <w:gridSpan w:val="2"/>
                  <w:tcBorders>
                    <w:tl2br w:val="nil"/>
                    <w:tr2bl w:val="nil"/>
                  </w:tcBorders>
                  <w:shd w:val="clear" w:color="auto" w:fill="auto"/>
                  <w:noWrap w:val="0"/>
                  <w:vAlign w:val="center"/>
                </w:tcPr>
                <w:p w14:paraId="46F4627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4.00</w:t>
                  </w:r>
                </w:p>
              </w:tc>
              <w:tc>
                <w:tcPr>
                  <w:tcW w:w="770" w:type="pct"/>
                  <w:tcBorders>
                    <w:tl2br w:val="nil"/>
                    <w:tr2bl w:val="nil"/>
                  </w:tcBorders>
                  <w:shd w:val="clear" w:color="auto" w:fill="auto"/>
                  <w:noWrap w:val="0"/>
                  <w:vAlign w:val="center"/>
                </w:tcPr>
                <w:p w14:paraId="2D77770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3149305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54B0DCA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2</w:t>
                  </w:r>
                </w:p>
              </w:tc>
              <w:tc>
                <w:tcPr>
                  <w:tcW w:w="840" w:type="pct"/>
                  <w:tcBorders>
                    <w:tl2br w:val="nil"/>
                    <w:tr2bl w:val="nil"/>
                  </w:tcBorders>
                  <w:shd w:val="clear" w:color="auto" w:fill="auto"/>
                  <w:noWrap w:val="0"/>
                  <w:vAlign w:val="center"/>
                </w:tcPr>
                <w:p w14:paraId="2AF7A57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催化燃烧吸附风机</w:t>
                  </w:r>
                </w:p>
              </w:tc>
              <w:tc>
                <w:tcPr>
                  <w:tcW w:w="1429" w:type="pct"/>
                  <w:tcBorders>
                    <w:tl2br w:val="nil"/>
                    <w:tr2bl w:val="nil"/>
                  </w:tcBorders>
                  <w:shd w:val="clear" w:color="auto" w:fill="auto"/>
                  <w:noWrap w:val="0"/>
                  <w:vAlign w:val="center"/>
                </w:tcPr>
                <w:p w14:paraId="6E8C3528">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YE4-100L-2</w:t>
                  </w:r>
                </w:p>
              </w:tc>
              <w:tc>
                <w:tcPr>
                  <w:tcW w:w="619" w:type="pct"/>
                  <w:tcBorders>
                    <w:tl2br w:val="nil"/>
                    <w:tr2bl w:val="nil"/>
                  </w:tcBorders>
                  <w:shd w:val="clear" w:color="auto" w:fill="auto"/>
                  <w:noWrap w:val="0"/>
                  <w:vAlign w:val="center"/>
                </w:tcPr>
                <w:p w14:paraId="182ACE7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931" w:type="pct"/>
                  <w:gridSpan w:val="2"/>
                  <w:tcBorders>
                    <w:tl2br w:val="nil"/>
                    <w:tr2bl w:val="nil"/>
                  </w:tcBorders>
                  <w:shd w:val="clear" w:color="auto" w:fill="auto"/>
                  <w:noWrap w:val="0"/>
                  <w:vAlign w:val="center"/>
                </w:tcPr>
                <w:p w14:paraId="70457A0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3.00</w:t>
                  </w:r>
                </w:p>
              </w:tc>
              <w:tc>
                <w:tcPr>
                  <w:tcW w:w="770" w:type="pct"/>
                  <w:tcBorders>
                    <w:tl2br w:val="nil"/>
                    <w:tr2bl w:val="nil"/>
                  </w:tcBorders>
                  <w:shd w:val="clear" w:color="auto" w:fill="auto"/>
                  <w:noWrap w:val="0"/>
                  <w:vAlign w:val="center"/>
                </w:tcPr>
                <w:p w14:paraId="4C6F552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08761F2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1D84245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3</w:t>
                  </w:r>
                </w:p>
              </w:tc>
              <w:tc>
                <w:tcPr>
                  <w:tcW w:w="840" w:type="pct"/>
                  <w:tcBorders>
                    <w:tl2br w:val="nil"/>
                    <w:tr2bl w:val="nil"/>
                  </w:tcBorders>
                  <w:shd w:val="clear" w:color="auto" w:fill="auto"/>
                  <w:noWrap w:val="0"/>
                  <w:vAlign w:val="center"/>
                </w:tcPr>
                <w:p w14:paraId="36EFF08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催化燃烧脱附风机</w:t>
                  </w:r>
                </w:p>
              </w:tc>
              <w:tc>
                <w:tcPr>
                  <w:tcW w:w="1429" w:type="pct"/>
                  <w:tcBorders>
                    <w:tl2br w:val="nil"/>
                    <w:tr2bl w:val="nil"/>
                  </w:tcBorders>
                  <w:shd w:val="clear" w:color="auto" w:fill="auto"/>
                  <w:noWrap w:val="0"/>
                  <w:vAlign w:val="center"/>
                </w:tcPr>
                <w:p w14:paraId="65A3B04E">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YE4-90L-2</w:t>
                  </w:r>
                </w:p>
              </w:tc>
              <w:tc>
                <w:tcPr>
                  <w:tcW w:w="619" w:type="pct"/>
                  <w:tcBorders>
                    <w:tl2br w:val="nil"/>
                    <w:tr2bl w:val="nil"/>
                  </w:tcBorders>
                  <w:shd w:val="clear" w:color="auto" w:fill="auto"/>
                  <w:noWrap w:val="0"/>
                  <w:vAlign w:val="center"/>
                </w:tcPr>
                <w:p w14:paraId="5E4B03D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931" w:type="pct"/>
                  <w:gridSpan w:val="2"/>
                  <w:tcBorders>
                    <w:tl2br w:val="nil"/>
                    <w:tr2bl w:val="nil"/>
                  </w:tcBorders>
                  <w:shd w:val="clear" w:color="auto" w:fill="auto"/>
                  <w:noWrap w:val="0"/>
                  <w:vAlign w:val="center"/>
                </w:tcPr>
                <w:p w14:paraId="795DECD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2.20</w:t>
                  </w:r>
                </w:p>
              </w:tc>
              <w:tc>
                <w:tcPr>
                  <w:tcW w:w="770" w:type="pct"/>
                  <w:tcBorders>
                    <w:tl2br w:val="nil"/>
                    <w:tr2bl w:val="nil"/>
                  </w:tcBorders>
                  <w:shd w:val="clear" w:color="auto" w:fill="auto"/>
                  <w:noWrap w:val="0"/>
                  <w:vAlign w:val="center"/>
                </w:tcPr>
                <w:p w14:paraId="38F3206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7E2C63C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5427E6F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4</w:t>
                  </w:r>
                </w:p>
              </w:tc>
              <w:tc>
                <w:tcPr>
                  <w:tcW w:w="840" w:type="pct"/>
                  <w:tcBorders>
                    <w:tl2br w:val="nil"/>
                    <w:tr2bl w:val="nil"/>
                  </w:tcBorders>
                  <w:shd w:val="clear" w:color="auto" w:fill="auto"/>
                  <w:noWrap w:val="0"/>
                  <w:vAlign w:val="center"/>
                </w:tcPr>
                <w:p w14:paraId="7F67753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风机</w:t>
                  </w:r>
                </w:p>
              </w:tc>
              <w:tc>
                <w:tcPr>
                  <w:tcW w:w="1429" w:type="pct"/>
                  <w:tcBorders>
                    <w:tl2br w:val="nil"/>
                    <w:tr2bl w:val="nil"/>
                  </w:tcBorders>
                  <w:shd w:val="clear" w:color="auto" w:fill="auto"/>
                  <w:noWrap w:val="0"/>
                  <w:vAlign w:val="center"/>
                </w:tcPr>
                <w:p w14:paraId="34E82108">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YE3-250M-4</w:t>
                  </w:r>
                </w:p>
              </w:tc>
              <w:tc>
                <w:tcPr>
                  <w:tcW w:w="619" w:type="pct"/>
                  <w:tcBorders>
                    <w:tl2br w:val="nil"/>
                    <w:tr2bl w:val="nil"/>
                  </w:tcBorders>
                  <w:shd w:val="clear" w:color="auto" w:fill="auto"/>
                  <w:noWrap w:val="0"/>
                  <w:vAlign w:val="center"/>
                </w:tcPr>
                <w:p w14:paraId="67F7C20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931" w:type="pct"/>
                  <w:gridSpan w:val="2"/>
                  <w:tcBorders>
                    <w:tl2br w:val="nil"/>
                    <w:tr2bl w:val="nil"/>
                  </w:tcBorders>
                  <w:shd w:val="clear" w:color="auto" w:fill="auto"/>
                  <w:noWrap w:val="0"/>
                  <w:vAlign w:val="center"/>
                </w:tcPr>
                <w:p w14:paraId="4883ED7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55.00</w:t>
                  </w:r>
                </w:p>
              </w:tc>
              <w:tc>
                <w:tcPr>
                  <w:tcW w:w="770" w:type="pct"/>
                  <w:tcBorders>
                    <w:tl2br w:val="nil"/>
                    <w:tr2bl w:val="nil"/>
                  </w:tcBorders>
                  <w:shd w:val="clear" w:color="auto" w:fill="auto"/>
                  <w:noWrap w:val="0"/>
                  <w:vAlign w:val="center"/>
                </w:tcPr>
                <w:p w14:paraId="6004D86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r w14:paraId="101EE2C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08" w:type="pct"/>
                  <w:tcBorders>
                    <w:tl2br w:val="nil"/>
                    <w:tr2bl w:val="nil"/>
                  </w:tcBorders>
                  <w:shd w:val="clear" w:color="auto" w:fill="auto"/>
                  <w:noWrap w:val="0"/>
                  <w:vAlign w:val="center"/>
                </w:tcPr>
                <w:p w14:paraId="510A59E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5</w:t>
                  </w:r>
                </w:p>
              </w:tc>
              <w:tc>
                <w:tcPr>
                  <w:tcW w:w="840" w:type="pct"/>
                  <w:tcBorders>
                    <w:tl2br w:val="nil"/>
                    <w:tr2bl w:val="nil"/>
                  </w:tcBorders>
                  <w:shd w:val="clear" w:color="auto" w:fill="auto"/>
                  <w:noWrap w:val="0"/>
                  <w:vAlign w:val="center"/>
                </w:tcPr>
                <w:p w14:paraId="27AE2BE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红外线喷淋</w:t>
                  </w:r>
                </w:p>
              </w:tc>
              <w:tc>
                <w:tcPr>
                  <w:tcW w:w="1429" w:type="pct"/>
                  <w:tcBorders>
                    <w:tl2br w:val="nil"/>
                    <w:tr2bl w:val="nil"/>
                  </w:tcBorders>
                  <w:shd w:val="clear" w:color="auto" w:fill="auto"/>
                  <w:noWrap w:val="0"/>
                  <w:vAlign w:val="center"/>
                </w:tcPr>
                <w:p w14:paraId="02A4CC7C">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YE3-112M-2P</w:t>
                  </w:r>
                </w:p>
              </w:tc>
              <w:tc>
                <w:tcPr>
                  <w:tcW w:w="619" w:type="pct"/>
                  <w:tcBorders>
                    <w:tl2br w:val="nil"/>
                    <w:tr2bl w:val="nil"/>
                  </w:tcBorders>
                  <w:shd w:val="clear" w:color="auto" w:fill="auto"/>
                  <w:noWrap w:val="0"/>
                  <w:vAlign w:val="center"/>
                </w:tcPr>
                <w:p w14:paraId="64B7BD3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w:t>
                  </w:r>
                </w:p>
              </w:tc>
              <w:tc>
                <w:tcPr>
                  <w:tcW w:w="931" w:type="pct"/>
                  <w:gridSpan w:val="2"/>
                  <w:tcBorders>
                    <w:tl2br w:val="nil"/>
                    <w:tr2bl w:val="nil"/>
                  </w:tcBorders>
                  <w:shd w:val="clear" w:color="auto" w:fill="auto"/>
                  <w:noWrap w:val="0"/>
                  <w:vAlign w:val="center"/>
                </w:tcPr>
                <w:p w14:paraId="4CC4A43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4.00</w:t>
                  </w:r>
                </w:p>
              </w:tc>
              <w:tc>
                <w:tcPr>
                  <w:tcW w:w="770" w:type="pct"/>
                  <w:tcBorders>
                    <w:tl2br w:val="nil"/>
                    <w:tr2bl w:val="nil"/>
                  </w:tcBorders>
                  <w:shd w:val="clear" w:color="auto" w:fill="auto"/>
                  <w:noWrap w:val="0"/>
                  <w:vAlign w:val="center"/>
                </w:tcPr>
                <w:p w14:paraId="710C89E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1"/>
                      <w:szCs w:val="21"/>
                      <w:u w:val="none"/>
                    </w:rPr>
                  </w:pPr>
                </w:p>
              </w:tc>
            </w:tr>
          </w:tbl>
          <w:p w14:paraId="104FDFCD">
            <w:pPr>
              <w:tabs>
                <w:tab w:val="left" w:pos="676"/>
              </w:tabs>
              <w:wordWrap w:val="0"/>
              <w:spacing w:line="240" w:lineRule="auto"/>
              <w:jc w:val="center"/>
              <w:rPr>
                <w:b w:val="0"/>
                <w:bCs w:val="0"/>
                <w:sz w:val="21"/>
                <w:szCs w:val="21"/>
              </w:rPr>
            </w:pPr>
          </w:p>
          <w:p w14:paraId="7C7BB8E4">
            <w:pPr>
              <w:tabs>
                <w:tab w:val="left" w:pos="676"/>
              </w:tabs>
              <w:spacing w:line="360" w:lineRule="auto"/>
              <w:ind w:firstLine="482" w:firstLineChars="200"/>
              <w:rPr>
                <w:b/>
                <w:bCs/>
                <w:sz w:val="24"/>
                <w:szCs w:val="22"/>
                <w:highlight w:val="none"/>
              </w:rPr>
            </w:pPr>
            <w:r>
              <w:rPr>
                <w:rFonts w:hint="eastAsia"/>
                <w:b/>
                <w:bCs/>
                <w:sz w:val="24"/>
                <w:szCs w:val="22"/>
                <w:highlight w:val="none"/>
              </w:rPr>
              <w:t>7</w:t>
            </w:r>
            <w:r>
              <w:rPr>
                <w:b/>
                <w:bCs/>
                <w:sz w:val="24"/>
                <w:szCs w:val="22"/>
                <w:highlight w:val="none"/>
              </w:rPr>
              <w:t>、公辅工程及辅助设施</w:t>
            </w:r>
          </w:p>
          <w:p w14:paraId="25BB8497">
            <w:pPr>
              <w:spacing w:line="360" w:lineRule="auto"/>
              <w:ind w:firstLine="480" w:firstLineChars="200"/>
              <w:rPr>
                <w:rFonts w:hint="eastAsia"/>
                <w:b w:val="0"/>
                <w:bCs w:val="0"/>
                <w:sz w:val="24"/>
                <w:highlight w:val="yellow"/>
              </w:rPr>
            </w:pPr>
            <w:r>
              <w:rPr>
                <w:rFonts w:hint="eastAsia"/>
                <w:b w:val="0"/>
                <w:bCs w:val="0"/>
                <w:sz w:val="24"/>
                <w:highlight w:val="none"/>
              </w:rPr>
              <w:t>本项目位于四川省达州市通川区东岳镇有力村九组</w:t>
            </w:r>
            <w:r>
              <w:rPr>
                <w:rFonts w:hint="eastAsia"/>
                <w:b w:val="0"/>
                <w:bCs w:val="0"/>
                <w:color w:val="auto"/>
                <w:sz w:val="24"/>
                <w:highlight w:val="none"/>
              </w:rPr>
              <w:t>，</w:t>
            </w:r>
            <w:r>
              <w:rPr>
                <w:rFonts w:hint="eastAsia"/>
                <w:b w:val="0"/>
                <w:bCs w:val="0"/>
                <w:sz w:val="24"/>
                <w:highlight w:val="none"/>
                <w:lang w:val="en-US" w:eastAsia="zh-CN"/>
              </w:rPr>
              <w:t>在原项目厂区范围内进行改扩建，不新增占地</w:t>
            </w:r>
            <w:r>
              <w:rPr>
                <w:rFonts w:hint="eastAsia"/>
                <w:b w:val="0"/>
                <w:bCs w:val="0"/>
                <w:sz w:val="24"/>
                <w:highlight w:val="none"/>
              </w:rPr>
              <w:t>，根据现场调查，本项目所在区域属于达州市通川区东岳新型工业聚集区，区域内供水、供电、供气、通讯、道路、交通等基础设施完善。</w:t>
            </w:r>
          </w:p>
          <w:p w14:paraId="2D7F88A5">
            <w:pPr>
              <w:spacing w:line="360" w:lineRule="auto"/>
              <w:ind w:firstLine="482" w:firstLineChars="200"/>
              <w:rPr>
                <w:b/>
                <w:bCs/>
                <w:sz w:val="24"/>
                <w:highlight w:val="none"/>
              </w:rPr>
            </w:pPr>
            <w:r>
              <w:rPr>
                <w:rFonts w:hint="eastAsia"/>
                <w:b/>
                <w:bCs/>
                <w:sz w:val="24"/>
                <w:highlight w:val="none"/>
              </w:rPr>
              <w:t>7</w:t>
            </w:r>
            <w:r>
              <w:rPr>
                <w:b/>
                <w:bCs/>
                <w:sz w:val="24"/>
                <w:highlight w:val="none"/>
              </w:rPr>
              <w:t>.1给排水</w:t>
            </w:r>
          </w:p>
          <w:p w14:paraId="27EED30C">
            <w:pPr>
              <w:spacing w:line="360" w:lineRule="auto"/>
              <w:ind w:firstLine="482" w:firstLineChars="200"/>
              <w:rPr>
                <w:sz w:val="24"/>
                <w:highlight w:val="none"/>
              </w:rPr>
            </w:pPr>
            <w:r>
              <w:rPr>
                <w:b/>
                <w:bCs/>
                <w:sz w:val="24"/>
                <w:highlight w:val="none"/>
              </w:rPr>
              <w:t>（1）给水</w:t>
            </w:r>
          </w:p>
          <w:p w14:paraId="1A624FCE">
            <w:pPr>
              <w:spacing w:line="360" w:lineRule="auto"/>
              <w:ind w:firstLine="480" w:firstLineChars="200"/>
              <w:rPr>
                <w:rFonts w:hint="eastAsia"/>
                <w:sz w:val="24"/>
              </w:rPr>
            </w:pPr>
            <w:r>
              <w:rPr>
                <w:sz w:val="24"/>
              </w:rPr>
              <w:t>本项目用水主要为</w:t>
            </w:r>
            <w:r>
              <w:rPr>
                <w:rFonts w:hint="eastAsia"/>
                <w:sz w:val="24"/>
              </w:rPr>
              <w:t>生产</w:t>
            </w:r>
            <w:r>
              <w:rPr>
                <w:sz w:val="24"/>
              </w:rPr>
              <w:t>用水和生活用水</w:t>
            </w:r>
            <w:r>
              <w:rPr>
                <w:rFonts w:hint="eastAsia"/>
                <w:sz w:val="24"/>
              </w:rPr>
              <w:t>，</w:t>
            </w:r>
            <w:r>
              <w:rPr>
                <w:sz w:val="24"/>
              </w:rPr>
              <w:t>给排水根据</w:t>
            </w:r>
            <w:r>
              <w:rPr>
                <w:rFonts w:hint="eastAsia"/>
                <w:sz w:val="24"/>
              </w:rPr>
              <w:t>《建筑给水排水设计标准》（GB50015-2019）</w:t>
            </w:r>
            <w:r>
              <w:rPr>
                <w:sz w:val="24"/>
              </w:rPr>
              <w:t>及《四川省用水定额》</w:t>
            </w:r>
            <w:r>
              <w:rPr>
                <w:rFonts w:hint="eastAsia"/>
                <w:sz w:val="24"/>
                <w:lang w:eastAsia="zh-CN"/>
              </w:rPr>
              <w:t>（</w:t>
            </w:r>
            <w:r>
              <w:rPr>
                <w:rFonts w:hint="eastAsia"/>
                <w:sz w:val="24"/>
                <w:lang w:val="en-US" w:eastAsia="zh-CN"/>
              </w:rPr>
              <w:t>川府函〔2021〕8号</w:t>
            </w:r>
            <w:r>
              <w:rPr>
                <w:rFonts w:hint="eastAsia"/>
                <w:sz w:val="24"/>
                <w:lang w:eastAsia="zh-CN"/>
              </w:rPr>
              <w:t>）</w:t>
            </w:r>
            <w:r>
              <w:rPr>
                <w:sz w:val="24"/>
              </w:rPr>
              <w:t>所制定的各项用水定额规范进行，</w:t>
            </w:r>
            <w:r>
              <w:rPr>
                <w:rFonts w:hint="eastAsia"/>
                <w:sz w:val="24"/>
              </w:rPr>
              <w:t>生产用水</w:t>
            </w:r>
            <w:r>
              <w:rPr>
                <w:rFonts w:hint="eastAsia"/>
                <w:sz w:val="24"/>
                <w:lang w:val="en-US" w:eastAsia="zh-CN"/>
              </w:rPr>
              <w:t>和</w:t>
            </w:r>
            <w:r>
              <w:rPr>
                <w:rFonts w:hint="eastAsia"/>
                <w:sz w:val="24"/>
              </w:rPr>
              <w:t>生活用水</w:t>
            </w:r>
            <w:r>
              <w:rPr>
                <w:sz w:val="24"/>
              </w:rPr>
              <w:t>由市政自来水管网供给</w:t>
            </w:r>
            <w:r>
              <w:rPr>
                <w:rFonts w:hint="eastAsia"/>
                <w:sz w:val="24"/>
                <w:lang w:eastAsia="zh-CN"/>
              </w:rPr>
              <w:t>，</w:t>
            </w:r>
            <w:r>
              <w:rPr>
                <w:rFonts w:hint="eastAsia"/>
                <w:sz w:val="24"/>
                <w:lang w:val="en-US" w:eastAsia="zh-CN"/>
              </w:rPr>
              <w:t>本项目车间清洁采用扫帚清扫的方式进行，不涉及清洁用水的使用，项目</w:t>
            </w:r>
            <w:r>
              <w:rPr>
                <w:sz w:val="24"/>
              </w:rPr>
              <w:t>生产用水主要</w:t>
            </w:r>
            <w:r>
              <w:rPr>
                <w:rFonts w:hint="eastAsia"/>
                <w:sz w:val="24"/>
                <w:lang w:val="en-US" w:eastAsia="zh-CN"/>
              </w:rPr>
              <w:t>包括乳化沥青生产</w:t>
            </w:r>
            <w:r>
              <w:rPr>
                <w:rFonts w:hint="eastAsia"/>
                <w:sz w:val="24"/>
              </w:rPr>
              <w:t>用水</w:t>
            </w:r>
            <w:r>
              <w:rPr>
                <w:rFonts w:hint="eastAsia"/>
                <w:sz w:val="24"/>
                <w:lang w:eastAsia="zh-CN"/>
              </w:rPr>
              <w:t>、生产检测中心试验设备清洗用水、</w:t>
            </w:r>
            <w:r>
              <w:rPr>
                <w:rFonts w:hint="eastAsia"/>
                <w:sz w:val="24"/>
                <w:lang w:val="en-US" w:eastAsia="zh-CN"/>
              </w:rPr>
              <w:t>运输车辆清洗用水、喷淋降尘用水和沥青搅拌、加热、卸料废气喷淋用水</w:t>
            </w:r>
            <w:r>
              <w:rPr>
                <w:rFonts w:hint="eastAsia"/>
                <w:sz w:val="24"/>
              </w:rPr>
              <w:t>。</w:t>
            </w:r>
          </w:p>
          <w:p w14:paraId="1215F24C">
            <w:pPr>
              <w:spacing w:line="360" w:lineRule="auto"/>
              <w:ind w:firstLine="482" w:firstLineChars="200"/>
              <w:rPr>
                <w:rFonts w:hint="eastAsia"/>
                <w:b/>
                <w:bCs/>
                <w:sz w:val="24"/>
                <w:lang w:val="en-US" w:eastAsia="zh-CN"/>
              </w:rPr>
            </w:pPr>
            <w:r>
              <w:rPr>
                <w:rFonts w:hint="eastAsia"/>
                <w:b/>
                <w:bCs/>
                <w:sz w:val="24"/>
                <w:lang w:val="en-US" w:eastAsia="zh-CN"/>
              </w:rPr>
              <w:t>生活用水：</w:t>
            </w:r>
          </w:p>
          <w:p w14:paraId="036D17F4">
            <w:pPr>
              <w:spacing w:line="360" w:lineRule="auto"/>
              <w:ind w:firstLine="480" w:firstLineChars="200"/>
              <w:rPr>
                <w:rFonts w:hint="eastAsia" w:ascii="Times New Roman" w:hAnsi="Times New Roman" w:eastAsia="宋体" w:cs="Times New Roman"/>
                <w:sz w:val="24"/>
                <w:lang w:val="en-US" w:eastAsia="zh-CN"/>
              </w:rPr>
            </w:pPr>
            <w:r>
              <w:rPr>
                <w:rFonts w:hint="eastAsia"/>
                <w:sz w:val="24"/>
                <w:lang w:val="en-US" w:eastAsia="zh-CN"/>
              </w:rPr>
              <w:t>本次改扩建后，厂区内设置员工宿舍和员工食堂，</w:t>
            </w:r>
            <w:r>
              <w:rPr>
                <w:rFonts w:hint="eastAsia" w:ascii="Times New Roman" w:hAnsi="Times New Roman" w:eastAsia="宋体" w:cs="Times New Roman"/>
                <w:sz w:val="24"/>
                <w:lang w:val="en-US" w:eastAsia="zh-CN"/>
              </w:rPr>
              <w:t>员工生活用水按120L/天·人（其中食堂用水20L/天·人）计，</w:t>
            </w:r>
            <w:r>
              <w:rPr>
                <w:rFonts w:hint="eastAsia"/>
                <w:sz w:val="24"/>
                <w:lang w:val="en-US" w:eastAsia="zh-CN"/>
              </w:rPr>
              <w:t>本次改扩建新增劳动</w:t>
            </w:r>
            <w:r>
              <w:rPr>
                <w:rFonts w:hint="eastAsia" w:ascii="Times New Roman" w:hAnsi="Times New Roman" w:eastAsia="宋体" w:cs="Times New Roman"/>
                <w:sz w:val="24"/>
                <w:lang w:val="en-US" w:eastAsia="zh-CN"/>
              </w:rPr>
              <w:t>定员10人，</w:t>
            </w:r>
            <w:r>
              <w:rPr>
                <w:rFonts w:hint="eastAsia"/>
                <w:b w:val="0"/>
                <w:bCs w:val="0"/>
                <w:sz w:val="24"/>
                <w:lang w:val="en-US" w:eastAsia="zh-CN"/>
              </w:rPr>
              <w:t>改扩建完成后全厂劳动定员40人，</w:t>
            </w:r>
            <w:r>
              <w:rPr>
                <w:rFonts w:hint="eastAsia" w:ascii="Times New Roman" w:hAnsi="Times New Roman" w:eastAsia="宋体" w:cs="Times New Roman"/>
                <w:sz w:val="24"/>
                <w:lang w:val="en-US" w:eastAsia="zh-CN"/>
              </w:rPr>
              <w:t>则生活用水量约为</w:t>
            </w:r>
            <w:r>
              <w:rPr>
                <w:rFonts w:hint="eastAsia" w:cs="Times New Roman"/>
                <w:sz w:val="24"/>
                <w:lang w:val="en-US" w:eastAsia="zh-CN"/>
              </w:rPr>
              <w:t>4.8</w:t>
            </w:r>
            <w:r>
              <w:rPr>
                <w:rFonts w:hint="eastAsia" w:ascii="Times New Roman" w:hAnsi="Times New Roman" w:eastAsia="宋体" w:cs="Times New Roman"/>
                <w:sz w:val="24"/>
                <w:lang w:val="en-US" w:eastAsia="zh-CN"/>
              </w:rPr>
              <w:t>m</w:t>
            </w:r>
            <w:r>
              <w:rPr>
                <w:rFonts w:hint="eastAsia"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lang w:val="en-US" w:eastAsia="zh-CN"/>
              </w:rPr>
              <w:t>/d（</w:t>
            </w:r>
            <w:r>
              <w:rPr>
                <w:rFonts w:hint="eastAsia" w:cs="Times New Roman"/>
                <w:sz w:val="24"/>
                <w:lang w:val="en-US" w:eastAsia="zh-CN"/>
              </w:rPr>
              <w:t>1584</w:t>
            </w:r>
            <w:r>
              <w:rPr>
                <w:rFonts w:hint="eastAsia" w:ascii="Times New Roman" w:hAnsi="Times New Roman" w:eastAsia="宋体" w:cs="Times New Roman"/>
                <w:sz w:val="24"/>
                <w:lang w:val="en-US" w:eastAsia="zh-CN"/>
              </w:rPr>
              <w:t>m</w:t>
            </w:r>
            <w:r>
              <w:rPr>
                <w:rFonts w:hint="eastAsia"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lang w:val="en-US" w:eastAsia="zh-CN"/>
              </w:rPr>
              <w:t>/a），其中：食堂用水</w:t>
            </w:r>
            <w:r>
              <w:rPr>
                <w:rFonts w:hint="eastAsia" w:cs="Times New Roman"/>
                <w:sz w:val="24"/>
                <w:lang w:val="en-US" w:eastAsia="zh-CN"/>
              </w:rPr>
              <w:t>0.8</w:t>
            </w:r>
            <w:r>
              <w:rPr>
                <w:rFonts w:hint="eastAsia" w:ascii="Times New Roman" w:hAnsi="Times New Roman" w:eastAsia="宋体" w:cs="Times New Roman"/>
                <w:sz w:val="24"/>
                <w:lang w:val="en-US" w:eastAsia="zh-CN"/>
              </w:rPr>
              <w:t>m</w:t>
            </w:r>
            <w:r>
              <w:rPr>
                <w:rFonts w:hint="eastAsia"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lang w:val="en-US" w:eastAsia="zh-CN"/>
              </w:rPr>
              <w:t>/d（</w:t>
            </w:r>
            <w:r>
              <w:rPr>
                <w:rFonts w:hint="eastAsia" w:cs="Times New Roman"/>
                <w:sz w:val="24"/>
                <w:lang w:val="en-US" w:eastAsia="zh-CN"/>
              </w:rPr>
              <w:t>264</w:t>
            </w:r>
            <w:r>
              <w:rPr>
                <w:rFonts w:hint="eastAsia" w:ascii="Times New Roman" w:hAnsi="Times New Roman" w:eastAsia="宋体" w:cs="Times New Roman"/>
                <w:sz w:val="24"/>
                <w:lang w:val="en-US" w:eastAsia="zh-CN"/>
              </w:rPr>
              <w:t>m</w:t>
            </w:r>
            <w:r>
              <w:rPr>
                <w:rFonts w:hint="eastAsia"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lang w:val="en-US" w:eastAsia="zh-CN"/>
              </w:rPr>
              <w:t>/a）。产污系数按0.85计，则生活污水量为</w:t>
            </w:r>
            <w:r>
              <w:rPr>
                <w:rFonts w:hint="eastAsia" w:cs="Times New Roman"/>
                <w:sz w:val="24"/>
                <w:lang w:val="en-US" w:eastAsia="zh-CN"/>
              </w:rPr>
              <w:t>4.08</w:t>
            </w:r>
            <w:r>
              <w:rPr>
                <w:rFonts w:hint="eastAsia" w:ascii="Times New Roman" w:hAnsi="Times New Roman" w:eastAsia="宋体" w:cs="Times New Roman"/>
                <w:sz w:val="24"/>
                <w:lang w:val="en-US" w:eastAsia="zh-CN"/>
              </w:rPr>
              <w:t>m</w:t>
            </w:r>
            <w:r>
              <w:rPr>
                <w:rFonts w:hint="eastAsia"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lang w:val="en-US" w:eastAsia="zh-CN"/>
              </w:rPr>
              <w:t>/d（</w:t>
            </w:r>
            <w:r>
              <w:rPr>
                <w:rFonts w:hint="eastAsia" w:cs="Times New Roman"/>
                <w:sz w:val="24"/>
                <w:lang w:val="en-US" w:eastAsia="zh-CN"/>
              </w:rPr>
              <w:t>1346.4</w:t>
            </w:r>
            <w:r>
              <w:rPr>
                <w:rFonts w:hint="eastAsia" w:ascii="Times New Roman" w:hAnsi="Times New Roman" w:eastAsia="宋体" w:cs="Times New Roman"/>
                <w:sz w:val="24"/>
                <w:lang w:val="en-US" w:eastAsia="zh-CN"/>
              </w:rPr>
              <w:t>m</w:t>
            </w:r>
            <w:r>
              <w:rPr>
                <w:rFonts w:hint="eastAsia"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lang w:val="en-US" w:eastAsia="zh-CN"/>
              </w:rPr>
              <w:t>/a），</w:t>
            </w:r>
            <w:r>
              <w:rPr>
                <w:rFonts w:hint="eastAsia" w:cs="Times New Roman"/>
                <w:sz w:val="24"/>
                <w:lang w:val="en-US" w:eastAsia="zh-CN"/>
              </w:rPr>
              <w:t>其中：</w:t>
            </w:r>
            <w:r>
              <w:rPr>
                <w:rFonts w:hint="eastAsia" w:ascii="Times New Roman" w:hAnsi="Times New Roman" w:eastAsia="宋体" w:cs="Times New Roman"/>
                <w:sz w:val="24"/>
                <w:lang w:val="en-US" w:eastAsia="zh-CN"/>
              </w:rPr>
              <w:t>食堂废水为</w:t>
            </w:r>
            <w:r>
              <w:rPr>
                <w:rFonts w:hint="eastAsia" w:cs="Times New Roman"/>
                <w:sz w:val="24"/>
                <w:lang w:val="en-US" w:eastAsia="zh-CN"/>
              </w:rPr>
              <w:t>0.68</w:t>
            </w:r>
            <w:r>
              <w:rPr>
                <w:rFonts w:hint="eastAsia" w:ascii="Times New Roman" w:hAnsi="Times New Roman" w:eastAsia="宋体" w:cs="Times New Roman"/>
                <w:sz w:val="24"/>
                <w:lang w:val="en-US" w:eastAsia="zh-CN"/>
              </w:rPr>
              <w:t>m</w:t>
            </w:r>
            <w:r>
              <w:rPr>
                <w:rFonts w:hint="eastAsia"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lang w:val="en-US" w:eastAsia="zh-CN"/>
              </w:rPr>
              <w:t>/d（</w:t>
            </w:r>
            <w:r>
              <w:rPr>
                <w:rFonts w:hint="eastAsia" w:cs="Times New Roman"/>
                <w:sz w:val="24"/>
                <w:lang w:val="en-US" w:eastAsia="zh-CN"/>
              </w:rPr>
              <w:t>224.4</w:t>
            </w:r>
            <w:r>
              <w:rPr>
                <w:rFonts w:hint="eastAsia" w:ascii="Times New Roman" w:hAnsi="Times New Roman" w:eastAsia="宋体" w:cs="Times New Roman"/>
                <w:sz w:val="24"/>
                <w:lang w:val="en-US" w:eastAsia="zh-CN"/>
              </w:rPr>
              <w:t>m</w:t>
            </w:r>
            <w:r>
              <w:rPr>
                <w:rFonts w:hint="eastAsia"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lang w:val="en-US" w:eastAsia="zh-CN"/>
              </w:rPr>
              <w:t>/a）。</w:t>
            </w:r>
          </w:p>
          <w:p w14:paraId="10C2C768">
            <w:pPr>
              <w:spacing w:line="360" w:lineRule="auto"/>
              <w:ind w:firstLine="482" w:firstLineChars="200"/>
              <w:rPr>
                <w:rFonts w:hint="eastAsia"/>
                <w:b/>
                <w:bCs/>
                <w:sz w:val="24"/>
                <w:lang w:val="en-US" w:eastAsia="zh-CN"/>
              </w:rPr>
            </w:pPr>
            <w:r>
              <w:rPr>
                <w:rFonts w:hint="eastAsia"/>
                <w:b/>
                <w:bCs/>
                <w:sz w:val="24"/>
                <w:lang w:val="en-US" w:eastAsia="zh-CN"/>
              </w:rPr>
              <w:t>生产用水：</w:t>
            </w:r>
          </w:p>
          <w:p w14:paraId="73FC95F0">
            <w:pPr>
              <w:spacing w:line="360" w:lineRule="auto"/>
              <w:ind w:firstLine="480" w:firstLineChars="200"/>
              <w:rPr>
                <w:rFonts w:hint="eastAsia"/>
                <w:sz w:val="24"/>
                <w:lang w:val="en-US" w:eastAsia="zh-CN"/>
              </w:rPr>
            </w:pPr>
            <w:r>
              <w:rPr>
                <w:rFonts w:hint="eastAsia"/>
                <w:sz w:val="24"/>
                <w:lang w:val="en-US" w:eastAsia="zh-CN"/>
              </w:rPr>
              <w:t>①乳化沥青生产用水</w:t>
            </w:r>
          </w:p>
          <w:p w14:paraId="42634DAB">
            <w:pPr>
              <w:spacing w:line="360" w:lineRule="auto"/>
              <w:ind w:firstLine="480" w:firstLineChars="200"/>
              <w:rPr>
                <w:rFonts w:hint="default"/>
                <w:sz w:val="24"/>
                <w:highlight w:val="none"/>
                <w:lang w:val="en-US" w:eastAsia="zh-CN"/>
              </w:rPr>
            </w:pPr>
            <w:r>
              <w:rPr>
                <w:rFonts w:hint="eastAsia"/>
                <w:sz w:val="24"/>
                <w:highlight w:val="none"/>
                <w:lang w:val="en-US" w:eastAsia="zh-CN"/>
              </w:rPr>
              <w:t>根据业主提供资料，乳化沥青生产过程水、沥青、乳化剂比例为9:10:1，本项目年产乳化沥青6000t，则用水量为2700m</w:t>
            </w:r>
            <w:r>
              <w:rPr>
                <w:rFonts w:hint="eastAsia"/>
                <w:sz w:val="24"/>
                <w:highlight w:val="none"/>
                <w:vertAlign w:val="superscript"/>
                <w:lang w:val="en-US" w:eastAsia="zh-CN"/>
              </w:rPr>
              <w:t>3</w:t>
            </w:r>
            <w:r>
              <w:rPr>
                <w:rFonts w:hint="eastAsia"/>
                <w:sz w:val="24"/>
                <w:highlight w:val="none"/>
                <w:lang w:val="en-US" w:eastAsia="zh-CN"/>
              </w:rPr>
              <w:t>/a（约8.182m</w:t>
            </w:r>
            <w:r>
              <w:rPr>
                <w:rFonts w:hint="eastAsia"/>
                <w:sz w:val="24"/>
                <w:highlight w:val="none"/>
                <w:vertAlign w:val="superscript"/>
                <w:lang w:val="en-US" w:eastAsia="zh-CN"/>
              </w:rPr>
              <w:t>3</w:t>
            </w:r>
            <w:r>
              <w:rPr>
                <w:rFonts w:hint="eastAsia"/>
                <w:sz w:val="24"/>
                <w:highlight w:val="none"/>
                <w:lang w:val="en-US" w:eastAsia="zh-CN"/>
              </w:rPr>
              <w:t>/d），</w:t>
            </w:r>
            <w:r>
              <w:rPr>
                <w:rFonts w:hint="eastAsia"/>
                <w:sz w:val="24"/>
                <w:lang w:val="en-US" w:eastAsia="zh-CN"/>
              </w:rPr>
              <w:t>乳化沥青生产用水全部进入产品，无废水产生。</w:t>
            </w:r>
          </w:p>
          <w:p w14:paraId="61F74806">
            <w:pPr>
              <w:spacing w:line="360" w:lineRule="auto"/>
              <w:ind w:firstLine="480" w:firstLineChars="200"/>
              <w:rPr>
                <w:rFonts w:hint="eastAsia"/>
                <w:sz w:val="24"/>
                <w:highlight w:val="none"/>
                <w:lang w:val="en-US" w:eastAsia="zh-CN"/>
              </w:rPr>
            </w:pPr>
            <w:r>
              <w:rPr>
                <w:rFonts w:hint="eastAsia"/>
                <w:sz w:val="24"/>
                <w:highlight w:val="none"/>
                <w:lang w:val="en-US" w:eastAsia="zh-CN"/>
              </w:rPr>
              <w:t>②生产检测中心试验设备清洗用水</w:t>
            </w:r>
          </w:p>
          <w:p w14:paraId="67FEF07A">
            <w:pPr>
              <w:spacing w:line="360" w:lineRule="auto"/>
              <w:ind w:firstLine="480" w:firstLineChars="200"/>
              <w:rPr>
                <w:rFonts w:hint="default"/>
                <w:sz w:val="24"/>
                <w:lang w:val="en-US" w:eastAsia="zh-CN"/>
              </w:rPr>
            </w:pPr>
            <w:r>
              <w:rPr>
                <w:rFonts w:hint="eastAsia"/>
                <w:sz w:val="24"/>
                <w:highlight w:val="none"/>
                <w:lang w:val="en-US" w:eastAsia="zh-CN"/>
              </w:rPr>
              <w:t>生产检测中心试验设备需进行清洗，本项目产品质量试验均为物理实验，无化学试剂，根据建设单位提供的资料，试验设备清洗用水约0.1m</w:t>
            </w:r>
            <w:r>
              <w:rPr>
                <w:rFonts w:hint="eastAsia"/>
                <w:sz w:val="24"/>
                <w:highlight w:val="none"/>
                <w:vertAlign w:val="superscript"/>
                <w:lang w:val="en-US" w:eastAsia="zh-CN"/>
              </w:rPr>
              <w:t>3</w:t>
            </w:r>
            <w:r>
              <w:rPr>
                <w:rFonts w:hint="eastAsia"/>
                <w:sz w:val="24"/>
                <w:highlight w:val="none"/>
                <w:lang w:val="en-US" w:eastAsia="zh-CN"/>
              </w:rPr>
              <w:t>/d（33m</w:t>
            </w:r>
            <w:r>
              <w:rPr>
                <w:rFonts w:hint="eastAsia"/>
                <w:sz w:val="24"/>
                <w:highlight w:val="none"/>
                <w:vertAlign w:val="superscript"/>
                <w:lang w:val="en-US" w:eastAsia="zh-CN"/>
              </w:rPr>
              <w:t>3</w:t>
            </w:r>
            <w:r>
              <w:rPr>
                <w:rFonts w:hint="eastAsia"/>
                <w:sz w:val="24"/>
                <w:highlight w:val="none"/>
                <w:lang w:val="en-US" w:eastAsia="zh-CN"/>
              </w:rPr>
              <w:t>/a）。试验设备清洗过程损耗按15%计，剩余部分经三级沉淀池处理后循环使用，则试验设备清洗用水补充水量为0.015m</w:t>
            </w:r>
            <w:r>
              <w:rPr>
                <w:rFonts w:hint="eastAsia"/>
                <w:sz w:val="24"/>
                <w:highlight w:val="none"/>
                <w:vertAlign w:val="superscript"/>
                <w:lang w:val="en-US" w:eastAsia="zh-CN"/>
              </w:rPr>
              <w:t>3</w:t>
            </w:r>
            <w:r>
              <w:rPr>
                <w:rFonts w:hint="eastAsia"/>
                <w:sz w:val="24"/>
                <w:highlight w:val="none"/>
                <w:lang w:val="en-US" w:eastAsia="zh-CN"/>
              </w:rPr>
              <w:t>/d，返回沉淀池水量为0.085m</w:t>
            </w:r>
            <w:r>
              <w:rPr>
                <w:rFonts w:hint="eastAsia"/>
                <w:sz w:val="24"/>
                <w:highlight w:val="none"/>
                <w:vertAlign w:val="superscript"/>
                <w:lang w:val="en-US" w:eastAsia="zh-CN"/>
              </w:rPr>
              <w:t>3</w:t>
            </w:r>
            <w:r>
              <w:rPr>
                <w:rFonts w:hint="eastAsia"/>
                <w:sz w:val="24"/>
                <w:highlight w:val="none"/>
                <w:lang w:val="en-US" w:eastAsia="zh-CN"/>
              </w:rPr>
              <w:t>/d。</w:t>
            </w:r>
          </w:p>
          <w:p w14:paraId="3C4B5264">
            <w:pPr>
              <w:spacing w:line="360" w:lineRule="auto"/>
              <w:ind w:firstLine="480" w:firstLineChars="200"/>
              <w:rPr>
                <w:rFonts w:hint="default"/>
                <w:sz w:val="24"/>
                <w:highlight w:val="none"/>
                <w:lang w:val="en-US" w:eastAsia="zh-CN"/>
              </w:rPr>
            </w:pPr>
            <w:r>
              <w:rPr>
                <w:rFonts w:hint="eastAsia"/>
                <w:sz w:val="24"/>
                <w:highlight w:val="none"/>
                <w:lang w:val="en-US" w:eastAsia="zh-CN"/>
              </w:rPr>
              <w:t>③</w:t>
            </w:r>
            <w:r>
              <w:rPr>
                <w:rFonts w:hint="eastAsia"/>
                <w:sz w:val="24"/>
                <w:lang w:val="en-US" w:eastAsia="zh-CN"/>
              </w:rPr>
              <w:t>运输车辆清洗用水</w:t>
            </w:r>
          </w:p>
          <w:p w14:paraId="1F194C3D">
            <w:pPr>
              <w:spacing w:line="360" w:lineRule="auto"/>
              <w:ind w:firstLine="480" w:firstLineChars="200"/>
              <w:rPr>
                <w:rFonts w:hint="default"/>
                <w:b w:val="0"/>
                <w:bCs w:val="0"/>
                <w:sz w:val="24"/>
                <w:highlight w:val="none"/>
                <w:lang w:val="en-US" w:eastAsia="zh-CN"/>
              </w:rPr>
            </w:pPr>
            <w:r>
              <w:rPr>
                <w:rFonts w:hint="default"/>
                <w:b w:val="0"/>
                <w:bCs w:val="0"/>
                <w:sz w:val="24"/>
                <w:highlight w:val="none"/>
                <w:lang w:val="en-US" w:eastAsia="zh-CN"/>
              </w:rPr>
              <w:t>本项目</w:t>
            </w:r>
            <w:r>
              <w:rPr>
                <w:rFonts w:hint="eastAsia"/>
                <w:b w:val="0"/>
                <w:bCs w:val="0"/>
                <w:sz w:val="24"/>
                <w:highlight w:val="none"/>
                <w:lang w:val="en-US" w:eastAsia="zh-CN"/>
              </w:rPr>
              <w:t>改扩建完成后，普通</w:t>
            </w:r>
            <w:r>
              <w:rPr>
                <w:rFonts w:hint="default"/>
                <w:b w:val="0"/>
                <w:bCs w:val="0"/>
                <w:sz w:val="24"/>
                <w:highlight w:val="none"/>
                <w:lang w:val="en-US" w:eastAsia="zh-CN"/>
              </w:rPr>
              <w:t>沥青混凝土产品规模为</w:t>
            </w:r>
            <w:r>
              <w:rPr>
                <w:rFonts w:hint="eastAsia"/>
                <w:b w:val="0"/>
                <w:bCs w:val="0"/>
                <w:sz w:val="24"/>
                <w:highlight w:val="none"/>
                <w:lang w:val="en-US" w:eastAsia="zh-CN"/>
              </w:rPr>
              <w:t>3</w:t>
            </w:r>
            <w:r>
              <w:rPr>
                <w:rFonts w:hint="default"/>
                <w:b w:val="0"/>
                <w:bCs w:val="0"/>
                <w:sz w:val="24"/>
                <w:highlight w:val="none"/>
                <w:lang w:val="en-US" w:eastAsia="zh-CN"/>
              </w:rPr>
              <w:t>0万吨/年、</w:t>
            </w:r>
            <w:r>
              <w:rPr>
                <w:rFonts w:hint="eastAsia"/>
                <w:b w:val="0"/>
                <w:bCs w:val="0"/>
                <w:sz w:val="24"/>
                <w:highlight w:val="none"/>
                <w:lang w:val="en-US" w:eastAsia="zh-CN"/>
              </w:rPr>
              <w:t>热</w:t>
            </w:r>
            <w:r>
              <w:rPr>
                <w:rFonts w:hint="default"/>
                <w:b w:val="0"/>
                <w:bCs w:val="0"/>
                <w:sz w:val="24"/>
                <w:highlight w:val="none"/>
                <w:lang w:val="en-US" w:eastAsia="zh-CN"/>
              </w:rPr>
              <w:t>再生沥青混凝土</w:t>
            </w:r>
            <w:r>
              <w:rPr>
                <w:rFonts w:hint="eastAsia"/>
                <w:b w:val="0"/>
                <w:bCs w:val="0"/>
                <w:sz w:val="24"/>
                <w:highlight w:val="none"/>
                <w:lang w:val="en-US" w:eastAsia="zh-CN"/>
              </w:rPr>
              <w:t>10</w:t>
            </w:r>
            <w:r>
              <w:rPr>
                <w:rFonts w:hint="default"/>
                <w:b w:val="0"/>
                <w:bCs w:val="0"/>
                <w:sz w:val="24"/>
                <w:highlight w:val="none"/>
                <w:lang w:val="en-US" w:eastAsia="zh-CN"/>
              </w:rPr>
              <w:t>万吨/年、</w:t>
            </w:r>
            <w:r>
              <w:rPr>
                <w:rFonts w:hint="eastAsia"/>
                <w:b w:val="0"/>
                <w:bCs w:val="0"/>
                <w:sz w:val="24"/>
                <w:highlight w:val="none"/>
                <w:lang w:val="en-US" w:eastAsia="zh-CN"/>
              </w:rPr>
              <w:t>乳化沥青6000</w:t>
            </w:r>
            <w:r>
              <w:rPr>
                <w:rFonts w:hint="default"/>
                <w:b w:val="0"/>
                <w:bCs w:val="0"/>
                <w:sz w:val="24"/>
                <w:highlight w:val="none"/>
                <w:lang w:val="en-US" w:eastAsia="zh-CN"/>
              </w:rPr>
              <w:t>吨/年</w:t>
            </w:r>
            <w:r>
              <w:rPr>
                <w:rFonts w:hint="eastAsia"/>
                <w:b w:val="0"/>
                <w:bCs w:val="0"/>
                <w:sz w:val="24"/>
                <w:highlight w:val="none"/>
                <w:lang w:val="en-US" w:eastAsia="zh-CN"/>
              </w:rPr>
              <w:t>、煤粉10</w:t>
            </w:r>
            <w:r>
              <w:rPr>
                <w:rFonts w:hint="default"/>
                <w:b w:val="0"/>
                <w:bCs w:val="0"/>
                <w:sz w:val="24"/>
                <w:highlight w:val="none"/>
                <w:lang w:val="en-US" w:eastAsia="zh-CN"/>
              </w:rPr>
              <w:t>吨/年，</w:t>
            </w:r>
            <w:r>
              <w:rPr>
                <w:rFonts w:hint="eastAsia"/>
                <w:b w:val="0"/>
                <w:bCs w:val="0"/>
                <w:sz w:val="24"/>
                <w:highlight w:val="none"/>
                <w:lang w:val="en-US" w:eastAsia="zh-CN"/>
              </w:rPr>
              <w:t>车辆运输平均</w:t>
            </w:r>
            <w:r>
              <w:rPr>
                <w:rFonts w:hint="default"/>
                <w:b w:val="0"/>
                <w:bCs w:val="0"/>
                <w:sz w:val="24"/>
                <w:highlight w:val="none"/>
                <w:lang w:val="en-US" w:eastAsia="zh-CN"/>
              </w:rPr>
              <w:t>按单次25t计算，则年运输约</w:t>
            </w:r>
            <w:r>
              <w:rPr>
                <w:rFonts w:hint="eastAsia"/>
                <w:b w:val="0"/>
                <w:bCs w:val="0"/>
                <w:sz w:val="24"/>
                <w:highlight w:val="none"/>
                <w:lang w:val="en-US" w:eastAsia="zh-CN"/>
              </w:rPr>
              <w:t>20240</w:t>
            </w:r>
            <w:r>
              <w:rPr>
                <w:rFonts w:hint="default"/>
                <w:b w:val="0"/>
                <w:bCs w:val="0"/>
                <w:sz w:val="24"/>
                <w:highlight w:val="none"/>
                <w:lang w:val="en-US" w:eastAsia="zh-CN"/>
              </w:rPr>
              <w:t>次（平均每天</w:t>
            </w:r>
            <w:r>
              <w:rPr>
                <w:rFonts w:hint="eastAsia"/>
                <w:b w:val="0"/>
                <w:bCs w:val="0"/>
                <w:sz w:val="24"/>
                <w:highlight w:val="none"/>
                <w:lang w:val="en-US" w:eastAsia="zh-CN"/>
              </w:rPr>
              <w:t>62</w:t>
            </w:r>
            <w:r>
              <w:rPr>
                <w:rFonts w:hint="default"/>
                <w:b w:val="0"/>
                <w:bCs w:val="0"/>
                <w:sz w:val="24"/>
                <w:highlight w:val="none"/>
                <w:lang w:val="en-US" w:eastAsia="zh-CN"/>
              </w:rPr>
              <w:t>次/d）。</w:t>
            </w:r>
          </w:p>
          <w:p w14:paraId="10BC6CBD">
            <w:pPr>
              <w:spacing w:line="360" w:lineRule="auto"/>
              <w:ind w:firstLine="480" w:firstLineChars="200"/>
              <w:rPr>
                <w:rFonts w:hint="default"/>
                <w:b w:val="0"/>
                <w:bCs w:val="0"/>
                <w:sz w:val="24"/>
                <w:highlight w:val="none"/>
                <w:lang w:val="en-US" w:eastAsia="zh-CN"/>
              </w:rPr>
            </w:pPr>
            <w:r>
              <w:rPr>
                <w:rFonts w:hint="default"/>
                <w:b w:val="0"/>
                <w:bCs w:val="0"/>
                <w:sz w:val="24"/>
                <w:highlight w:val="none"/>
                <w:lang w:val="en-US" w:eastAsia="zh-CN"/>
              </w:rPr>
              <w:t>每次需要对车辆进行</w:t>
            </w:r>
            <w:r>
              <w:rPr>
                <w:rFonts w:hint="eastAsia"/>
                <w:b w:val="0"/>
                <w:bCs w:val="0"/>
                <w:sz w:val="24"/>
                <w:highlight w:val="none"/>
                <w:lang w:val="en-US" w:eastAsia="zh-CN"/>
              </w:rPr>
              <w:t>清洗</w:t>
            </w:r>
            <w:r>
              <w:rPr>
                <w:rFonts w:hint="default"/>
                <w:b w:val="0"/>
                <w:bCs w:val="0"/>
                <w:sz w:val="24"/>
                <w:highlight w:val="none"/>
                <w:lang w:val="en-US" w:eastAsia="zh-CN"/>
              </w:rPr>
              <w:t>（仅对车辆轮胎进行</w:t>
            </w:r>
            <w:r>
              <w:rPr>
                <w:rFonts w:hint="eastAsia"/>
                <w:b w:val="0"/>
                <w:bCs w:val="0"/>
                <w:sz w:val="24"/>
                <w:highlight w:val="none"/>
                <w:lang w:val="en-US" w:eastAsia="zh-CN"/>
              </w:rPr>
              <w:t>清洗</w:t>
            </w:r>
            <w:r>
              <w:rPr>
                <w:rFonts w:hint="default"/>
                <w:b w:val="0"/>
                <w:bCs w:val="0"/>
                <w:sz w:val="24"/>
                <w:highlight w:val="none"/>
                <w:lang w:val="en-US" w:eastAsia="zh-CN"/>
              </w:rPr>
              <w:t>），根据建设单位提供的资料，车辆</w:t>
            </w:r>
            <w:r>
              <w:rPr>
                <w:rFonts w:hint="eastAsia"/>
                <w:b w:val="0"/>
                <w:bCs w:val="0"/>
                <w:sz w:val="24"/>
                <w:highlight w:val="none"/>
                <w:lang w:val="en-US" w:eastAsia="zh-CN"/>
              </w:rPr>
              <w:t>清洗</w:t>
            </w:r>
            <w:r>
              <w:rPr>
                <w:rFonts w:hint="default"/>
                <w:b w:val="0"/>
                <w:bCs w:val="0"/>
                <w:sz w:val="24"/>
                <w:highlight w:val="none"/>
                <w:lang w:val="en-US" w:eastAsia="zh-CN"/>
              </w:rPr>
              <w:t>量大约100L/辆·次，因此</w:t>
            </w:r>
            <w:r>
              <w:rPr>
                <w:rFonts w:hint="eastAsia"/>
                <w:b w:val="0"/>
                <w:bCs w:val="0"/>
                <w:sz w:val="24"/>
                <w:highlight w:val="none"/>
                <w:lang w:val="en-US" w:eastAsia="zh-CN"/>
              </w:rPr>
              <w:t>清洗</w:t>
            </w:r>
            <w:r>
              <w:rPr>
                <w:rFonts w:hint="default"/>
                <w:b w:val="0"/>
                <w:bCs w:val="0"/>
                <w:sz w:val="24"/>
                <w:highlight w:val="none"/>
                <w:lang w:val="en-US" w:eastAsia="zh-CN"/>
              </w:rPr>
              <w:t>用水约</w:t>
            </w:r>
            <w:r>
              <w:rPr>
                <w:rFonts w:hint="eastAsia"/>
                <w:b w:val="0"/>
                <w:bCs w:val="0"/>
                <w:sz w:val="24"/>
                <w:highlight w:val="none"/>
                <w:lang w:val="en-US" w:eastAsia="zh-CN"/>
              </w:rPr>
              <w:t>6.2</w:t>
            </w:r>
            <w:r>
              <w:rPr>
                <w:rFonts w:hint="default"/>
                <w:b w:val="0"/>
                <w:bCs w:val="0"/>
                <w:sz w:val="24"/>
                <w:highlight w:val="none"/>
                <w:lang w:val="en-US" w:eastAsia="zh-CN"/>
              </w:rPr>
              <w:t>m</w:t>
            </w:r>
            <w:r>
              <w:rPr>
                <w:rFonts w:hint="default"/>
                <w:b w:val="0"/>
                <w:bCs w:val="0"/>
                <w:sz w:val="24"/>
                <w:highlight w:val="none"/>
                <w:vertAlign w:val="superscript"/>
                <w:lang w:val="en-US" w:eastAsia="zh-CN"/>
              </w:rPr>
              <w:t>3</w:t>
            </w:r>
            <w:r>
              <w:rPr>
                <w:rFonts w:hint="default"/>
                <w:b w:val="0"/>
                <w:bCs w:val="0"/>
                <w:sz w:val="24"/>
                <w:highlight w:val="none"/>
                <w:lang w:val="en-US" w:eastAsia="zh-CN"/>
              </w:rPr>
              <w:t>/d。车辆</w:t>
            </w:r>
            <w:r>
              <w:rPr>
                <w:rFonts w:hint="eastAsia"/>
                <w:b w:val="0"/>
                <w:bCs w:val="0"/>
                <w:sz w:val="24"/>
                <w:highlight w:val="none"/>
                <w:lang w:val="en-US" w:eastAsia="zh-CN"/>
              </w:rPr>
              <w:t>清洗</w:t>
            </w:r>
            <w:r>
              <w:rPr>
                <w:rFonts w:hint="default"/>
                <w:b w:val="0"/>
                <w:bCs w:val="0"/>
                <w:sz w:val="24"/>
                <w:highlight w:val="none"/>
                <w:lang w:val="en-US" w:eastAsia="zh-CN"/>
              </w:rPr>
              <w:t>过程损耗按15%计，剩余部分经</w:t>
            </w:r>
            <w:r>
              <w:rPr>
                <w:rFonts w:hint="eastAsia"/>
                <w:b w:val="0"/>
                <w:bCs w:val="0"/>
                <w:sz w:val="24"/>
                <w:highlight w:val="none"/>
                <w:lang w:val="en-US" w:eastAsia="zh-CN"/>
              </w:rPr>
              <w:t>隔油池+</w:t>
            </w:r>
            <w:r>
              <w:rPr>
                <w:rFonts w:hint="default"/>
                <w:b w:val="0"/>
                <w:bCs w:val="0"/>
                <w:sz w:val="24"/>
                <w:highlight w:val="none"/>
                <w:lang w:val="en-US" w:eastAsia="zh-CN"/>
              </w:rPr>
              <w:t>三级沉淀池处理后循环使用，则车辆</w:t>
            </w:r>
            <w:r>
              <w:rPr>
                <w:rFonts w:hint="eastAsia"/>
                <w:b w:val="0"/>
                <w:bCs w:val="0"/>
                <w:sz w:val="24"/>
                <w:highlight w:val="none"/>
                <w:lang w:val="en-US" w:eastAsia="zh-CN"/>
              </w:rPr>
              <w:t>清洗</w:t>
            </w:r>
            <w:r>
              <w:rPr>
                <w:rFonts w:hint="default"/>
                <w:b w:val="0"/>
                <w:bCs w:val="0"/>
                <w:sz w:val="24"/>
                <w:highlight w:val="none"/>
                <w:lang w:val="en-US" w:eastAsia="zh-CN"/>
              </w:rPr>
              <w:t>用水补充水量为</w:t>
            </w:r>
            <w:r>
              <w:rPr>
                <w:rFonts w:hint="eastAsia"/>
                <w:b w:val="0"/>
                <w:bCs w:val="0"/>
                <w:sz w:val="24"/>
                <w:highlight w:val="none"/>
                <w:lang w:val="en-US" w:eastAsia="zh-CN"/>
              </w:rPr>
              <w:t>0.93</w:t>
            </w:r>
            <w:r>
              <w:rPr>
                <w:rFonts w:hint="default"/>
                <w:b w:val="0"/>
                <w:bCs w:val="0"/>
                <w:sz w:val="24"/>
                <w:highlight w:val="none"/>
                <w:lang w:val="en-US" w:eastAsia="zh-CN"/>
              </w:rPr>
              <w:t>m</w:t>
            </w:r>
            <w:r>
              <w:rPr>
                <w:rFonts w:hint="default"/>
                <w:b w:val="0"/>
                <w:bCs w:val="0"/>
                <w:sz w:val="24"/>
                <w:highlight w:val="none"/>
                <w:vertAlign w:val="superscript"/>
                <w:lang w:val="en-US" w:eastAsia="zh-CN"/>
              </w:rPr>
              <w:t>3</w:t>
            </w:r>
            <w:r>
              <w:rPr>
                <w:rFonts w:hint="default"/>
                <w:b w:val="0"/>
                <w:bCs w:val="0"/>
                <w:sz w:val="24"/>
                <w:highlight w:val="none"/>
                <w:lang w:val="en-US" w:eastAsia="zh-CN"/>
              </w:rPr>
              <w:t>/d，返回沉淀池水量为</w:t>
            </w:r>
            <w:r>
              <w:rPr>
                <w:rFonts w:hint="eastAsia"/>
                <w:b w:val="0"/>
                <w:bCs w:val="0"/>
                <w:sz w:val="24"/>
                <w:highlight w:val="none"/>
                <w:lang w:val="en-US" w:eastAsia="zh-CN"/>
              </w:rPr>
              <w:t>5.27</w:t>
            </w:r>
            <w:r>
              <w:rPr>
                <w:rFonts w:hint="default"/>
                <w:b w:val="0"/>
                <w:bCs w:val="0"/>
                <w:sz w:val="24"/>
                <w:highlight w:val="none"/>
                <w:lang w:val="en-US" w:eastAsia="zh-CN"/>
              </w:rPr>
              <w:t>m</w:t>
            </w:r>
            <w:r>
              <w:rPr>
                <w:rFonts w:hint="default"/>
                <w:b w:val="0"/>
                <w:bCs w:val="0"/>
                <w:sz w:val="24"/>
                <w:highlight w:val="none"/>
                <w:vertAlign w:val="superscript"/>
                <w:lang w:val="en-US" w:eastAsia="zh-CN"/>
              </w:rPr>
              <w:t>3</w:t>
            </w:r>
            <w:r>
              <w:rPr>
                <w:rFonts w:hint="default"/>
                <w:b w:val="0"/>
                <w:bCs w:val="0"/>
                <w:sz w:val="24"/>
                <w:highlight w:val="none"/>
                <w:lang w:val="en-US" w:eastAsia="zh-CN"/>
              </w:rPr>
              <w:t>/d。</w:t>
            </w:r>
          </w:p>
          <w:p w14:paraId="356D7C85">
            <w:pPr>
              <w:pStyle w:val="5"/>
              <w:spacing w:before="0" w:after="0" w:line="360" w:lineRule="auto"/>
              <w:ind w:firstLine="480" w:firstLineChars="200"/>
              <w:rPr>
                <w:rFonts w:hint="eastAsia"/>
                <w:b w:val="0"/>
                <w:bCs w:val="0"/>
                <w:sz w:val="24"/>
                <w:szCs w:val="24"/>
                <w:highlight w:val="none"/>
                <w:lang w:val="en-US" w:eastAsia="zh-CN"/>
              </w:rPr>
            </w:pPr>
            <w:r>
              <w:rPr>
                <w:rFonts w:hint="eastAsia"/>
                <w:b w:val="0"/>
                <w:bCs w:val="0"/>
                <w:sz w:val="24"/>
                <w:szCs w:val="24"/>
                <w:highlight w:val="none"/>
                <w:lang w:val="en-US" w:eastAsia="zh-CN"/>
              </w:rPr>
              <w:t>④喷淋降尘用水（包括物料装卸喷淋和人工洒水降尘）</w:t>
            </w:r>
          </w:p>
          <w:p w14:paraId="7629E9EC">
            <w:pPr>
              <w:pStyle w:val="5"/>
              <w:spacing w:before="0" w:after="0" w:line="360" w:lineRule="auto"/>
              <w:ind w:firstLine="480" w:firstLineChars="200"/>
              <w:rPr>
                <w:rFonts w:hint="eastAsia"/>
                <w:b w:val="0"/>
                <w:bCs w:val="0"/>
                <w:sz w:val="24"/>
                <w:szCs w:val="24"/>
                <w:highlight w:val="none"/>
                <w:lang w:val="en-US" w:eastAsia="zh-CN"/>
              </w:rPr>
            </w:pPr>
            <w:r>
              <w:rPr>
                <w:rFonts w:hint="eastAsia"/>
                <w:b w:val="0"/>
                <w:bCs w:val="0"/>
                <w:sz w:val="24"/>
                <w:szCs w:val="24"/>
                <w:highlight w:val="none"/>
                <w:lang w:val="en-US" w:eastAsia="zh-CN"/>
              </w:rPr>
              <w:t>本项目在煤粉生产车间、再生料预处理车间、中煤料仓、砂石骨料仓顶部以及砂石骨料上料口设置喷雾装置，共设置5套喷雾装置，约100个雾化喷头，以减小再生料、砂石骨料、机砂等物料装卸、投料过程中产生的粉尘以及再生料预处理和煤粉在生产过程中产生的粉尘。根据建设单位提供的资料，雾化喷头用水量为15L/h·个，持续喷雾，每天喷雾时间10h，则物料装卸喷淋降尘用水量为15m</w:t>
            </w:r>
            <w:r>
              <w:rPr>
                <w:rFonts w:hint="eastAsia"/>
                <w:b w:val="0"/>
                <w:bCs w:val="0"/>
                <w:sz w:val="24"/>
                <w:szCs w:val="24"/>
                <w:highlight w:val="none"/>
                <w:vertAlign w:val="superscript"/>
                <w:lang w:val="en-US" w:eastAsia="zh-CN"/>
              </w:rPr>
              <w:t>3</w:t>
            </w:r>
            <w:r>
              <w:rPr>
                <w:rFonts w:hint="eastAsia"/>
                <w:b w:val="0"/>
                <w:bCs w:val="0"/>
                <w:sz w:val="24"/>
                <w:szCs w:val="24"/>
                <w:highlight w:val="none"/>
                <w:lang w:val="en-US" w:eastAsia="zh-CN"/>
              </w:rPr>
              <w:t>/d（4950m</w:t>
            </w:r>
            <w:r>
              <w:rPr>
                <w:rFonts w:hint="eastAsia"/>
                <w:b w:val="0"/>
                <w:bCs w:val="0"/>
                <w:sz w:val="24"/>
                <w:szCs w:val="24"/>
                <w:highlight w:val="none"/>
                <w:vertAlign w:val="superscript"/>
                <w:lang w:val="en-US" w:eastAsia="zh-CN"/>
              </w:rPr>
              <w:t>3</w:t>
            </w:r>
            <w:r>
              <w:rPr>
                <w:rFonts w:hint="eastAsia"/>
                <w:b w:val="0"/>
                <w:bCs w:val="0"/>
                <w:sz w:val="24"/>
                <w:szCs w:val="24"/>
                <w:highlight w:val="none"/>
                <w:lang w:val="en-US" w:eastAsia="zh-CN"/>
              </w:rPr>
              <w:t>/a）。全部蒸发损耗，无废水产生。</w:t>
            </w:r>
          </w:p>
          <w:p w14:paraId="4228B686">
            <w:pPr>
              <w:pStyle w:val="5"/>
              <w:spacing w:before="0" w:after="0" w:line="360" w:lineRule="auto"/>
              <w:ind w:firstLine="480" w:firstLineChars="200"/>
              <w:rPr>
                <w:rFonts w:hint="eastAsia"/>
                <w:b w:val="0"/>
                <w:bCs w:val="0"/>
                <w:sz w:val="24"/>
                <w:szCs w:val="24"/>
                <w:highlight w:val="none"/>
                <w:lang w:val="en-US" w:eastAsia="zh-CN"/>
              </w:rPr>
            </w:pPr>
            <w:r>
              <w:rPr>
                <w:rFonts w:hint="eastAsia"/>
                <w:b w:val="0"/>
                <w:bCs w:val="0"/>
                <w:sz w:val="24"/>
                <w:szCs w:val="24"/>
                <w:highlight w:val="none"/>
                <w:lang w:val="en-US" w:eastAsia="zh-CN"/>
              </w:rPr>
              <w:t>厂区运输道路采用人工洒水降尘，每天定期洒水降尘，以减小厂内运输过程产生的粉尘。根据建设单位提供的资料，人工洒水降尘用水量为0.5m</w:t>
            </w:r>
            <w:r>
              <w:rPr>
                <w:rFonts w:hint="eastAsia"/>
                <w:b w:val="0"/>
                <w:bCs w:val="0"/>
                <w:sz w:val="24"/>
                <w:szCs w:val="24"/>
                <w:highlight w:val="none"/>
                <w:vertAlign w:val="superscript"/>
                <w:lang w:val="en-US" w:eastAsia="zh-CN"/>
              </w:rPr>
              <w:t>3</w:t>
            </w:r>
            <w:r>
              <w:rPr>
                <w:rFonts w:hint="eastAsia"/>
                <w:b w:val="0"/>
                <w:bCs w:val="0"/>
                <w:sz w:val="24"/>
                <w:szCs w:val="24"/>
                <w:highlight w:val="none"/>
                <w:lang w:val="en-US" w:eastAsia="zh-CN"/>
              </w:rPr>
              <w:t>/d（165m</w:t>
            </w:r>
            <w:r>
              <w:rPr>
                <w:rFonts w:hint="eastAsia"/>
                <w:b w:val="0"/>
                <w:bCs w:val="0"/>
                <w:sz w:val="24"/>
                <w:szCs w:val="24"/>
                <w:highlight w:val="none"/>
                <w:vertAlign w:val="superscript"/>
                <w:lang w:val="en-US" w:eastAsia="zh-CN"/>
              </w:rPr>
              <w:t>3</w:t>
            </w:r>
            <w:r>
              <w:rPr>
                <w:rFonts w:hint="eastAsia"/>
                <w:b w:val="0"/>
                <w:bCs w:val="0"/>
                <w:sz w:val="24"/>
                <w:szCs w:val="24"/>
                <w:highlight w:val="none"/>
                <w:lang w:val="en-US" w:eastAsia="zh-CN"/>
              </w:rPr>
              <w:t>/a）。全部蒸发损耗，无废水产生。</w:t>
            </w:r>
          </w:p>
          <w:p w14:paraId="1191540A">
            <w:pPr>
              <w:pStyle w:val="5"/>
              <w:spacing w:before="0" w:after="0" w:line="360" w:lineRule="auto"/>
              <w:ind w:firstLine="480" w:firstLineChars="200"/>
              <w:rPr>
                <w:rFonts w:hint="eastAsia"/>
                <w:b w:val="0"/>
                <w:bCs w:val="0"/>
                <w:sz w:val="24"/>
                <w:szCs w:val="24"/>
                <w:highlight w:val="none"/>
                <w:lang w:val="en-US" w:eastAsia="zh-CN"/>
              </w:rPr>
            </w:pPr>
            <w:r>
              <w:rPr>
                <w:rFonts w:hint="eastAsia"/>
                <w:b w:val="0"/>
                <w:bCs w:val="0"/>
                <w:sz w:val="24"/>
                <w:szCs w:val="24"/>
                <w:highlight w:val="none"/>
                <w:lang w:val="en-US" w:eastAsia="zh-CN"/>
              </w:rPr>
              <w:t>⑤沥青搅拌、加热、卸料废气喷淋用水</w:t>
            </w:r>
          </w:p>
          <w:p w14:paraId="3955203F">
            <w:pPr>
              <w:pStyle w:val="5"/>
              <w:spacing w:before="0" w:after="0" w:line="360" w:lineRule="auto"/>
              <w:ind w:firstLine="480" w:firstLineChars="200"/>
              <w:rPr>
                <w:rFonts w:hint="default"/>
                <w:b w:val="0"/>
                <w:bCs w:val="0"/>
                <w:sz w:val="24"/>
                <w:szCs w:val="24"/>
                <w:highlight w:val="none"/>
                <w:lang w:val="en-US"/>
              </w:rPr>
            </w:pPr>
            <w:r>
              <w:rPr>
                <w:rFonts w:hint="eastAsia"/>
                <w:b w:val="0"/>
                <w:bCs w:val="0"/>
                <w:sz w:val="24"/>
                <w:szCs w:val="24"/>
                <w:highlight w:val="none"/>
                <w:lang w:val="en-US" w:eastAsia="zh-CN"/>
              </w:rPr>
              <w:t>本项目沥青搅拌、加热、卸料废气采用喷淋+干式过滤+活性炭吸附脱附+催化燃烧装置处理后排放，喷淋用水为普通的自来水，喷淋水循环使用，只需每天补充蒸发损失量即可。喷淋塔循环用水量约为2.0m</w:t>
            </w:r>
            <w:r>
              <w:rPr>
                <w:rFonts w:hint="eastAsia"/>
                <w:b w:val="0"/>
                <w:bCs w:val="0"/>
                <w:sz w:val="24"/>
                <w:szCs w:val="24"/>
                <w:highlight w:val="none"/>
                <w:vertAlign w:val="superscript"/>
                <w:lang w:val="en-US" w:eastAsia="zh-CN"/>
              </w:rPr>
              <w:t>3</w:t>
            </w:r>
            <w:r>
              <w:rPr>
                <w:rFonts w:hint="eastAsia"/>
                <w:b w:val="0"/>
                <w:bCs w:val="0"/>
                <w:sz w:val="24"/>
                <w:szCs w:val="24"/>
                <w:highlight w:val="none"/>
                <w:lang w:val="en-US" w:eastAsia="zh-CN"/>
              </w:rPr>
              <w:t>/h，其蒸发损失量按循环用量的1%计，每日喷淋时间按10h计，则每日的补水量为0.2m</w:t>
            </w:r>
            <w:r>
              <w:rPr>
                <w:rFonts w:hint="eastAsia"/>
                <w:b w:val="0"/>
                <w:bCs w:val="0"/>
                <w:sz w:val="24"/>
                <w:szCs w:val="24"/>
                <w:highlight w:val="none"/>
                <w:vertAlign w:val="superscript"/>
                <w:lang w:val="en-US" w:eastAsia="zh-CN"/>
              </w:rPr>
              <w:t>3</w:t>
            </w:r>
            <w:r>
              <w:rPr>
                <w:rFonts w:hint="eastAsia"/>
                <w:b w:val="0"/>
                <w:bCs w:val="0"/>
                <w:sz w:val="24"/>
                <w:szCs w:val="24"/>
                <w:highlight w:val="none"/>
                <w:lang w:val="en-US" w:eastAsia="zh-CN"/>
              </w:rPr>
              <w:t>/d（66.0m</w:t>
            </w:r>
            <w:r>
              <w:rPr>
                <w:rFonts w:hint="eastAsia"/>
                <w:b w:val="0"/>
                <w:bCs w:val="0"/>
                <w:sz w:val="24"/>
                <w:szCs w:val="24"/>
                <w:highlight w:val="none"/>
                <w:vertAlign w:val="superscript"/>
                <w:lang w:val="en-US" w:eastAsia="zh-CN"/>
              </w:rPr>
              <w:t>3</w:t>
            </w:r>
            <w:r>
              <w:rPr>
                <w:rFonts w:hint="eastAsia"/>
                <w:b w:val="0"/>
                <w:bCs w:val="0"/>
                <w:sz w:val="24"/>
                <w:szCs w:val="24"/>
                <w:highlight w:val="none"/>
                <w:lang w:val="en-US" w:eastAsia="zh-CN"/>
              </w:rPr>
              <w:t>/a）。</w:t>
            </w:r>
          </w:p>
          <w:p w14:paraId="73B78ACB">
            <w:pPr>
              <w:pStyle w:val="5"/>
              <w:spacing w:before="0" w:after="0" w:line="360" w:lineRule="auto"/>
              <w:ind w:firstLine="482" w:firstLineChars="200"/>
              <w:rPr>
                <w:sz w:val="24"/>
                <w:szCs w:val="24"/>
              </w:rPr>
            </w:pPr>
            <w:r>
              <w:rPr>
                <w:sz w:val="24"/>
                <w:szCs w:val="24"/>
              </w:rPr>
              <w:t>（2）排水</w:t>
            </w:r>
          </w:p>
          <w:p w14:paraId="77590FF7">
            <w:pPr>
              <w:spacing w:line="360" w:lineRule="auto"/>
              <w:ind w:firstLine="480" w:firstLineChars="200"/>
              <w:rPr>
                <w:rFonts w:hint="default"/>
                <w:bCs/>
                <w:sz w:val="24"/>
                <w:lang w:val="en-US" w:eastAsia="zh-CN"/>
              </w:rPr>
            </w:pPr>
            <w:r>
              <w:rPr>
                <w:rFonts w:hint="eastAsia"/>
                <w:bCs/>
                <w:sz w:val="24"/>
                <w:lang w:val="en-US" w:eastAsia="zh-CN"/>
              </w:rPr>
              <w:t>本项目采用雨污分流制，厂区内雨水经厂区四周设置的雨水收集沟收集后排入园区雨水管网。生活污水（含食堂废水）经隔油池+化粪池处理后用作周边农肥不外排，生产检测中心试验设备清洗及运输车辆清洗废水经隔油池+三级沉淀池沉淀后回用于车辆清洗不外排。</w:t>
            </w:r>
          </w:p>
          <w:p w14:paraId="05186216">
            <w:pPr>
              <w:tabs>
                <w:tab w:val="left" w:pos="676"/>
              </w:tabs>
              <w:wordWrap w:val="0"/>
              <w:spacing w:line="360" w:lineRule="auto"/>
              <w:ind w:firstLine="480" w:firstLineChars="200"/>
              <w:rPr>
                <w:rFonts w:hint="eastAsia"/>
                <w:b w:val="0"/>
                <w:bCs w:val="0"/>
                <w:sz w:val="24"/>
                <w:szCs w:val="22"/>
                <w:highlight w:val="none"/>
              </w:rPr>
            </w:pPr>
            <w:r>
              <w:rPr>
                <w:bCs/>
                <w:sz w:val="24"/>
                <w:highlight w:val="none"/>
              </w:rPr>
              <w:t>项目营运期水平衡如下图所示：</w:t>
            </w:r>
          </w:p>
          <w:p w14:paraId="2A9774AD">
            <w:pPr>
              <w:autoSpaceDE w:val="0"/>
              <w:autoSpaceDN w:val="0"/>
              <w:jc w:val="center"/>
              <w:rPr>
                <w:rFonts w:hint="eastAsia"/>
                <w:bCs/>
                <w:sz w:val="24"/>
              </w:rPr>
            </w:pPr>
            <w:r>
              <w:rPr>
                <w:sz w:val="24"/>
              </w:rPr>
              <mc:AlternateContent>
                <mc:Choice Requires="wpc">
                  <w:drawing>
                    <wp:inline distT="0" distB="0" distL="114300" distR="114300">
                      <wp:extent cx="5074285" cy="3962400"/>
                      <wp:effectExtent l="5080" t="4445" r="6985" b="14605"/>
                      <wp:docPr id="228" name="画布 145"/>
                      <wp:cNvGraphicFramePr/>
                      <a:graphic xmlns:a="http://schemas.openxmlformats.org/drawingml/2006/main">
                        <a:graphicData uri="http://schemas.microsoft.com/office/word/2010/wordprocessingCanvas">
                          <wpc:wpc>
                            <wpc:bg>
                              <a:noFill/>
                            </wpc:bg>
                            <wpc:whole>
                              <a:ln w="9525" cap="flat" cmpd="sng">
                                <a:solidFill>
                                  <a:srgbClr val="000000"/>
                                </a:solidFill>
                                <a:prstDash val="solid"/>
                                <a:miter/>
                                <a:headEnd type="none" w="med" len="med"/>
                                <a:tailEnd type="none" w="med" len="med"/>
                              </a:ln>
                            </wpc:whole>
                            <wps:wsp>
                              <wps:cNvPr id="173" name="文本框 146"/>
                              <wps:cNvSpPr txBox="1"/>
                              <wps:spPr>
                                <a:xfrm>
                                  <a:off x="1270" y="2000886"/>
                                  <a:ext cx="675005" cy="410845"/>
                                </a:xfrm>
                                <a:prstGeom prst="rect">
                                  <a:avLst/>
                                </a:prstGeom>
                                <a:noFill/>
                                <a:ln w="9525" cap="flat" cmpd="sng">
                                  <a:solidFill>
                                    <a:srgbClr val="000000"/>
                                  </a:solidFill>
                                  <a:prstDash val="solid"/>
                                  <a:miter/>
                                  <a:headEnd type="none" w="med" len="med"/>
                                  <a:tailEnd type="none" w="med" len="med"/>
                                </a:ln>
                              </wps:spPr>
                              <wps:txbx>
                                <w:txbxContent>
                                  <w:p w14:paraId="2BB0FFEF">
                                    <w:pPr>
                                      <w:spacing w:line="240" w:lineRule="exact"/>
                                      <w:jc w:val="center"/>
                                      <w:rPr>
                                        <w:rFonts w:hint="eastAsia"/>
                                      </w:rPr>
                                    </w:pPr>
                                    <w:r>
                                      <w:rPr>
                                        <w:rFonts w:hint="eastAsia"/>
                                      </w:rPr>
                                      <w:t>新鲜水</w:t>
                                    </w:r>
                                  </w:p>
                                  <w:p w14:paraId="31D263B3">
                                    <w:pPr>
                                      <w:spacing w:line="240" w:lineRule="exact"/>
                                      <w:jc w:val="center"/>
                                      <w:rPr>
                                        <w:rFonts w:hint="default" w:eastAsia="宋体"/>
                                        <w:lang w:val="en-US" w:eastAsia="zh-CN"/>
                                      </w:rPr>
                                    </w:pPr>
                                    <w:r>
                                      <w:rPr>
                                        <w:rFonts w:hint="eastAsia"/>
                                        <w:lang w:val="en-US" w:eastAsia="zh-CN"/>
                                      </w:rPr>
                                      <w:t>29.627</w:t>
                                    </w:r>
                                  </w:p>
                                </w:txbxContent>
                              </wps:txbx>
                              <wps:bodyPr vert="horz" wrap="square" anchor="t" anchorCtr="0" upright="1"/>
                            </wps:wsp>
                            <wps:wsp>
                              <wps:cNvPr id="174" name="文本框 149"/>
                              <wps:cNvSpPr txBox="1"/>
                              <wps:spPr>
                                <a:xfrm>
                                  <a:off x="1178560" y="307340"/>
                                  <a:ext cx="750570" cy="242570"/>
                                </a:xfrm>
                                <a:prstGeom prst="rect">
                                  <a:avLst/>
                                </a:prstGeom>
                                <a:noFill/>
                                <a:ln w="9525" cap="flat" cmpd="sng">
                                  <a:solidFill>
                                    <a:srgbClr val="000000"/>
                                  </a:solidFill>
                                  <a:prstDash val="solid"/>
                                  <a:miter/>
                                  <a:headEnd type="none" w="med" len="med"/>
                                  <a:tailEnd type="none" w="med" len="med"/>
                                </a:ln>
                              </wps:spPr>
                              <wps:txbx>
                                <w:txbxContent>
                                  <w:p w14:paraId="76424BE1">
                                    <w:pPr>
                                      <w:spacing w:line="240" w:lineRule="exact"/>
                                      <w:jc w:val="center"/>
                                      <w:rPr>
                                        <w:rFonts w:hint="eastAsia" w:eastAsia="宋体"/>
                                        <w:lang w:val="en-US" w:eastAsia="zh-CN"/>
                                      </w:rPr>
                                    </w:pPr>
                                    <w:r>
                                      <w:rPr>
                                        <w:rFonts w:hint="eastAsia"/>
                                        <w:lang w:val="en-US" w:eastAsia="zh-CN"/>
                                      </w:rPr>
                                      <w:t>生活</w:t>
                                    </w:r>
                                    <w:r>
                                      <w:rPr>
                                        <w:rFonts w:hint="eastAsia"/>
                                      </w:rPr>
                                      <w:t>用水</w:t>
                                    </w:r>
                                  </w:p>
                                </w:txbxContent>
                              </wps:txbx>
                              <wps:bodyPr vert="horz" wrap="square" anchor="t" anchorCtr="0" upright="1"/>
                            </wps:wsp>
                            <wps:wsp>
                              <wps:cNvPr id="175" name="文本框 154"/>
                              <wps:cNvSpPr txBox="1"/>
                              <wps:spPr>
                                <a:xfrm>
                                  <a:off x="1455420" y="669290"/>
                                  <a:ext cx="1293495" cy="258445"/>
                                </a:xfrm>
                                <a:prstGeom prst="rect">
                                  <a:avLst/>
                                </a:prstGeom>
                                <a:noFill/>
                                <a:ln w="9525" cap="flat" cmpd="sng">
                                  <a:solidFill>
                                    <a:srgbClr val="000000"/>
                                  </a:solidFill>
                                  <a:prstDash val="solid"/>
                                  <a:miter/>
                                  <a:headEnd type="none" w="med" len="med"/>
                                  <a:tailEnd type="none" w="med" len="med"/>
                                </a:ln>
                              </wps:spPr>
                              <wps:txbx>
                                <w:txbxContent>
                                  <w:p w14:paraId="6C6D8C98">
                                    <w:pPr>
                                      <w:spacing w:line="240" w:lineRule="exact"/>
                                      <w:jc w:val="center"/>
                                      <w:rPr>
                                        <w:rFonts w:hint="default"/>
                                        <w:lang w:val="en-US"/>
                                      </w:rPr>
                                    </w:pPr>
                                    <w:r>
                                      <w:rPr>
                                        <w:rFonts w:hint="eastAsia"/>
                                        <w:lang w:val="en-US" w:eastAsia="zh-CN"/>
                                      </w:rPr>
                                      <w:t>乳化沥青生产用水</w:t>
                                    </w:r>
                                  </w:p>
                                </w:txbxContent>
                              </wps:txbx>
                              <wps:bodyPr vert="horz" wrap="square" anchor="t" anchorCtr="0" upright="1"/>
                            </wps:wsp>
                            <wps:wsp>
                              <wps:cNvPr id="176" name="文本框 167"/>
                              <wps:cNvSpPr txBox="1"/>
                              <wps:spPr>
                                <a:xfrm>
                                  <a:off x="746125" y="233045"/>
                                  <a:ext cx="370840" cy="231140"/>
                                </a:xfrm>
                                <a:prstGeom prst="rect">
                                  <a:avLst/>
                                </a:prstGeom>
                                <a:noFill/>
                                <a:ln>
                                  <a:noFill/>
                                </a:ln>
                              </wps:spPr>
                              <wps:txbx>
                                <w:txbxContent>
                                  <w:p w14:paraId="7FE4D802">
                                    <w:pPr>
                                      <w:spacing w:line="240" w:lineRule="exact"/>
                                      <w:jc w:val="center"/>
                                      <w:rPr>
                                        <w:rFonts w:hint="default" w:eastAsia="宋体"/>
                                        <w:lang w:val="en-US" w:eastAsia="zh-CN"/>
                                      </w:rPr>
                                    </w:pPr>
                                    <w:r>
                                      <w:rPr>
                                        <w:rFonts w:hint="eastAsia"/>
                                        <w:lang w:val="en-US" w:eastAsia="zh-CN"/>
                                      </w:rPr>
                                      <w:t>4.8</w:t>
                                    </w:r>
                                  </w:p>
                                </w:txbxContent>
                              </wps:txbx>
                              <wps:bodyPr vert="horz" wrap="square" anchor="t" anchorCtr="0" upright="1"/>
                            </wps:wsp>
                            <wps:wsp>
                              <wps:cNvPr id="177" name="文本框 168"/>
                              <wps:cNvSpPr txBox="1"/>
                              <wps:spPr>
                                <a:xfrm>
                                  <a:off x="1275715" y="21590"/>
                                  <a:ext cx="810895" cy="231140"/>
                                </a:xfrm>
                                <a:prstGeom prst="rect">
                                  <a:avLst/>
                                </a:prstGeom>
                                <a:noFill/>
                                <a:ln>
                                  <a:noFill/>
                                </a:ln>
                              </wps:spPr>
                              <wps:txbx>
                                <w:txbxContent>
                                  <w:p w14:paraId="19963959">
                                    <w:pPr>
                                      <w:spacing w:line="240" w:lineRule="exact"/>
                                      <w:jc w:val="center"/>
                                      <w:rPr>
                                        <w:rFonts w:hint="default" w:eastAsia="宋体"/>
                                        <w:lang w:val="en-US" w:eastAsia="zh-CN"/>
                                      </w:rPr>
                                    </w:pPr>
                                    <w:r>
                                      <w:rPr>
                                        <w:rFonts w:hint="eastAsia"/>
                                      </w:rPr>
                                      <w:t>损耗</w:t>
                                    </w:r>
                                    <w:r>
                                      <w:rPr>
                                        <w:rFonts w:hint="eastAsia"/>
                                        <w:lang w:val="en-US" w:eastAsia="zh-CN"/>
                                      </w:rPr>
                                      <w:t>0.72</w:t>
                                    </w:r>
                                  </w:p>
                                </w:txbxContent>
                              </wps:txbx>
                              <wps:bodyPr vert="horz" wrap="square" anchor="t" anchorCtr="0" upright="1"/>
                            </wps:wsp>
                            <wps:wsp>
                              <wps:cNvPr id="180" name="文本框 181"/>
                              <wps:cNvSpPr txBox="1"/>
                              <wps:spPr>
                                <a:xfrm>
                                  <a:off x="806450" y="604520"/>
                                  <a:ext cx="488315" cy="231140"/>
                                </a:xfrm>
                                <a:prstGeom prst="rect">
                                  <a:avLst/>
                                </a:prstGeom>
                                <a:noFill/>
                                <a:ln>
                                  <a:noFill/>
                                </a:ln>
                              </wps:spPr>
                              <wps:txbx>
                                <w:txbxContent>
                                  <w:p w14:paraId="653D0C31">
                                    <w:pPr>
                                      <w:spacing w:line="240" w:lineRule="exact"/>
                                      <w:jc w:val="center"/>
                                      <w:rPr>
                                        <w:rFonts w:hint="default" w:eastAsia="宋体"/>
                                        <w:lang w:val="en-US" w:eastAsia="zh-CN"/>
                                      </w:rPr>
                                    </w:pPr>
                                    <w:r>
                                      <w:rPr>
                                        <w:rFonts w:hint="eastAsia"/>
                                        <w:lang w:val="en-US" w:eastAsia="zh-CN"/>
                                      </w:rPr>
                                      <w:t>8.182</w:t>
                                    </w:r>
                                  </w:p>
                                </w:txbxContent>
                              </wps:txbx>
                              <wps:bodyPr vert="horz" wrap="square" anchor="t" anchorCtr="0" upright="1"/>
                            </wps:wsp>
                            <wps:wsp>
                              <wps:cNvPr id="181" name="文本框 181"/>
                              <wps:cNvSpPr txBox="1"/>
                              <wps:spPr>
                                <a:xfrm>
                                  <a:off x="1945005" y="231140"/>
                                  <a:ext cx="494665" cy="231140"/>
                                </a:xfrm>
                                <a:prstGeom prst="rect">
                                  <a:avLst/>
                                </a:prstGeom>
                                <a:noFill/>
                                <a:ln>
                                  <a:noFill/>
                                </a:ln>
                              </wps:spPr>
                              <wps:txbx>
                                <w:txbxContent>
                                  <w:p w14:paraId="4A39052F">
                                    <w:pPr>
                                      <w:spacing w:line="240" w:lineRule="exact"/>
                                      <w:jc w:val="center"/>
                                      <w:rPr>
                                        <w:rFonts w:hint="default" w:eastAsia="宋体"/>
                                        <w:lang w:val="en-US" w:eastAsia="zh-CN"/>
                                      </w:rPr>
                                    </w:pPr>
                                    <w:r>
                                      <w:rPr>
                                        <w:rFonts w:hint="eastAsia"/>
                                        <w:lang w:val="en-US" w:eastAsia="zh-CN"/>
                                      </w:rPr>
                                      <w:t>4.08</w:t>
                                    </w:r>
                                  </w:p>
                                </w:txbxContent>
                              </wps:txbx>
                              <wps:bodyPr vert="horz" wrap="square" anchor="t" anchorCtr="0" upright="1"/>
                            </wps:wsp>
                            <wps:wsp>
                              <wps:cNvPr id="182" name="文本框 154"/>
                              <wps:cNvSpPr txBox="1"/>
                              <wps:spPr>
                                <a:xfrm>
                                  <a:off x="3952240" y="292735"/>
                                  <a:ext cx="467995" cy="259715"/>
                                </a:xfrm>
                                <a:prstGeom prst="rect">
                                  <a:avLst/>
                                </a:prstGeom>
                                <a:noFill/>
                                <a:ln w="9525" cap="flat" cmpd="sng">
                                  <a:solidFill>
                                    <a:srgbClr val="000000"/>
                                  </a:solidFill>
                                  <a:prstDash val="solid"/>
                                  <a:miter/>
                                  <a:headEnd type="none" w="med" len="med"/>
                                  <a:tailEnd type="none" w="med" len="med"/>
                                </a:ln>
                              </wps:spPr>
                              <wps:txbx>
                                <w:txbxContent>
                                  <w:p w14:paraId="5EA39220">
                                    <w:pPr>
                                      <w:spacing w:line="240" w:lineRule="exact"/>
                                      <w:jc w:val="center"/>
                                      <w:rPr>
                                        <w:rFonts w:hint="default" w:eastAsia="宋体"/>
                                        <w:lang w:val="en-US" w:eastAsia="zh-CN"/>
                                      </w:rPr>
                                    </w:pPr>
                                    <w:r>
                                      <w:rPr>
                                        <w:rFonts w:hint="eastAsia"/>
                                        <w:lang w:val="en-US" w:eastAsia="zh-CN"/>
                                      </w:rPr>
                                      <w:t>农肥</w:t>
                                    </w:r>
                                  </w:p>
                                </w:txbxContent>
                              </wps:txbx>
                              <wps:bodyPr vert="horz" wrap="square" anchor="t" anchorCtr="0" upright="1"/>
                            </wps:wsp>
                            <wps:wsp>
                              <wps:cNvPr id="183" name="文本框 154"/>
                              <wps:cNvSpPr txBox="1"/>
                              <wps:spPr>
                                <a:xfrm>
                                  <a:off x="2526030" y="300355"/>
                                  <a:ext cx="1208405" cy="245745"/>
                                </a:xfrm>
                                <a:prstGeom prst="rect">
                                  <a:avLst/>
                                </a:prstGeom>
                                <a:noFill/>
                                <a:ln w="9525" cap="flat" cmpd="sng">
                                  <a:solidFill>
                                    <a:srgbClr val="000000"/>
                                  </a:solidFill>
                                  <a:prstDash val="solid"/>
                                  <a:miter/>
                                  <a:headEnd type="none" w="med" len="med"/>
                                  <a:tailEnd type="none" w="med" len="med"/>
                                </a:ln>
                              </wps:spPr>
                              <wps:txbx>
                                <w:txbxContent>
                                  <w:p w14:paraId="090901A4">
                                    <w:pPr>
                                      <w:spacing w:line="240" w:lineRule="exact"/>
                                      <w:jc w:val="center"/>
                                      <w:rPr>
                                        <w:rFonts w:hint="default"/>
                                        <w:lang w:val="en-US" w:eastAsia="zh-CN"/>
                                      </w:rPr>
                                    </w:pPr>
                                    <w:r>
                                      <w:rPr>
                                        <w:rFonts w:hint="eastAsia"/>
                                        <w:lang w:val="en-US" w:eastAsia="zh-CN"/>
                                      </w:rPr>
                                      <w:t>隔油池+化粪池</w:t>
                                    </w:r>
                                  </w:p>
                                </w:txbxContent>
                              </wps:txbx>
                              <wps:bodyPr vert="horz" wrap="square" anchor="t" anchorCtr="0" upright="1"/>
                            </wps:wsp>
                            <wps:wsp>
                              <wps:cNvPr id="185" name="自选图形 568"/>
                              <wps:cNvCnPr>
                                <a:stCxn id="174" idx="3"/>
                                <a:endCxn id="183" idx="1"/>
                              </wps:cNvCnPr>
                              <wps:spPr>
                                <a:xfrm flipV="1">
                                  <a:off x="1929130" y="423579"/>
                                  <a:ext cx="596900" cy="5080"/>
                                </a:xfrm>
                                <a:prstGeom prst="straightConnector1">
                                  <a:avLst/>
                                </a:prstGeom>
                                <a:ln w="9525" cap="flat" cmpd="sng">
                                  <a:solidFill>
                                    <a:srgbClr val="000000"/>
                                  </a:solidFill>
                                  <a:prstDash val="solid"/>
                                  <a:headEnd type="none" w="med" len="med"/>
                                  <a:tailEnd type="triangle" w="med" len="med"/>
                                </a:ln>
                              </wps:spPr>
                              <wps:bodyPr/>
                            </wps:wsp>
                            <wps:wsp>
                              <wps:cNvPr id="186" name="自选图形 570"/>
                              <wps:cNvCnPr>
                                <a:stCxn id="183" idx="3"/>
                                <a:endCxn id="182" idx="1"/>
                              </wps:cNvCnPr>
                              <wps:spPr>
                                <a:xfrm flipV="1">
                                  <a:off x="3734435" y="422916"/>
                                  <a:ext cx="217805" cy="635"/>
                                </a:xfrm>
                                <a:prstGeom prst="straightConnector1">
                                  <a:avLst/>
                                </a:prstGeom>
                                <a:ln w="9525" cap="flat" cmpd="sng">
                                  <a:solidFill>
                                    <a:srgbClr val="000000"/>
                                  </a:solidFill>
                                  <a:prstDash val="solid"/>
                                  <a:headEnd type="none" w="med" len="med"/>
                                  <a:tailEnd type="triangle" w="med" len="med"/>
                                </a:ln>
                              </wps:spPr>
                              <wps:bodyPr/>
                            </wps:wsp>
                            <wps:wsp>
                              <wps:cNvPr id="192" name="文本框 181"/>
                              <wps:cNvSpPr txBox="1"/>
                              <wps:spPr>
                                <a:xfrm>
                                  <a:off x="3006090" y="676910"/>
                                  <a:ext cx="1055370" cy="232410"/>
                                </a:xfrm>
                                <a:prstGeom prst="rect">
                                  <a:avLst/>
                                </a:prstGeom>
                                <a:noFill/>
                                <a:ln>
                                  <a:noFill/>
                                </a:ln>
                              </wps:spPr>
                              <wps:txbx>
                                <w:txbxContent>
                                  <w:p w14:paraId="5B4FBB09">
                                    <w:pPr>
                                      <w:keepNext w:val="0"/>
                                      <w:keepLines w:val="0"/>
                                      <w:pageBreakBefore w:val="0"/>
                                      <w:widowControl w:val="0"/>
                                      <w:kinsoku/>
                                      <w:wordWrap/>
                                      <w:overflowPunct/>
                                      <w:topLinePunct w:val="0"/>
                                      <w:bidi w:val="0"/>
                                      <w:adjustRightInd/>
                                      <w:snapToGrid/>
                                      <w:spacing w:line="240" w:lineRule="exact"/>
                                      <w:jc w:val="center"/>
                                      <w:textAlignment w:val="auto"/>
                                      <w:rPr>
                                        <w:rFonts w:hint="default" w:eastAsia="宋体"/>
                                        <w:sz w:val="21"/>
                                        <w:szCs w:val="21"/>
                                        <w:lang w:val="en-US" w:eastAsia="zh-CN"/>
                                      </w:rPr>
                                    </w:pPr>
                                    <w:r>
                                      <w:rPr>
                                        <w:rFonts w:hint="eastAsia"/>
                                        <w:sz w:val="21"/>
                                        <w:szCs w:val="21"/>
                                        <w:lang w:val="en-US" w:eastAsia="zh-CN"/>
                                      </w:rPr>
                                      <w:t>全部进入产品</w:t>
                                    </w:r>
                                  </w:p>
                                </w:txbxContent>
                              </wps:txbx>
                              <wps:bodyPr vert="horz" wrap="square" anchor="t" anchorCtr="0" upright="1"/>
                            </wps:wsp>
                            <wps:wsp>
                              <wps:cNvPr id="193" name="文本框 154"/>
                              <wps:cNvSpPr txBox="1"/>
                              <wps:spPr>
                                <a:xfrm>
                                  <a:off x="1377950" y="1242060"/>
                                  <a:ext cx="2108835" cy="256540"/>
                                </a:xfrm>
                                <a:prstGeom prst="rect">
                                  <a:avLst/>
                                </a:prstGeom>
                                <a:noFill/>
                                <a:ln w="9525" cap="flat" cmpd="sng">
                                  <a:solidFill>
                                    <a:srgbClr val="000000"/>
                                  </a:solidFill>
                                  <a:prstDash val="solid"/>
                                  <a:miter/>
                                  <a:headEnd type="none" w="med" len="med"/>
                                  <a:tailEnd type="none" w="med" len="med"/>
                                </a:ln>
                              </wps:spPr>
                              <wps:txbx>
                                <w:txbxContent>
                                  <w:p w14:paraId="54959DBC">
                                    <w:pPr>
                                      <w:spacing w:line="240" w:lineRule="exact"/>
                                      <w:jc w:val="center"/>
                                      <w:rPr>
                                        <w:rFonts w:hint="default"/>
                                        <w:lang w:val="en-US"/>
                                      </w:rPr>
                                    </w:pPr>
                                    <w:r>
                                      <w:rPr>
                                        <w:rFonts w:hint="eastAsia"/>
                                        <w:lang w:val="en-US" w:eastAsia="zh-CN"/>
                                      </w:rPr>
                                      <w:t>生产检测中心试验设备清洗用水</w:t>
                                    </w:r>
                                  </w:p>
                                </w:txbxContent>
                              </wps:txbx>
                              <wps:bodyPr vert="horz" wrap="square" anchor="t" anchorCtr="0" upright="1"/>
                            </wps:wsp>
                            <wps:wsp>
                              <wps:cNvPr id="194" name="文本框 191"/>
                              <wps:cNvSpPr txBox="1"/>
                              <wps:spPr>
                                <a:xfrm>
                                  <a:off x="3489960" y="2082165"/>
                                  <a:ext cx="1356995" cy="234315"/>
                                </a:xfrm>
                                <a:prstGeom prst="rect">
                                  <a:avLst/>
                                </a:prstGeom>
                                <a:noFill/>
                                <a:ln>
                                  <a:solidFill>
                                    <a:schemeClr val="tx1"/>
                                  </a:solidFill>
                                </a:ln>
                              </wps:spPr>
                              <wps:txbx>
                                <w:txbxContent>
                                  <w:p w14:paraId="6A117054">
                                    <w:pPr>
                                      <w:spacing w:line="240" w:lineRule="exact"/>
                                      <w:jc w:val="center"/>
                                      <w:rPr>
                                        <w:rFonts w:hint="default" w:eastAsia="宋体"/>
                                        <w:lang w:val="en-US" w:eastAsia="zh-CN"/>
                                      </w:rPr>
                                    </w:pPr>
                                    <w:r>
                                      <w:rPr>
                                        <w:rFonts w:hint="eastAsia"/>
                                        <w:lang w:val="en-US" w:eastAsia="zh-CN"/>
                                      </w:rPr>
                                      <w:t>隔油池+三级沉淀池</w:t>
                                    </w:r>
                                  </w:p>
                                </w:txbxContent>
                              </wps:txbx>
                              <wps:bodyPr vert="horz" wrap="square" anchor="t" anchorCtr="0" upright="1"/>
                            </wps:wsp>
                            <wps:wsp>
                              <wps:cNvPr id="196" name="文本框 181"/>
                              <wps:cNvSpPr txBox="1"/>
                              <wps:spPr>
                                <a:xfrm>
                                  <a:off x="779145" y="1167765"/>
                                  <a:ext cx="518160" cy="231140"/>
                                </a:xfrm>
                                <a:prstGeom prst="rect">
                                  <a:avLst/>
                                </a:prstGeom>
                                <a:noFill/>
                                <a:ln>
                                  <a:noFill/>
                                </a:ln>
                              </wps:spPr>
                              <wps:txbx>
                                <w:txbxContent>
                                  <w:p w14:paraId="2C519FFB">
                                    <w:pPr>
                                      <w:spacing w:line="240" w:lineRule="exact"/>
                                      <w:jc w:val="center"/>
                                      <w:rPr>
                                        <w:rFonts w:hint="default" w:eastAsia="宋体"/>
                                        <w:lang w:val="en-US" w:eastAsia="zh-CN"/>
                                      </w:rPr>
                                    </w:pPr>
                                    <w:r>
                                      <w:rPr>
                                        <w:rFonts w:hint="eastAsia"/>
                                        <w:lang w:val="en-US" w:eastAsia="zh-CN"/>
                                      </w:rPr>
                                      <w:t>0.015</w:t>
                                    </w:r>
                                  </w:p>
                                </w:txbxContent>
                              </wps:txbx>
                              <wps:bodyPr vert="horz" wrap="square" anchor="t" anchorCtr="0" upright="1"/>
                            </wps:wsp>
                            <wps:wsp>
                              <wps:cNvPr id="197" name="文本框 168"/>
                              <wps:cNvSpPr txBox="1"/>
                              <wps:spPr>
                                <a:xfrm>
                                  <a:off x="2073275" y="944880"/>
                                  <a:ext cx="906780" cy="231140"/>
                                </a:xfrm>
                                <a:prstGeom prst="rect">
                                  <a:avLst/>
                                </a:prstGeom>
                                <a:noFill/>
                                <a:ln>
                                  <a:noFill/>
                                </a:ln>
                              </wps:spPr>
                              <wps:txbx>
                                <w:txbxContent>
                                  <w:p w14:paraId="47CA4077">
                                    <w:pPr>
                                      <w:spacing w:line="240" w:lineRule="exact"/>
                                      <w:jc w:val="center"/>
                                      <w:rPr>
                                        <w:rFonts w:hint="default" w:eastAsia="宋体"/>
                                        <w:lang w:val="en-US" w:eastAsia="zh-CN"/>
                                      </w:rPr>
                                    </w:pPr>
                                    <w:r>
                                      <w:rPr>
                                        <w:rFonts w:hint="eastAsia"/>
                                      </w:rPr>
                                      <w:t>损耗</w:t>
                                    </w:r>
                                    <w:r>
                                      <w:rPr>
                                        <w:rFonts w:hint="eastAsia"/>
                                        <w:lang w:val="en-US" w:eastAsia="zh-CN"/>
                                      </w:rPr>
                                      <w:t>0.015</w:t>
                                    </w:r>
                                  </w:p>
                                </w:txbxContent>
                              </wps:txbx>
                              <wps:bodyPr vert="horz" wrap="square" anchor="t" anchorCtr="0" upright="1"/>
                            </wps:wsp>
                            <wps:wsp>
                              <wps:cNvPr id="199" name="文本框 168"/>
                              <wps:cNvSpPr txBox="1"/>
                              <wps:spPr>
                                <a:xfrm>
                                  <a:off x="2673985" y="2635250"/>
                                  <a:ext cx="1001395" cy="257175"/>
                                </a:xfrm>
                                <a:prstGeom prst="rect">
                                  <a:avLst/>
                                </a:prstGeom>
                                <a:noFill/>
                                <a:ln>
                                  <a:noFill/>
                                </a:ln>
                              </wps:spPr>
                              <wps:txbx>
                                <w:txbxContent>
                                  <w:p w14:paraId="7E0A56F6">
                                    <w:pPr>
                                      <w:spacing w:line="240" w:lineRule="exact"/>
                                      <w:jc w:val="center"/>
                                      <w:rPr>
                                        <w:rFonts w:hint="eastAsia" w:eastAsia="宋体"/>
                                        <w:lang w:val="en-US" w:eastAsia="zh-CN"/>
                                      </w:rPr>
                                    </w:pPr>
                                    <w:r>
                                      <w:rPr>
                                        <w:rFonts w:hint="eastAsia" w:eastAsia="宋体"/>
                                        <w:lang w:val="en-US" w:eastAsia="zh-CN"/>
                                      </w:rPr>
                                      <w:t>自然蒸发损耗</w:t>
                                    </w:r>
                                  </w:p>
                                </w:txbxContent>
                              </wps:txbx>
                              <wps:bodyPr vert="horz" wrap="square" anchor="t" anchorCtr="0" upright="1"/>
                            </wps:wsp>
                            <wps:wsp>
                              <wps:cNvPr id="200" name="文本框 154"/>
                              <wps:cNvSpPr txBox="1"/>
                              <wps:spPr>
                                <a:xfrm>
                                  <a:off x="1346835" y="2637155"/>
                                  <a:ext cx="1014095" cy="257175"/>
                                </a:xfrm>
                                <a:prstGeom prst="rect">
                                  <a:avLst/>
                                </a:prstGeom>
                                <a:noFill/>
                                <a:ln w="9525" cap="flat" cmpd="sng">
                                  <a:solidFill>
                                    <a:srgbClr val="000000"/>
                                  </a:solidFill>
                                  <a:prstDash val="solid"/>
                                  <a:miter/>
                                  <a:headEnd type="none" w="med" len="med"/>
                                  <a:tailEnd type="none" w="med" len="med"/>
                                </a:ln>
                              </wps:spPr>
                              <wps:txbx>
                                <w:txbxContent>
                                  <w:p w14:paraId="6415944F">
                                    <w:pPr>
                                      <w:spacing w:line="240" w:lineRule="exact"/>
                                      <w:jc w:val="center"/>
                                    </w:pPr>
                                    <w:r>
                                      <w:rPr>
                                        <w:rFonts w:hint="eastAsia"/>
                                        <w:lang w:val="en-US" w:eastAsia="zh-CN"/>
                                      </w:rPr>
                                      <w:t>喷淋降尘</w:t>
                                    </w:r>
                                    <w:r>
                                      <w:rPr>
                                        <w:rFonts w:hint="eastAsia"/>
                                      </w:rPr>
                                      <w:t>用水</w:t>
                                    </w:r>
                                  </w:p>
                                </w:txbxContent>
                              </wps:txbx>
                              <wps:bodyPr vert="horz" wrap="square" anchor="t" anchorCtr="0" upright="1"/>
                            </wps:wsp>
                            <wps:wsp>
                              <wps:cNvPr id="201" name="自选图形 1190"/>
                              <wps:cNvCnPr>
                                <a:stCxn id="200" idx="3"/>
                                <a:endCxn id="199" idx="1"/>
                              </wps:cNvCnPr>
                              <wps:spPr>
                                <a:xfrm flipV="1">
                                  <a:off x="2360930" y="2763839"/>
                                  <a:ext cx="313055" cy="1905"/>
                                </a:xfrm>
                                <a:prstGeom prst="straightConnector1">
                                  <a:avLst/>
                                </a:prstGeom>
                                <a:ln w="9525" cap="flat" cmpd="sng">
                                  <a:solidFill>
                                    <a:srgbClr val="000000"/>
                                  </a:solidFill>
                                  <a:prstDash val="solid"/>
                                  <a:headEnd type="none" w="med" len="med"/>
                                  <a:tailEnd type="triangle" w="med" len="med"/>
                                </a:ln>
                              </wps:spPr>
                              <wps:bodyPr/>
                            </wps:wsp>
                            <wps:wsp>
                              <wps:cNvPr id="204" name="文本框 154"/>
                              <wps:cNvSpPr txBox="1"/>
                              <wps:spPr>
                                <a:xfrm>
                                  <a:off x="1346835" y="2074545"/>
                                  <a:ext cx="1291590" cy="256540"/>
                                </a:xfrm>
                                <a:prstGeom prst="rect">
                                  <a:avLst/>
                                </a:prstGeom>
                                <a:noFill/>
                                <a:ln w="9525" cap="flat" cmpd="sng">
                                  <a:solidFill>
                                    <a:srgbClr val="000000"/>
                                  </a:solidFill>
                                  <a:prstDash val="solid"/>
                                  <a:miter/>
                                  <a:headEnd type="none" w="med" len="med"/>
                                  <a:tailEnd type="none" w="med" len="med"/>
                                </a:ln>
                              </wps:spPr>
                              <wps:txbx>
                                <w:txbxContent>
                                  <w:p w14:paraId="453C2ACF">
                                    <w:pPr>
                                      <w:spacing w:line="240" w:lineRule="exact"/>
                                      <w:jc w:val="center"/>
                                      <w:rPr>
                                        <w:rFonts w:hint="default"/>
                                        <w:lang w:val="en-US"/>
                                      </w:rPr>
                                    </w:pPr>
                                    <w:r>
                                      <w:rPr>
                                        <w:rFonts w:hint="eastAsia"/>
                                        <w:lang w:val="en-US" w:eastAsia="zh-CN"/>
                                      </w:rPr>
                                      <w:t>运输车辆清洗用水</w:t>
                                    </w:r>
                                  </w:p>
                                </w:txbxContent>
                              </wps:txbx>
                              <wps:bodyPr vert="horz" wrap="square" anchor="t" anchorCtr="0" upright="1"/>
                            </wps:wsp>
                            <wps:wsp>
                              <wps:cNvPr id="207" name="文本框 168"/>
                              <wps:cNvSpPr txBox="1"/>
                              <wps:spPr>
                                <a:xfrm>
                                  <a:off x="1699895" y="1746250"/>
                                  <a:ext cx="835025" cy="228600"/>
                                </a:xfrm>
                                <a:prstGeom prst="rect">
                                  <a:avLst/>
                                </a:prstGeom>
                                <a:noFill/>
                                <a:ln>
                                  <a:noFill/>
                                </a:ln>
                              </wps:spPr>
                              <wps:txbx>
                                <w:txbxContent>
                                  <w:p w14:paraId="083C6108">
                                    <w:pPr>
                                      <w:spacing w:line="240" w:lineRule="exact"/>
                                      <w:jc w:val="center"/>
                                      <w:rPr>
                                        <w:rFonts w:hint="default" w:eastAsia="宋体"/>
                                        <w:lang w:val="en-US" w:eastAsia="zh-CN"/>
                                      </w:rPr>
                                    </w:pPr>
                                    <w:r>
                                      <w:rPr>
                                        <w:rFonts w:hint="eastAsia"/>
                                      </w:rPr>
                                      <w:t>损耗</w:t>
                                    </w:r>
                                    <w:r>
                                      <w:rPr>
                                        <w:rFonts w:hint="eastAsia"/>
                                        <w:lang w:val="en-US" w:eastAsia="zh-CN"/>
                                      </w:rPr>
                                      <w:t>0.93</w:t>
                                    </w:r>
                                  </w:p>
                                </w:txbxContent>
                              </wps:txbx>
                              <wps:bodyPr vert="horz" wrap="square" anchor="t" anchorCtr="0" upright="1"/>
                            </wps:wsp>
                            <wps:wsp>
                              <wps:cNvPr id="213" name="自选图形 1240"/>
                              <wps:cNvCnPr>
                                <a:stCxn id="173" idx="3"/>
                                <a:endCxn id="175" idx="1"/>
                              </wps:cNvCnPr>
                              <wps:spPr>
                                <a:xfrm flipV="1">
                                  <a:off x="676275" y="798830"/>
                                  <a:ext cx="779145" cy="1407795"/>
                                </a:xfrm>
                                <a:prstGeom prst="bentConnector3">
                                  <a:avLst>
                                    <a:gd name="adj1" fmla="val 5867"/>
                                  </a:avLst>
                                </a:prstGeom>
                                <a:ln w="9525" cap="flat" cmpd="sng">
                                  <a:solidFill>
                                    <a:srgbClr val="000000"/>
                                  </a:solidFill>
                                  <a:prstDash val="solid"/>
                                  <a:miter/>
                                  <a:headEnd type="none" w="med" len="med"/>
                                  <a:tailEnd type="triangle" w="med" len="med"/>
                                </a:ln>
                              </wps:spPr>
                              <wps:bodyPr/>
                            </wps:wsp>
                            <wps:wsp>
                              <wps:cNvPr id="214" name="自选图形 1241"/>
                              <wps:cNvCnPr>
                                <a:endCxn id="200" idx="1"/>
                              </wps:cNvCnPr>
                              <wps:spPr>
                                <a:xfrm>
                                  <a:off x="676275" y="2206625"/>
                                  <a:ext cx="670560" cy="559435"/>
                                </a:xfrm>
                                <a:prstGeom prst="bentConnector3">
                                  <a:avLst>
                                    <a:gd name="adj1" fmla="val 6344"/>
                                  </a:avLst>
                                </a:prstGeom>
                                <a:ln w="9525" cap="flat" cmpd="sng">
                                  <a:solidFill>
                                    <a:srgbClr val="000000"/>
                                  </a:solidFill>
                                  <a:prstDash val="solid"/>
                                  <a:miter/>
                                  <a:headEnd type="none" w="med" len="med"/>
                                  <a:tailEnd type="triangle" w="med" len="med"/>
                                </a:ln>
                              </wps:spPr>
                              <wps:bodyPr/>
                            </wps:wsp>
                            <wps:wsp>
                              <wps:cNvPr id="217" name="自选图形 1244"/>
                              <wps:cNvCnPr>
                                <a:stCxn id="173" idx="3"/>
                                <a:endCxn id="221" idx="1"/>
                              </wps:cNvCnPr>
                              <wps:spPr>
                                <a:xfrm>
                                  <a:off x="676275" y="2206625"/>
                                  <a:ext cx="667385" cy="1187450"/>
                                </a:xfrm>
                                <a:prstGeom prst="bentConnector3">
                                  <a:avLst>
                                    <a:gd name="adj1" fmla="val 6184"/>
                                  </a:avLst>
                                </a:prstGeom>
                                <a:ln w="9525" cap="flat" cmpd="sng">
                                  <a:solidFill>
                                    <a:srgbClr val="000000"/>
                                  </a:solidFill>
                                  <a:prstDash val="solid"/>
                                  <a:miter/>
                                  <a:headEnd type="none" w="med" len="med"/>
                                  <a:tailEnd type="triangle" w="med" len="med"/>
                                </a:ln>
                              </wps:spPr>
                              <wps:bodyPr/>
                            </wps:wsp>
                            <wps:wsp>
                              <wps:cNvPr id="221" name="文本框 154"/>
                              <wps:cNvSpPr txBox="1"/>
                              <wps:spPr>
                                <a:xfrm>
                                  <a:off x="1343660" y="3267075"/>
                                  <a:ext cx="2280285" cy="254000"/>
                                </a:xfrm>
                                <a:prstGeom prst="rect">
                                  <a:avLst/>
                                </a:prstGeom>
                                <a:noFill/>
                                <a:ln w="9525" cap="flat" cmpd="sng">
                                  <a:solidFill>
                                    <a:srgbClr val="000000"/>
                                  </a:solidFill>
                                  <a:prstDash val="solid"/>
                                  <a:miter/>
                                  <a:headEnd type="none" w="med" len="med"/>
                                  <a:tailEnd type="none" w="med" len="med"/>
                                </a:ln>
                              </wps:spPr>
                              <wps:txbx>
                                <w:txbxContent>
                                  <w:p w14:paraId="1E5498C7">
                                    <w:pPr>
                                      <w:spacing w:line="240" w:lineRule="exact"/>
                                      <w:jc w:val="center"/>
                                    </w:pPr>
                                    <w:r>
                                      <w:rPr>
                                        <w:rFonts w:hint="eastAsia"/>
                                        <w:lang w:val="en-US" w:eastAsia="zh-CN"/>
                                      </w:rPr>
                                      <w:t>沥青搅拌、加热、卸料废气喷淋</w:t>
                                    </w:r>
                                    <w:r>
                                      <w:rPr>
                                        <w:rFonts w:hint="eastAsia"/>
                                      </w:rPr>
                                      <w:t>用水</w:t>
                                    </w:r>
                                  </w:p>
                                </w:txbxContent>
                              </wps:txbx>
                              <wps:bodyPr vert="horz" wrap="square" anchor="t" anchorCtr="0" upright="1"/>
                            </wps:wsp>
                            <wps:wsp>
                              <wps:cNvPr id="223" name="文本框 168"/>
                              <wps:cNvSpPr txBox="1"/>
                              <wps:spPr>
                                <a:xfrm>
                                  <a:off x="2273935" y="2946400"/>
                                  <a:ext cx="648970" cy="228600"/>
                                </a:xfrm>
                                <a:prstGeom prst="rect">
                                  <a:avLst/>
                                </a:prstGeom>
                                <a:noFill/>
                                <a:ln>
                                  <a:noFill/>
                                </a:ln>
                              </wps:spPr>
                              <wps:txbx>
                                <w:txbxContent>
                                  <w:p w14:paraId="44E813D7">
                                    <w:pPr>
                                      <w:spacing w:line="240" w:lineRule="exact"/>
                                      <w:jc w:val="center"/>
                                      <w:rPr>
                                        <w:rFonts w:hint="default" w:eastAsia="宋体"/>
                                        <w:lang w:val="en-US" w:eastAsia="zh-CN"/>
                                      </w:rPr>
                                    </w:pPr>
                                    <w:r>
                                      <w:rPr>
                                        <w:rFonts w:hint="eastAsia"/>
                                      </w:rPr>
                                      <w:t>损耗</w:t>
                                    </w:r>
                                    <w:r>
                                      <w:rPr>
                                        <w:rFonts w:hint="eastAsia"/>
                                        <w:lang w:val="en-US" w:eastAsia="zh-CN"/>
                                      </w:rPr>
                                      <w:t>0.2</w:t>
                                    </w:r>
                                  </w:p>
                                </w:txbxContent>
                              </wps:txbx>
                              <wps:bodyPr vert="horz" wrap="square" anchor="t" anchorCtr="0" upright="1"/>
                            </wps:wsp>
                            <wps:wsp>
                              <wps:cNvPr id="15" name="肘形连接符 15"/>
                              <wps:cNvCnPr>
                                <a:stCxn id="173" idx="3"/>
                                <a:endCxn id="174" idx="1"/>
                              </wps:cNvCnPr>
                              <wps:spPr>
                                <a:xfrm flipV="1">
                                  <a:off x="676275" y="428625"/>
                                  <a:ext cx="502285" cy="1778000"/>
                                </a:xfrm>
                                <a:prstGeom prst="bentConnector3">
                                  <a:avLst>
                                    <a:gd name="adj1" fmla="val 9228"/>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7" name="直接箭头连接符 17"/>
                              <wps:cNvCnPr>
                                <a:stCxn id="175" idx="3"/>
                                <a:endCxn id="192" idx="1"/>
                              </wps:cNvCnPr>
                              <wps:spPr>
                                <a:xfrm flipV="1">
                                  <a:off x="2748915" y="793115"/>
                                  <a:ext cx="257175" cy="5715"/>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8" name="直接箭头连接符 18"/>
                              <wps:cNvCnPr>
                                <a:stCxn id="174" idx="0"/>
                                <a:endCxn id="177" idx="2"/>
                              </wps:cNvCnPr>
                              <wps:spPr>
                                <a:xfrm flipV="1">
                                  <a:off x="1553845" y="252730"/>
                                  <a:ext cx="127635" cy="54610"/>
                                </a:xfrm>
                                <a:prstGeom prst="straightConnector1">
                                  <a:avLst/>
                                </a:prstGeom>
                                <a:ln w="0">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19" name="直接箭头连接符 19"/>
                              <wps:cNvCnPr>
                                <a:stCxn id="193" idx="0"/>
                                <a:endCxn id="197" idx="2"/>
                              </wps:cNvCnPr>
                              <wps:spPr>
                                <a:xfrm flipV="1">
                                  <a:off x="2432685" y="1176020"/>
                                  <a:ext cx="93980" cy="66040"/>
                                </a:xfrm>
                                <a:prstGeom prst="straightConnector1">
                                  <a:avLst/>
                                </a:prstGeom>
                                <a:ln w="0">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20" name="肘形连接符 20"/>
                              <wps:cNvCnPr>
                                <a:stCxn id="173" idx="3"/>
                                <a:endCxn id="193" idx="1"/>
                              </wps:cNvCnPr>
                              <wps:spPr>
                                <a:xfrm flipV="1">
                                  <a:off x="676275" y="1370330"/>
                                  <a:ext cx="701675" cy="836295"/>
                                </a:xfrm>
                                <a:prstGeom prst="bentConnector3">
                                  <a:avLst>
                                    <a:gd name="adj1" fmla="val 6244"/>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1" name="直接箭头连接符 21"/>
                              <wps:cNvCnPr>
                                <a:stCxn id="173" idx="3"/>
                                <a:endCxn id="204" idx="1"/>
                              </wps:cNvCnPr>
                              <wps:spPr>
                                <a:xfrm flipV="1">
                                  <a:off x="676275" y="2202815"/>
                                  <a:ext cx="670560" cy="3810"/>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2" name="文本框 181"/>
                              <wps:cNvSpPr txBox="1"/>
                              <wps:spPr>
                                <a:xfrm>
                                  <a:off x="778510" y="1996440"/>
                                  <a:ext cx="423545" cy="231140"/>
                                </a:xfrm>
                                <a:prstGeom prst="rect">
                                  <a:avLst/>
                                </a:prstGeom>
                                <a:noFill/>
                                <a:ln>
                                  <a:noFill/>
                                </a:ln>
                              </wps:spPr>
                              <wps:txbx>
                                <w:txbxContent>
                                  <w:p w14:paraId="511C0D46">
                                    <w:pPr>
                                      <w:spacing w:line="240" w:lineRule="exact"/>
                                      <w:jc w:val="center"/>
                                      <w:rPr>
                                        <w:rFonts w:hint="default" w:eastAsia="宋体"/>
                                        <w:lang w:val="en-US" w:eastAsia="zh-CN"/>
                                      </w:rPr>
                                    </w:pPr>
                                    <w:r>
                                      <w:rPr>
                                        <w:rFonts w:hint="eastAsia"/>
                                        <w:lang w:val="en-US" w:eastAsia="zh-CN"/>
                                      </w:rPr>
                                      <w:t>0.93</w:t>
                                    </w:r>
                                  </w:p>
                                </w:txbxContent>
                              </wps:txbx>
                              <wps:bodyPr vert="horz" wrap="square" anchor="t" anchorCtr="0" upright="1"/>
                            </wps:wsp>
                            <wps:wsp>
                              <wps:cNvPr id="23" name="直接箭头连接符 23"/>
                              <wps:cNvCnPr>
                                <a:stCxn id="204" idx="0"/>
                                <a:endCxn id="207" idx="2"/>
                              </wps:cNvCnPr>
                              <wps:spPr>
                                <a:xfrm flipV="1">
                                  <a:off x="1992630" y="1974850"/>
                                  <a:ext cx="125095" cy="99695"/>
                                </a:xfrm>
                                <a:prstGeom prst="straightConnector1">
                                  <a:avLst/>
                                </a:prstGeom>
                                <a:ln w="0">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24" name="文本框 181"/>
                              <wps:cNvSpPr txBox="1"/>
                              <wps:spPr>
                                <a:xfrm>
                                  <a:off x="795020" y="2553335"/>
                                  <a:ext cx="423545" cy="231140"/>
                                </a:xfrm>
                                <a:prstGeom prst="rect">
                                  <a:avLst/>
                                </a:prstGeom>
                                <a:noFill/>
                                <a:ln>
                                  <a:noFill/>
                                </a:ln>
                              </wps:spPr>
                              <wps:txbx>
                                <w:txbxContent>
                                  <w:p w14:paraId="7E807070">
                                    <w:pPr>
                                      <w:spacing w:line="240" w:lineRule="exact"/>
                                      <w:jc w:val="center"/>
                                      <w:rPr>
                                        <w:rFonts w:hint="default" w:eastAsia="宋体"/>
                                        <w:lang w:val="en-US" w:eastAsia="zh-CN"/>
                                      </w:rPr>
                                    </w:pPr>
                                    <w:r>
                                      <w:rPr>
                                        <w:rFonts w:hint="eastAsia"/>
                                        <w:lang w:val="en-US" w:eastAsia="zh-CN"/>
                                      </w:rPr>
                                      <w:t>15.5</w:t>
                                    </w:r>
                                  </w:p>
                                </w:txbxContent>
                              </wps:txbx>
                              <wps:bodyPr vert="horz" wrap="square" anchor="t" anchorCtr="0" upright="1"/>
                            </wps:wsp>
                            <wps:wsp>
                              <wps:cNvPr id="25" name="文本框 181"/>
                              <wps:cNvSpPr txBox="1"/>
                              <wps:spPr>
                                <a:xfrm>
                                  <a:off x="797560" y="3194050"/>
                                  <a:ext cx="423545" cy="231140"/>
                                </a:xfrm>
                                <a:prstGeom prst="rect">
                                  <a:avLst/>
                                </a:prstGeom>
                                <a:noFill/>
                                <a:ln>
                                  <a:noFill/>
                                </a:ln>
                              </wps:spPr>
                              <wps:txbx>
                                <w:txbxContent>
                                  <w:p w14:paraId="2CFA1000">
                                    <w:pPr>
                                      <w:spacing w:line="240" w:lineRule="exact"/>
                                      <w:jc w:val="center"/>
                                      <w:rPr>
                                        <w:rFonts w:hint="default" w:eastAsia="宋体"/>
                                        <w:lang w:val="en-US" w:eastAsia="zh-CN"/>
                                      </w:rPr>
                                    </w:pPr>
                                    <w:r>
                                      <w:rPr>
                                        <w:rFonts w:hint="eastAsia"/>
                                        <w:lang w:val="en-US" w:eastAsia="zh-CN"/>
                                      </w:rPr>
                                      <w:t>0.2</w:t>
                                    </w:r>
                                  </w:p>
                                </w:txbxContent>
                              </wps:txbx>
                              <wps:bodyPr vert="horz" wrap="square" anchor="t" anchorCtr="0" upright="1"/>
                            </wps:wsp>
                            <wps:wsp>
                              <wps:cNvPr id="16" name="直接箭头连接符 16"/>
                              <wps:cNvCnPr>
                                <a:stCxn id="221" idx="0"/>
                                <a:endCxn id="223" idx="2"/>
                              </wps:cNvCnPr>
                              <wps:spPr>
                                <a:xfrm flipV="1">
                                  <a:off x="2484120" y="3175000"/>
                                  <a:ext cx="114300" cy="92075"/>
                                </a:xfrm>
                                <a:prstGeom prst="straightConnector1">
                                  <a:avLst/>
                                </a:prstGeom>
                                <a:ln w="0">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26" name="直接箭头连接符 26"/>
                              <wps:cNvCnPr>
                                <a:stCxn id="204" idx="3"/>
                                <a:endCxn id="194" idx="1"/>
                              </wps:cNvCnPr>
                              <wps:spPr>
                                <a:xfrm flipV="1">
                                  <a:off x="2638425" y="2199640"/>
                                  <a:ext cx="851535" cy="3175"/>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7" name="直接箭头连接符 27"/>
                              <wps:cNvCnPr/>
                              <wps:spPr>
                                <a:xfrm flipH="1">
                                  <a:off x="2648585" y="2135505"/>
                                  <a:ext cx="842645" cy="5080"/>
                                </a:xfrm>
                                <a:prstGeom prst="straightConnector1">
                                  <a:avLst/>
                                </a:prstGeom>
                                <a:ln w="9525">
                                  <a:solidFill>
                                    <a:schemeClr val="tx1"/>
                                  </a:solidFill>
                                  <a:prstDash val="dashDot"/>
                                  <a:tailEnd type="triangle"/>
                                </a:ln>
                              </wps:spPr>
                              <wps:style>
                                <a:lnRef idx="2">
                                  <a:schemeClr val="accent1"/>
                                </a:lnRef>
                                <a:fillRef idx="0">
                                  <a:srgbClr val="FFFFFF"/>
                                </a:fillRef>
                                <a:effectRef idx="0">
                                  <a:srgbClr val="FFFFFF"/>
                                </a:effectRef>
                                <a:fontRef idx="minor">
                                  <a:schemeClr val="tx1"/>
                                </a:fontRef>
                              </wps:style>
                              <wps:bodyPr/>
                            </wps:wsp>
                            <wps:wsp>
                              <wps:cNvPr id="28" name="肘形连接符 28"/>
                              <wps:cNvCnPr>
                                <a:stCxn id="193" idx="3"/>
                                <a:endCxn id="194" idx="0"/>
                              </wps:cNvCnPr>
                              <wps:spPr>
                                <a:xfrm>
                                  <a:off x="3486785" y="1370330"/>
                                  <a:ext cx="681990" cy="711835"/>
                                </a:xfrm>
                                <a:prstGeom prst="bentConnector2">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9" name="肘形连接符 29"/>
                              <wps:cNvCnPr/>
                              <wps:spPr>
                                <a:xfrm rot="10800000">
                                  <a:off x="3491230" y="1307465"/>
                                  <a:ext cx="776605" cy="760095"/>
                                </a:xfrm>
                                <a:prstGeom prst="bentConnector3">
                                  <a:avLst>
                                    <a:gd name="adj1" fmla="val 1880"/>
                                  </a:avLst>
                                </a:prstGeom>
                                <a:ln w="9525">
                                  <a:solidFill>
                                    <a:schemeClr val="tx1"/>
                                  </a:solidFill>
                                  <a:prstDash val="dashDot"/>
                                  <a:tailEnd type="triangle"/>
                                </a:ln>
                              </wps:spPr>
                              <wps:style>
                                <a:lnRef idx="2">
                                  <a:schemeClr val="accent1"/>
                                </a:lnRef>
                                <a:fillRef idx="0">
                                  <a:srgbClr val="FFFFFF"/>
                                </a:fillRef>
                                <a:effectRef idx="0">
                                  <a:srgbClr val="FFFFFF"/>
                                </a:effectRef>
                                <a:fontRef idx="minor">
                                  <a:schemeClr val="tx1"/>
                                </a:fontRef>
                              </wps:style>
                              <wps:bodyPr/>
                            </wps:wsp>
                            <wps:wsp>
                              <wps:cNvPr id="30" name="文本框 168"/>
                              <wps:cNvSpPr txBox="1"/>
                              <wps:spPr>
                                <a:xfrm>
                                  <a:off x="3718560" y="3410585"/>
                                  <a:ext cx="1001395" cy="542925"/>
                                </a:xfrm>
                                <a:prstGeom prst="rect">
                                  <a:avLst/>
                                </a:prstGeom>
                                <a:noFill/>
                                <a:ln>
                                  <a:noFill/>
                                </a:ln>
                              </wps:spPr>
                              <wps:txbx>
                                <w:txbxContent>
                                  <w:p w14:paraId="67F5110E">
                                    <w:pPr>
                                      <w:spacing w:line="240" w:lineRule="exact"/>
                                      <w:jc w:val="center"/>
                                      <w:rPr>
                                        <w:rFonts w:hint="default" w:eastAsia="宋体"/>
                                        <w:lang w:val="en-US" w:eastAsia="zh-CN"/>
                                      </w:rPr>
                                    </w:pPr>
                                    <w:r>
                                      <w:rPr>
                                        <w:rFonts w:hint="eastAsia"/>
                                        <w:lang w:val="en-US" w:eastAsia="zh-CN"/>
                                      </w:rPr>
                                      <w:t>喷淋水循环使用不外排，循环量2m</w:t>
                                    </w:r>
                                    <w:r>
                                      <w:rPr>
                                        <w:rFonts w:hint="eastAsia"/>
                                        <w:vertAlign w:val="superscript"/>
                                        <w:lang w:val="en-US" w:eastAsia="zh-CN"/>
                                      </w:rPr>
                                      <w:t>3</w:t>
                                    </w:r>
                                    <w:r>
                                      <w:rPr>
                                        <w:rFonts w:hint="eastAsia"/>
                                        <w:lang w:val="en-US" w:eastAsia="zh-CN"/>
                                      </w:rPr>
                                      <w:t>/h</w:t>
                                    </w:r>
                                  </w:p>
                                </w:txbxContent>
                              </wps:txbx>
                              <wps:bodyPr vert="horz" wrap="square" anchor="t" anchorCtr="0" upright="1"/>
                            </wps:wsp>
                            <wps:wsp>
                              <wps:cNvPr id="31" name="肘形连接符 31"/>
                              <wps:cNvCnPr>
                                <a:stCxn id="221" idx="3"/>
                                <a:endCxn id="221" idx="2"/>
                              </wps:cNvCnPr>
                              <wps:spPr>
                                <a:xfrm flipH="1">
                                  <a:off x="2484120" y="3394075"/>
                                  <a:ext cx="1139825" cy="127000"/>
                                </a:xfrm>
                                <a:prstGeom prst="bentConnector4">
                                  <a:avLst>
                                    <a:gd name="adj1" fmla="val -99944"/>
                                    <a:gd name="adj2" fmla="val 432000"/>
                                  </a:avLst>
                                </a:prstGeom>
                                <a:ln w="9525">
                                  <a:solidFill>
                                    <a:schemeClr val="tx1">
                                      <a:lumMod val="50000"/>
                                      <a:lumOff val="50000"/>
                                    </a:schemeClr>
                                  </a:solidFill>
                                  <a:tailEnd type="triangle"/>
                                </a:ln>
                              </wps:spPr>
                              <wps:style>
                                <a:lnRef idx="2">
                                  <a:schemeClr val="accent1"/>
                                </a:lnRef>
                                <a:fillRef idx="0">
                                  <a:srgbClr val="FFFFFF"/>
                                </a:fillRef>
                                <a:effectRef idx="0">
                                  <a:srgbClr val="FFFFFF"/>
                                </a:effectRef>
                                <a:fontRef idx="minor">
                                  <a:schemeClr val="tx1"/>
                                </a:fontRef>
                              </wps:style>
                              <wps:bodyPr/>
                            </wps:wsp>
                            <wps:wsp>
                              <wps:cNvPr id="32" name="文本框 181"/>
                              <wps:cNvSpPr txBox="1"/>
                              <wps:spPr>
                                <a:xfrm>
                                  <a:off x="3733165" y="1115060"/>
                                  <a:ext cx="517525" cy="231140"/>
                                </a:xfrm>
                                <a:prstGeom prst="rect">
                                  <a:avLst/>
                                </a:prstGeom>
                                <a:noFill/>
                                <a:ln>
                                  <a:noFill/>
                                </a:ln>
                              </wps:spPr>
                              <wps:txbx>
                                <w:txbxContent>
                                  <w:p w14:paraId="2C87EDC6">
                                    <w:pPr>
                                      <w:spacing w:line="240" w:lineRule="exact"/>
                                      <w:jc w:val="center"/>
                                      <w:rPr>
                                        <w:rFonts w:hint="default" w:eastAsia="宋体"/>
                                        <w:lang w:val="en-US" w:eastAsia="zh-CN"/>
                                      </w:rPr>
                                    </w:pPr>
                                    <w:r>
                                      <w:rPr>
                                        <w:rFonts w:hint="eastAsia"/>
                                        <w:lang w:val="en-US" w:eastAsia="zh-CN"/>
                                      </w:rPr>
                                      <w:t>0.085</w:t>
                                    </w:r>
                                  </w:p>
                                </w:txbxContent>
                              </wps:txbx>
                              <wps:bodyPr vert="horz" wrap="square" anchor="t" anchorCtr="0" upright="1"/>
                            </wps:wsp>
                            <wps:wsp>
                              <wps:cNvPr id="33" name="文本框 181"/>
                              <wps:cNvSpPr txBox="1"/>
                              <wps:spPr>
                                <a:xfrm>
                                  <a:off x="2881630" y="2179955"/>
                                  <a:ext cx="423545" cy="231140"/>
                                </a:xfrm>
                                <a:prstGeom prst="rect">
                                  <a:avLst/>
                                </a:prstGeom>
                                <a:noFill/>
                                <a:ln>
                                  <a:noFill/>
                                </a:ln>
                              </wps:spPr>
                              <wps:txbx>
                                <w:txbxContent>
                                  <w:p w14:paraId="1B343B3E">
                                    <w:pPr>
                                      <w:spacing w:line="240" w:lineRule="exact"/>
                                      <w:jc w:val="center"/>
                                      <w:rPr>
                                        <w:rFonts w:hint="default" w:eastAsia="宋体"/>
                                        <w:lang w:val="en-US" w:eastAsia="zh-CN"/>
                                      </w:rPr>
                                    </w:pPr>
                                    <w:r>
                                      <w:rPr>
                                        <w:rFonts w:hint="eastAsia"/>
                                        <w:lang w:val="en-US" w:eastAsia="zh-CN"/>
                                      </w:rPr>
                                      <w:t>5.27</w:t>
                                    </w:r>
                                  </w:p>
                                </w:txbxContent>
                              </wps:txbx>
                              <wps:bodyPr vert="horz" wrap="square" anchor="t" anchorCtr="0" upright="1"/>
                            </wps:wsp>
                            <wps:wsp>
                              <wps:cNvPr id="34" name="文本框 181"/>
                              <wps:cNvSpPr txBox="1"/>
                              <wps:spPr>
                                <a:xfrm>
                                  <a:off x="3665855" y="1553845"/>
                                  <a:ext cx="501650" cy="231140"/>
                                </a:xfrm>
                                <a:prstGeom prst="rect">
                                  <a:avLst/>
                                </a:prstGeom>
                                <a:noFill/>
                                <a:ln>
                                  <a:noFill/>
                                </a:ln>
                              </wps:spPr>
                              <wps:txbx>
                                <w:txbxContent>
                                  <w:p w14:paraId="29150DE8">
                                    <w:pPr>
                                      <w:spacing w:line="240" w:lineRule="exact"/>
                                      <w:jc w:val="center"/>
                                      <w:rPr>
                                        <w:rFonts w:hint="default" w:eastAsia="宋体"/>
                                        <w:lang w:val="en-US" w:eastAsia="zh-CN"/>
                                      </w:rPr>
                                    </w:pPr>
                                    <w:r>
                                      <w:rPr>
                                        <w:rFonts w:hint="eastAsia"/>
                                        <w:lang w:val="en-US" w:eastAsia="zh-CN"/>
                                      </w:rPr>
                                      <w:t>0.085</w:t>
                                    </w:r>
                                  </w:p>
                                </w:txbxContent>
                              </wps:txbx>
                              <wps:bodyPr vert="horz" wrap="square" anchor="t" anchorCtr="0" upright="1"/>
                            </wps:wsp>
                            <wps:wsp>
                              <wps:cNvPr id="35" name="文本框 181"/>
                              <wps:cNvSpPr txBox="1"/>
                              <wps:spPr>
                                <a:xfrm>
                                  <a:off x="2886075" y="1918970"/>
                                  <a:ext cx="423545" cy="231140"/>
                                </a:xfrm>
                                <a:prstGeom prst="rect">
                                  <a:avLst/>
                                </a:prstGeom>
                                <a:noFill/>
                                <a:ln>
                                  <a:noFill/>
                                </a:ln>
                              </wps:spPr>
                              <wps:txbx>
                                <w:txbxContent>
                                  <w:p w14:paraId="2ABB9C1E">
                                    <w:pPr>
                                      <w:spacing w:line="240" w:lineRule="exact"/>
                                      <w:jc w:val="center"/>
                                      <w:rPr>
                                        <w:rFonts w:hint="default" w:eastAsia="宋体"/>
                                        <w:lang w:val="en-US" w:eastAsia="zh-CN"/>
                                      </w:rPr>
                                    </w:pPr>
                                    <w:r>
                                      <w:rPr>
                                        <w:rFonts w:hint="eastAsia"/>
                                        <w:lang w:val="en-US" w:eastAsia="zh-CN"/>
                                      </w:rPr>
                                      <w:t>5.27</w:t>
                                    </w:r>
                                  </w:p>
                                </w:txbxContent>
                              </wps:txbx>
                              <wps:bodyPr vert="horz" wrap="square" anchor="t" anchorCtr="0" upright="1"/>
                            </wps:wsp>
                          </wpc:wpc>
                        </a:graphicData>
                      </a:graphic>
                    </wp:inline>
                  </w:drawing>
                </mc:Choice>
                <mc:Fallback>
                  <w:pict>
                    <v:group id="画布 145" o:spid="_x0000_s1026" o:spt="203" style="height:312pt;width:399.55pt;" coordsize="5074285,3962400" editas="canvas" o:gfxdata="UEsDBAoAAAAAAIdO4kAAAAAAAAAAAAAAAAAEAAAAZHJzL1BLAwQUAAAACACHTuJAAJ5XUtUAAAAF&#10;AQAADwAAAGRycy9kb3ducmV2LnhtbE2PwU7DMBBE70j8g7VI3KidCkob4lQF0WslClLhto0XO2q8&#10;jmK3KX+P4QKXlUYzmnlbLc++EycaYhtYQzFRIIibYFq2Gt5e1zdzEDEhG+wCk4YvirCsLy8qLE0Y&#10;+YVO22RFLuFYogaXUl9KGRtHHuMk9MTZ+wyDx5TlYKUZcMzlvpNTpWbSY8t5wWFPT46aw/boNTz3&#10;H5vVnY1ytUvu/RAex7XbWK2vrwr1ACLROf2F4Qc/o0OdmfbhyCaKTkN+JP3e7N0vFgWIvYbZ9FaB&#10;rCv5n77+BlBLAwQUAAAACACHTuJAgYQdEfYLAACPZgAADgAAAGRycy9lMm9Eb2MueG1s7V1Lj+NY&#10;Fd4j8R+s7KfL914/S109EtUzzYLHSAPsXYnzQIkdbFdXNasRSIzYsEIIaRASCFiggdUskBDwa/rB&#10;v+A7914/4th5OJlKV/AselJJyonv+e453/nOObeefni/mBsvwySdxdHVgD0xB0YYDePRLJpcDX74&#10;g48/8AZGmgXRKJjHUXg1eBWmgw+fffMbT++WlyGPp/F8FCYGLhKll3fLq8E0y5aXFxfpcBougvRJ&#10;vAwjvDiOk0WQ4cdkcjFKgjtcfTG/4KbpXNzFyWiZxMMwTfHsc/XiQF8x2eWC8Xg8G4bP4+HtIowy&#10;ddUknAcZbimdzpbp4Jn8tuNxOMy+Px6nYWbMrwa400z+iw/B4xv69+LZ0+BykgTL6Wyov0Kwy1eo&#10;3dMimEX40OJSz4MsMG6T2dqlFrNhEqfxOHsyjBcX6kbkiuAumFlbmxdJfLuU9zK5vJssi0WHoWqr&#10;3vmyw++9/CQxZqOrAecwfBQsYPK3v/7n63/83GCWTetzt5xc4m0vkuWny08S/cRE/US3fD9OFvR/&#10;3IxxL1f2VbGy4X1mDPGkbboW9+yBMcRrwne4Zeq1H05hoLXfG04/2vKbF/kHX9D3K77O3RKoTMul&#10;Sg9bqk+nwTKUFkhpDfRSMVfkS/XmN5+/+d2Xb/7wC6yWo1ZLvpOWysjuvxXj5ln+fIonG1aMcRdw&#10;xMJge5ieJy8TXOZL57i2aeqVs5jpKaMUtx9cLpM0exHGC4MeXA0SYF5CMXj5nTSDufDW/C304VH8&#10;8Ww+l7ifR8bd1cC3OV0+wF4eYw/h4WIJPKTRRF4mjeezEf0K/XKaTG6u54nxMqD9JP+jm8NHrLyN&#10;Pu95kE7V++RL9LbgcjHLwkQ+mobB6KNoZGSvlkBcBFczoC+zCEcDYx7CM9Ej+c4smM13eSe+xDzC&#10;dyEIqJWmR9n9zT0uQw9v4tErWAW+D8s0jZOf4hOx83GrP7kNEnx+EA3x9NUAa6AeXmfKVdwuk9lk&#10;it+SppSfAJCpqz4A2qwmtPm0OnRbwOVeaGOuZzsKcMJ0haU3Yo43wM0mPNJO5Ranx/igHm9ryDxf&#10;vMEdqEBQ8W621RVvlm1bXOHNcXzu1/DGuC8snzwQAc72rN7BtbjC8wWc0wA4x+0IONdyGEU0gpMQ&#10;poJTGU+Fixia+zfBmPJ/R/JvKwH2fO3lNtnL62gv0B/bZdpgzK77Bw+cp3APvb0o82lNGFroqge4&#10;rzl0r6ClexIIz3QsW/tz7C64dknTcv5geZ4ga0p33turk73YMe3FfJiLMgjpEHOHVzpEy7ccpzfY&#10;Thl52wbjDQbrzJgEMjIkyMpgPneFTMMrBnNcv/CItk++s2foTbnj2QZgr0l/6Iw3bnPHFApvwjSF&#10;XcMb48SYcg9h2W7P0MNmseJ8AQfrKwbx7vO//vezX77+4t+v//VHw3aqpO86UvJWml3fR1JTZC6k&#10;i9kIGpjQJCEaFa8RiOVrpagCJqIuUmo4SuYzxvPZ8kekvxDD1kojQzLJNG4tLmxXSiKln7R9x4fM&#10;KJmIbYIEbfSSaZYEJPJcx1EECS1O1Ge1qGgPL511FcyyZBZEk/leiFVKGS0XGeIBpS6In404UyKU&#10;VrsacFZgqQlnCM4H4UxAJLMQhIlAWRyYqym0HIpa7h4dFazb08keZqU2ezKY+U18rXNChJjpmEhb&#10;CR+O6/islhEx07ahOuQpEYeKv9kV7SXh/39IDv5RGQ8TruvrHJZB5Ib9dHzSVScO0cGjLa9EScc+&#10;qkrUV10eQdXFb6q6+F1FE2F5vq+rLqDTnCHjXpFNmLCdMqsTFmkoG/nK3k5ipUK3UyHvbOmsX9CM&#10;SoWjs/+HL6FSObl/xhzXrZvWZh4j0/eK2PaWhxaBxT+q4sxR9oToLC3mWxAsa97fNx0wut5gu/So&#10;tBnMz4l8ZYetZIv71Ky54wqf2kdIwgTF5ojdq97TNBlkszxeuwzWPa73LNomztUpovmkwWSdRSUm&#10;LEcyKGUyiJT1gGei9Pa1maynWO8/xULHW464FVWJMVUDbE33JVTbZCUfnuegdJ8LZHNaVuKuIzxR&#10;05UERCegWcZzfNUtnqZP+E+f8HOzicwfx7ehs9Gu9xigp0UWsvv0cVt73/lG06MyVobcUHZBUI6B&#10;Bpc1AoRQa8o2Tgq33HNUe227DLl39nj+/IcVEtNqNKJSLLhkazSS3cBt0YiyjIOiEQTFPFVxfWhS&#10;NeKb556UW4JPkay1mfjeoGO+KHGIslGYZMTJSIvvwejHCM3jxRy98Gj1NWxPdWMBT7IeIvtBq03F&#10;D18OObyT+DEVRjgrAlgdnFVFKq+MhGWZreRKO5TZKsW1Cu449FF4nNWMy3FN2UVMwLNtn+ojGxOu&#10;TrhzUHjRl+1xJ2cvHrggh9JWM0XnyjCdnCLncC67OsV9IAmVIJ8xYcwDL5POsj0IdsMk83pMkt1P&#10;Vb2T8FlrZzyEzAsnn4eA0GQq6ahsIwCdMovZJY5K0FG5VS9UPAKhghfU8ChqJlr6fN1PwNF8WczC&#10;5S20DopFRb24J/NdWmhBu3W/0s9+i06ld//5/Ztf/fntl38xVFmtU9wqu5l2oFKNHUsVUoVxyDVO&#10;hRSucDTMRQlim6fpFMB8mvRUXK2ZVBWpHg3UbfFPRjCfYFhvmCXHHxZcHfwr6Lr66g2jfqcKSCVH&#10;evvFVwSzv//t9Z++qkCuOsmSU/Rqk1yeIzY0L1Gnyq5UqRFy3IUzoX588HTXRz9+jcdjwI+KJVKp&#10;kmMYG1n8fmJmDySadW+a7G6pmpUT2M1A2rXbMhcJyjQQ7kQDicu9v+IA6Qcl0m7qtkQTEw0fyxqc&#10;jRCWf4humcEYDzW/KSBhBGsL9z4QSVSdJeJQn1g+gT8iD5ku9NQyHrx//qmoxbb4p+oocYN/ot4r&#10;6YNyi1dgRYV5+VpXWHFLcEeXdhlzHbM+T+Sj8qtr8aDp2/qwelg92Fw6zfQ2cyxlwhUXgwMCKl3h&#10;OaCaAl7+2hE4Ftr8TEyA0o4s0znXRI+O9lOecPjXIpjigIvNIkEfGvcLjSQZKbA1+zC8Dit3gpws&#10;Dh7EsSq0Hlop9+ocq6qVCsyz6hCRH5ySC+n6AI8DXdiG4zxOEBzfu2DIj9r6jSTNhj1l6x/6Oy0V&#10;nkpnQ2MpxJn61r+urX+l9NKy8WUMad345ebOw0BJXtAGeCB5Yb6PdrTc/si01vrSUKjNe5yAj22x&#10;5sCtTzSpJ8X1U7Sacy1eFNQqkl73FmBMExAfouo78iShqmG9H9CHwu11PFmLveBF10T/A+zlFmcg&#10;YT7erO/b3m/vfkpds70wJLeRsKkhuna/XdQIG/w2xYQDk07PwlSz3K8C8pcWWsv9ilMSMNWl4raP&#10;OLGluN377YfLOrfgildP4VsXM0o+0JR7IiYclAiADHg4Mk3FAZADlHZWk0+wRTsXyQh4fSZwwjpy&#10;0drQwizrsr1OMNeU0m/X5tI56nd2Pq2AuS4cqFdDgYW36Kzg2IPpJxUWRjjz8Xmcqbt9LOWb8tzT&#10;d7VaoaqTtcYoVgijm3yJyvZXLkI/VFFU6XHBnCBmj5QHaZSvHA9+RUcmF10uimnu2OPCy34/lZjn&#10;0gN9g5Mip3JG6KPBTSGrr+GmLqg3eY4kpvNEcSwF/Vc91gKnITKeJ5U4odOqzxNiwtDJzxuAYE4J&#10;prJmi6DUqUrM9FRca8vnSeHyKB0N2XQthek8EydcVp7jiiMFKOIABhUOW52JwxGcvmrhbHcVfU94&#10;oSDrg55FoTrXtzhe0Zu6OLOmWuIoWxzXQ0P52q41szWCYVXSF4H0VRHJiukxDOnl4wB0vPRejSRW&#10;GSUIT61d4R/4PqZnFeiqb4LCWraOo7xXfvoD9pt48KyoG9INzG8X341H6ixqSvU0J8fTdPS4PMq6&#10;eBq7Q4/Gyx73lZn51lOtH0vEEkfVvnEsjqBjDKT4jb6StUM0bCQ4OQh5fxJkhzY2AaFjLWJ0Fr24&#10;h3MINLFAYzdOm6hFjF71OlT1EkdVldGXjKiud5huv1kJ8TZq2ZAu+/LSDn9Mo1mmJDHmqDvMoWCs&#10;6oFMdvGuGOysdxhmU+TfKZGRU/9NFfpDKNWf8bj6d2Se/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kDgAAW0NvbnRlbnRfVHlwZXNdLnhtbFBL&#10;AQIUAAoAAAAAAIdO4kAAAAAAAAAAAAAAAAAGAAAAAAAAAAAAEAAAAEYNAABfcmVscy9QSwECFAAU&#10;AAAACACHTuJAihRmPNEAAACUAQAACwAAAAAAAAABACAAAABqDQAAX3JlbHMvLnJlbHNQSwECFAAK&#10;AAAAAACHTuJAAAAAAAAAAAAAAAAABAAAAAAAAAAAABAAAAAAAAAAZHJzL1BLAQIUABQAAAAIAIdO&#10;4kAAnldS1QAAAAUBAAAPAAAAAAAAAAEAIAAAACIAAABkcnMvZG93bnJldi54bWxQSwECFAAUAAAA&#10;CACHTuJAgYQdEfYLAACPZgAADgAAAAAAAAABACAAAAAkAQAAZHJzL2Uyb0RvYy54bWxQSwUGAAAA&#10;AAYABgBZAQAAjA8AAAAA&#10;">
                      <o:lock v:ext="edit" aspectratio="f"/>
                      <v:shape id="画布 145" o:spid="_x0000_s1026" style="position:absolute;left:0;top:0;height:3962400;width:5074285;" filled="f" stroked="t" coordsize="21600,21600" o:gfxdata="UEsDBAoAAAAAAIdO4kAAAAAAAAAAAAAAAAAEAAAAZHJzL1BLAwQUAAAACACHTuJAAJ5XUtUAAAAF&#10;AQAADwAAAGRycy9kb3ducmV2LnhtbE2PwU7DMBBE70j8g7VI3KidCkob4lQF0WslClLhto0XO2q8&#10;jmK3KX+P4QKXlUYzmnlbLc++EycaYhtYQzFRIIibYFq2Gt5e1zdzEDEhG+wCk4YvirCsLy8qLE0Y&#10;+YVO22RFLuFYogaXUl9KGRtHHuMk9MTZ+wyDx5TlYKUZcMzlvpNTpWbSY8t5wWFPT46aw/boNTz3&#10;H5vVnY1ytUvu/RAex7XbWK2vrwr1ACLROf2F4Qc/o0OdmfbhyCaKTkN+JP3e7N0vFgWIvYbZ9FaB&#10;rCv5n77+BlBLAwQUAAAACACHTuJAoTXe7bcLAADHZgAADgAAAGRycy9lMm9Eb2MueG1s7V1Lb+PI&#10;Eb4HyH8gdN8xu5uvNsazQOxscshjgUlypyXKViCRCkmPPTkFOWSRyx4XATYIkCDJIdjktNckv2Zm&#10;J/8iX3U3H6JIPSitPfZwDh5ZpCmS9bHqq6+qWs8/vlvMrVdRms2S+GzEntkjK4rHyWQWX52Nfv6z&#10;Tz4KRlaWh/EknCdxdDZ6HWWjj1989zvPb5enEU+uk/kkSi0cJM5Ob5dno+s8X56enGTj62gRZs+S&#10;ZRRj4zRJF2GOX9Ork0ka3uLoi/kJt23v5DZJJ8s0GUdZhncv9MaROWK6ywGT6XQ2ji6S8c0iinN9&#10;1DSahzkuKbueLbPRC3W202k0zn86nWZRbs3PRrjSXP3Eh+D1Jf08efE8PL1Kw+X1bGxOIdzlFBrX&#10;tAhnMT60PNRFmIfWTTpbO9RiNk6TLJnmz8bJ4kRfiLojuApmN+7NeRi/CvXFjHGvixPEqyMe9/KK&#10;zjtOPpnN57gbJzj6Kb1H/9/C2hFtnsfW7dlIutwdWeMQVp/ibuPlYjk5G2Xxlbr2LJnPJnQY+oss&#10;vbo8n6fWq5DuvPpHN/sEW+q7LdMsvwiza72f2qRtspjlUaqscx2Fk+/HEyt/vQQcY4ByRCeziCYj&#10;ax4Bw/RK7ZmHs/kue+Ik5rG5VHOJt0ugOVuWuM4Ou8Mvr8NlpFCYnY5/8urT1JrhRjFfjKw4XOAy&#10;3n7x2ds/fvX2z7+zmOPR2dMJYM+XS+yb330vucPuxfsZ3qR7ejdNF/Q/YGPRdu4Dxq/PRnis7CBQ&#10;hwlPo7vcGmOr57u2TebCDg6zA8elw+HSi6PQrf9BlCwsenE2SvGsKDOGr36U5XrXYhf60BIhTxcN&#10;2am+02SL/O7yzpjlMpm8hlXgM3GbrpP018AfPAaA/6ubMAUaw3iMt89GeCL0y/Ncu5ibZTq7usZf&#10;KVPi0VIg08a+B7Q5bWiTBar2RRvzA9fTgBO2LxzjPAu8AW4u4ZHwxh1Orwe8tfmpyvs8NbzB26x5&#10;N9fpizfHdR2u8eZ5kssG3hiXwpHGwXE3cAYHB1f0YQHOawGc5/cEnO94jPgN+S8hbA2nKp4KHzG0&#10;8G+CMe3/jhRPVwLs03UQfpu9gp72Av1xfWYMxtymfwjAeUr3MNiLMqbORKODrgaA+5pDD0pauieB&#10;CGzPcY0/x9MF1w5+UD1fThAIsqbiD4O9etmLHdNeTMJclEEoh1g4vJrBpON5g8F2yuS7HjDeYrDe&#10;jEkgP+cUoshgkvtCZXw1g3m+LD2iK8l3Dgz9gyJMQZv+0Btv3OWeLTTehG0Lt4E3xokxFR7Ccf2B&#10;oUcfGEMPYH3NIN599o///eb3b778z5t//8VyvTrpO4+1vJXl53exEcogXcwmULGEIQnxpNxGIFbb&#10;KlEFTEQfhBSWulpmTeez5S9If6nrZkgmmcGtw4XrK0mk8pOu9KQNWBMTcW2QoI1eMsvTkESe8ySO&#10;IaElqf6sDhXt/oXUvvJpns7C+Gq+F2K1Uka3656lLoifrTjTIhSdTAkRCNAVzkosteEMwfkgnAmI&#10;ZA6CMMVjhwNzDYWWQ1Er3KOng3V3OjnArNJmHwxmso2v9U6IEDM9G2kr4cPzPckaGRGzXReqQ5ES&#10;caj4m13RXhL+hyE5yKMyHiZ8X5oclkHkhv1MfDJFFw7RIaBHXmWxruceVSV6mjW4ImKTl34CVRfZ&#10;VnWRfUUT4QRSmqoL6DRnyLhXZBMmXK/K6oRDGspGvrK3k1ip1+5U1n2yAqYsaUatftvb/8OXMKRE&#10;5P4Z83y/aVqXBYxMPyhi21slOgQWeVTFmaPsCdFZWUw6ECwb3l/aHhjdYLBdelu6DCYLIl97wlay&#10;xZd7dEhwzxeSclA8YhwUmyN2r3pP22aQzYp47TNY97jes2ybeKpOEc0nLSbrLSox4XiKQWmTQaRs&#10;BjwbpbdvzWQDxXr/G1vQKVcgbkVVYkzXADvTfQXVLllJwvMclO5zgWzOyErc90QgGrqSgOgENKt4&#10;jlPd4mmGhP/hE35ut5H54/g2G3J4s8cAPS2qkD2kj9uaPZ9uND0qY2XIDVUXBOUYaHBZI0AItbZq&#10;6qVwywMPwXzgP2hQb2vHbqesnJUS02o0olIs7mVnNFLdwF3RiLKMg6IRBMUiVfElNKkG8S1yT8ot&#10;wadI1tps+Et02pclDlE1CpOMeDUx4ns4+SVC83QxRw89Gr8tN9DdWHhaVT1E9R/Xm4rvvxxyeF/5&#10;YyqMcFYGsCY464pUUYGLqjJbxZV2KLPVims13HHoo/A4hKuquOb5tuoiVsU1V1J9ZKPD6YU7D4UX&#10;c9gBd5+mdIPJDaHl/J56z1HaaqfoXBuml1PkHM5lV6e4DyShEpBIoHwhC8DLtgTBfphkwYBJsvtD&#10;Ve8UfNbaGQ8h88Ir5iEgNNlaOqo8HeiUzQtccVSCjsqtBqHiEQgVvKSGR1Ez0dInTT8BR/MlENWI&#10;rSgWlfXigcz3aaFFGDD9Sr/9AzqV3v33T28//9s3X/3d0mW1XnELidfucau1Y6lGqhzYtcmpkMKV&#10;job5KEFs8zS9ApjEh2wkVaXUvcOEoBXOrzC6Oc5TlUrsX2MMTymPaB0dXR0DLem6pplm8LNedH6o&#10;gFRxpG++/Jpg9q9/vvnr1zXI1SdZCopea14qc8SW5iXqVNmVKrVCjvtwJtSPjwTRl+jHb/B4DPhR&#10;sUSRJjWGsZHF7ydmDkCiGfndJQiGkX3ttTqAtGu3ZRFPqjQQ7sQAiatnf8UB0i/buy3RxETDx6oG&#10;5yKEFR9iWmYwxkPNbxpIGMHawr0PRBJVZ9vm1x/AHxGDyxZmhh0v3j//VNZiO2BVHyVu8U/Ue6V8&#10;UGHxGqyoMK+29YUVdwT3TGmXMd+zm/NEEpVfU4sHTd/WhzXA6v60gbJe/K7BsbQJV1zMSrcuLZ+g&#10;QNMW8IptO8hVrQGvxrHQ5mdjAnSVXPs2enSMnwqEx78VwdQz+kinYDqExv1CI0lGm0IjtsPv9oKc&#10;Kg4exLFqkINWyoMmx6prpQLzrCZEdCzgcaAL27C4ywMEx/cuGPKjtn4jSXNhT9X6h/5OR4enSjui&#10;sRTiTEPrX9/Wv0p6aScv2L7pwa8e7iIMVOQFbYAHkhcmJdrRCvsj01rrS0OhtuhxAj62xZoDH32i&#10;SQMpbq6+1VHuLQtqNUmvfwswpgnMGicceZLQ1bDBD5jF5PZaLa3DXvCia6L/AfbyyzWQMB9vN5/b&#10;wW/vvrpdu70wJLeRsOkhuk7CVtUIW/w2xYQDk87AwVSzitsC8pcRWqvnFaskYKpLx22JOLGluD34&#10;7fvLOrfgitdX4VsXMyo+0JZ7HqrvgwwEWDJNa2QgByjtrCafYItuIZIR8IZM4AHryGVrQwezbMr2&#10;hmeuKaU/bMylcw9EsJhWwFwXFtRroMDBLiYrOPZg+oMKCxOsAHqR5PpqH0v5BtUwE6nWdKwtensp&#10;jG7yJTrbXwl09EsdRbUeF8wJYvZIe5BW+coL4FdMZPIZoxELnWN3qAkrJUJe9fvpP6r38D0ocmor&#10;xj4a3JSy+hpumoJ6m+dIE1pPFMtS0L/6shZYDZHxIqnECp1Oc54QE4Zesd4ABHNKMHeHwK4tn8xM&#10;xb2fCuajdDRk07UUpvdMnPBZtY4rlhSgiAMY1DhsfSYOS3BK3W4Ag3a4ir0nikuPgWO21OMf/xC4&#10;KFXn5iOOLeahbl2QpEpf1kNDtW3XmtkawXBq6YtA+qqJZM30GIYMiIeqVkgsL71XI4lTRQnCU2dX&#10;+EdSYnpWg66+ExTWqnUc5b3q09ubeEsYHbPfJIBnRd2QLmB+s/hxMtErk1OqZzg53saa8o23gWQz&#10;Gq963Ff6WR59o4o4qvaNZXEELWOgxG/0lawtouEiwSlAyIeVIHu0sQkIHWsRo7foxQOsQ2CIBRq7&#10;sdpEI2IMqtehqpc4qqqMvmREdfOEmfablRDvopYN6XIoL+3wJRztMiWJMUd9wjwKxroeyFQX74rB&#10;nvQTpr5yBF83oiKn+S4W+gKV+u9qgqX6/pkX/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lDgAAW0NvbnRlbnRfVHlwZXNdLnhtbFBLAQIUAAoA&#10;AAAAAIdO4kAAAAAAAAAAAAAAAAAGAAAAAAAAAAAAEAAAAAcNAABfcmVscy9QSwECFAAUAAAACACH&#10;TuJAihRmPNEAAACUAQAACwAAAAAAAAABACAAAAArDQAAX3JlbHMvLnJlbHNQSwECFAAKAAAAAACH&#10;TuJAAAAAAAAAAAAAAAAABAAAAAAAAAAAABAAAAAAAAAAZHJzL1BLAQIUABQAAAAIAIdO4kAAnldS&#10;1QAAAAUBAAAPAAAAAAAAAAEAIAAAACIAAABkcnMvZG93bnJldi54bWxQSwECFAAUAAAACACHTuJA&#10;oTXe7bcLAADHZgAADgAAAAAAAAABACAAAAAkAQAAZHJzL2Uyb0RvYy54bWxQSwUGAAAAAAYABgBZ&#10;AQAATQ8AAAAA&#10;">
                        <v:fill on="f" focussize="0,0"/>
                        <v:stroke color="#000000" joinstyle="miter"/>
                        <v:imagedata o:title=""/>
                        <o:lock v:ext="edit" aspectratio="f"/>
                      </v:shape>
                      <v:shape id="文本框 146" o:spid="_x0000_s1026" o:spt="202" type="#_x0000_t202" style="position:absolute;left:1270;top:2000886;height:410845;width:675005;" filled="f" stroked="t" coordsize="21600,21600" o:gfxdata="UEsDBAoAAAAAAIdO4kAAAAAAAAAAAAAAAAAEAAAAZHJzL1BLAwQUAAAACACHTuJAtVEpkNQAAAAF&#10;AQAADwAAAGRycy9kb3ducmV2LnhtbE2PzU7DMBCE70i8g7VI3KidFDUkxOmBwh3SAtdNvE0iYjuK&#10;3R94ehYucFlpNLsz35brsx3FkeYweKchWSgQ5FpvBtdp2G2fbu5AhIjO4OgdafikAOvq8qLEwviT&#10;e6FjHTvBIS4UqKGPcSqkDG1PFsPCT+TY2/vZYmQ5d9LMeOJwO8pUqZW0ODhu6HGih57aj/pgGSN9&#10;3y03zzVlGTbLzePXa75/G7W+vkrUPYhI5/i3DD/4fAMVMzX+4EwQowZ+JP5O9rI8T0A0GlbprQJZ&#10;lfI/ffUNUEsDBBQAAAAIAIdO4kD317RgLgIAAEwEAAAOAAAAZHJzL2Uyb0RvYy54bWytVEuS0zAQ&#10;3VPFHVTaEzshP1xxpooJw4YCqgYO0JFkW1X6ISmJwwHgBqzYzJ5z5Ry05MwMDJssyMJpS0+v+71u&#10;eXXVa0X2wgdpTU3Ho5ISYZjl0rQ1/fzp5sWSkhDBcFDWiJoeRaBX6+fPVgdXiYntrOLCEyQxoTq4&#10;mnYxuqooAuuEhjCyThjcbKzXEPHVtwX3cEB2rYpJWc6Lg/XcectECLi6GTbpmdFfQmibRjKxsWyn&#10;hYkDqxcKIkoKnXSBrnO1TSNY/NA0QUSiaopKY35iEoy36VmsV1C1Hlwn2bkEuKSEJ5o0SINJH6g2&#10;EIHsvPyHSkvmbbBNHDGri0FIdgRVjMsn3tx24ETWglYH92B6+H+07P3+oyeS4yQsXlJiQGPLTz++&#10;n37+Ot19I+PpPFl0cKFC5K1DbOxf2x7h9+sBF5PyvvE6/aMmkvYnC/T4WFPseblcZhqoRB8Jw935&#10;YlaWM0oYAqbjcjmdJbrikcX5EN8Kq0kKauqxkdlf2L8LcYDeQ1JSY2+kUrmZypBDTV/NJokecEAb&#10;HAwMtUORwbSZJlgleTqSDgffbq+VJ3tIQ5J/52r+gqV8GwjdgMtbCQaVllH4HHUC+BvDSTw6tNHg&#10;/aGpGC04JUrgdUtRRkaQ6hIkWqIMOpM6MDidothve6RJ4dbyI3YFLzTa1Fn/FTPiOKPULzvwmB8M&#10;w+WaogdDeB2H+d85L9sOT+VW5gw4ZLkL5wuRpvjP91zH40dg/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1USmQ1AAAAAUBAAAPAAAAAAAAAAEAIAAAACIAAABkcnMvZG93bnJldi54bWxQSwECFAAU&#10;AAAACACHTuJA99e0YC4CAABMBAAADgAAAAAAAAABACAAAAAjAQAAZHJzL2Uyb0RvYy54bWxQSwUG&#10;AAAAAAYABgBZAQAAwwUAAAAA&#10;">
                        <v:fill on="f" focussize="0,0"/>
                        <v:stroke color="#000000" joinstyle="miter"/>
                        <v:imagedata o:title=""/>
                        <o:lock v:ext="edit" aspectratio="f"/>
                        <v:textbox>
                          <w:txbxContent>
                            <w:p w14:paraId="2BB0FFEF">
                              <w:pPr>
                                <w:spacing w:line="240" w:lineRule="exact"/>
                                <w:jc w:val="center"/>
                                <w:rPr>
                                  <w:rFonts w:hint="eastAsia"/>
                                </w:rPr>
                              </w:pPr>
                              <w:r>
                                <w:rPr>
                                  <w:rFonts w:hint="eastAsia"/>
                                </w:rPr>
                                <w:t>新鲜水</w:t>
                              </w:r>
                            </w:p>
                            <w:p w14:paraId="31D263B3">
                              <w:pPr>
                                <w:spacing w:line="240" w:lineRule="exact"/>
                                <w:jc w:val="center"/>
                                <w:rPr>
                                  <w:rFonts w:hint="default" w:eastAsia="宋体"/>
                                  <w:lang w:val="en-US" w:eastAsia="zh-CN"/>
                                </w:rPr>
                              </w:pPr>
                              <w:r>
                                <w:rPr>
                                  <w:rFonts w:hint="eastAsia"/>
                                  <w:lang w:val="en-US" w:eastAsia="zh-CN"/>
                                </w:rPr>
                                <w:t>29.627</w:t>
                              </w:r>
                            </w:p>
                          </w:txbxContent>
                        </v:textbox>
                      </v:shape>
                      <v:shape id="文本框 149" o:spid="_x0000_s1026" o:spt="202" type="#_x0000_t202" style="position:absolute;left:1178560;top:307340;height:242570;width:750570;" filled="f" stroked="t" coordsize="21600,21600" o:gfxdata="UEsDBAoAAAAAAIdO4kAAAAAAAAAAAAAAAAAEAAAAZHJzL1BLAwQUAAAACACHTuJAtVEpkNQAAAAF&#10;AQAADwAAAGRycy9kb3ducmV2LnhtbE2PzU7DMBCE70i8g7VI3KidFDUkxOmBwh3SAtdNvE0iYjuK&#10;3R94ehYucFlpNLsz35brsx3FkeYweKchWSgQ5FpvBtdp2G2fbu5AhIjO4OgdafikAOvq8qLEwviT&#10;e6FjHTvBIS4UqKGPcSqkDG1PFsPCT+TY2/vZYmQ5d9LMeOJwO8pUqZW0ODhu6HGih57aj/pgGSN9&#10;3y03zzVlGTbLzePXa75/G7W+vkrUPYhI5/i3DD/4fAMVMzX+4EwQowZ+JP5O9rI8T0A0GlbprQJZ&#10;lfI/ffUNUEsDBBQAAAAIAIdO4kA7NIawMAIAAE4EAAAOAAAAZHJzL2Uyb0RvYy54bWytVM1y0zAQ&#10;vjPDO2h0J07SpGkzdTpDQ7kwwEzhARRZtjWjPyQldngAeANOXHrnufIcfJLTFsolB3Jw1tpP3+5+&#10;u+ur614rshM+SGtKOhmNKRGG20qapqSfP92+uqAkRGYqpqwRJd2LQK9XL19cdW4ppra1qhKegMSE&#10;ZedK2sbolkUReCs0CyPrhIGztl6ziFffFJVnHdi1Kqbj8XnRWV85b7kIAafrwUmPjP4UQlvXkou1&#10;5VstTBxYvVAsoqTQShfoKmdb14LHD3UdRCSqpKg05ieCwN6kZ7G6YsvGM9dKfkyBnZLCs5o0kwZB&#10;H6nWLDKy9fIfKi25t8HWccStLoZCsiKoYjJ+ps1dy5zItUDq4B5FD/+Plr/fffREVpiExYwSwzRa&#10;fvjx/fDz1+H+G5nMLpNEnQtLIO8csLF/bXvAH84DDlPlfe11+kdNJPkni4v5OWTel/RsvDibHbUW&#10;fSQc/sV8PF/AzeGfzqbJRqDiicf5EN8Kq0kySurRyqww270LcYA+QFJYY2+lUrmdypCupJfz6Rz0&#10;DCNaYzRgaocyg2kyTbBKVulKuhx8s7lRnuxYGpP8O2bzFyzFW7PQDrjsSjC21DIKn61WsOqNqUjc&#10;OwhpsEE0JaNFRYkSWLhkZWRkUp2ChCTKQJnUg0HrZMV+04MmmRtb7dEXrDRkaq3/iogYaJT6Zcs8&#10;4jPDcVxSaDCYN3HYgK3zsmlxKzczR8CY5S4cVyLN8Z/vOY+nz8D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VRKZDUAAAABQEAAA8AAAAAAAAAAQAgAAAAIgAAAGRycy9kb3ducmV2LnhtbFBLAQIU&#10;ABQAAAAIAIdO4kA7NIawMAIAAE4EAAAOAAAAAAAAAAEAIAAAACMBAABkcnMvZTJvRG9jLnhtbFBL&#10;BQYAAAAABgAGAFkBAADFBQAAAAA=&#10;">
                        <v:fill on="f" focussize="0,0"/>
                        <v:stroke color="#000000" joinstyle="miter"/>
                        <v:imagedata o:title=""/>
                        <o:lock v:ext="edit" aspectratio="f"/>
                        <v:textbox>
                          <w:txbxContent>
                            <w:p w14:paraId="76424BE1">
                              <w:pPr>
                                <w:spacing w:line="240" w:lineRule="exact"/>
                                <w:jc w:val="center"/>
                                <w:rPr>
                                  <w:rFonts w:hint="eastAsia" w:eastAsia="宋体"/>
                                  <w:lang w:val="en-US" w:eastAsia="zh-CN"/>
                                </w:rPr>
                              </w:pPr>
                              <w:r>
                                <w:rPr>
                                  <w:rFonts w:hint="eastAsia"/>
                                  <w:lang w:val="en-US" w:eastAsia="zh-CN"/>
                                </w:rPr>
                                <w:t>生活</w:t>
                              </w:r>
                              <w:r>
                                <w:rPr>
                                  <w:rFonts w:hint="eastAsia"/>
                                </w:rPr>
                                <w:t>用水</w:t>
                              </w:r>
                            </w:p>
                          </w:txbxContent>
                        </v:textbox>
                      </v:shape>
                      <v:shape id="文本框 154" o:spid="_x0000_s1026" o:spt="202" type="#_x0000_t202" style="position:absolute;left:1455420;top:669290;height:258445;width:1293495;" filled="f" stroked="t" coordsize="21600,21600" o:gfxdata="UEsDBAoAAAAAAIdO4kAAAAAAAAAAAAAAAAAEAAAAZHJzL1BLAwQUAAAACACHTuJAtVEpkNQAAAAF&#10;AQAADwAAAGRycy9kb3ducmV2LnhtbE2PzU7DMBCE70i8g7VI3KidFDUkxOmBwh3SAtdNvE0iYjuK&#10;3R94ehYucFlpNLsz35brsx3FkeYweKchWSgQ5FpvBtdp2G2fbu5AhIjO4OgdafikAOvq8qLEwviT&#10;e6FjHTvBIS4UqKGPcSqkDG1PFsPCT+TY2/vZYmQ5d9LMeOJwO8pUqZW0ODhu6HGih57aj/pgGSN9&#10;3y03zzVlGTbLzePXa75/G7W+vkrUPYhI5/i3DD/4fAMVMzX+4EwQowZ+JP5O9rI8T0A0GlbprQJZ&#10;lfI/ffUNUEsDBBQAAAAIAIdO4kCsgIiLMAIAAE8EAAAOAAAAZHJzL2Uyb0RvYy54bWytVM2O0zAQ&#10;viPxDpbvNG1Ilm3UdCW2LBcESAsPMHWcxJL/sN0m5QHgDThx2TvP1edg7HR3Ybn0QA/pxPP5m5lv&#10;ZrK6GpUke+68MLqmi9mcEq6ZaYTuavr5082LS0p8AN2ANJrX9MA9vVo/f7YabMVz0xvZcEeQRPtq&#10;sDXtQ7BVlnnWcwV+ZizX6GyNUxDw1XVZ42BAdiWzfD6/yAbjGusM497j6WZy0hOjO4fQtK1gfGPY&#10;TnEdJlbHJQQsyffCerpO2bYtZ+FD23oeiKwpVhrSE4OgvY3PbL2CqnNge8FOKcA5KTypSYHQGPSB&#10;agMByM6Jf6iUYM5404YZMyqbCkmKYBWL+RNtbnuwPNWCUnv7ILr/f7Ts/f6jI6LBSXhVUqJBYcuP&#10;P74ff/463n0ji7KIEg3WV4i8tYgN42szIvz+3ONhrHxsnYr/WBOJ/qIsixxlPtT04mKZL09a8zEQ&#10;Fv358mWxxJAMAXl5WRRlZMweiazz4S03ikSjpg57mSSG/TsfJug9JMbV5kZImfopNRlquizzSA84&#10;oy3OBprKYp1ed4nGGymaeCVe9q7bXktH9hDnJP1O2fwFi/E24PsJl1wRBpUSgbtk9RyaN7oh4WBR&#10;SY0rRGMyijeUSI4bF62EDCDkOUiURGpUJjZhEjtaYdyOSBPNrWkO2BjcaZSpN+4rRsSJxlK/7MBh&#10;fNAMj2uKGkzmdZhWYGed6Hq8lbqZIuCcpS6cdiIO8p/vKY/H78D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VRKZDUAAAABQEAAA8AAAAAAAAAAQAgAAAAIgAAAGRycy9kb3ducmV2LnhtbFBLAQIU&#10;ABQAAAAIAIdO4kCsgIiLMAIAAE8EAAAOAAAAAAAAAAEAIAAAACMBAABkcnMvZTJvRG9jLnhtbFBL&#10;BQYAAAAABgAGAFkBAADFBQAAAAA=&#10;">
                        <v:fill on="f" focussize="0,0"/>
                        <v:stroke color="#000000" joinstyle="miter"/>
                        <v:imagedata o:title=""/>
                        <o:lock v:ext="edit" aspectratio="f"/>
                        <v:textbox>
                          <w:txbxContent>
                            <w:p w14:paraId="6C6D8C98">
                              <w:pPr>
                                <w:spacing w:line="240" w:lineRule="exact"/>
                                <w:jc w:val="center"/>
                                <w:rPr>
                                  <w:rFonts w:hint="default"/>
                                  <w:lang w:val="en-US"/>
                                </w:rPr>
                              </w:pPr>
                              <w:r>
                                <w:rPr>
                                  <w:rFonts w:hint="eastAsia"/>
                                  <w:lang w:val="en-US" w:eastAsia="zh-CN"/>
                                </w:rPr>
                                <w:t>乳化沥青生产用水</w:t>
                              </w:r>
                            </w:p>
                          </w:txbxContent>
                        </v:textbox>
                      </v:shape>
                      <v:shape id="文本框 167" o:spid="_x0000_s1026" o:spt="202" type="#_x0000_t202" style="position:absolute;left:746125;top:233045;height:231140;width:370840;" filled="f" stroked="f" coordsize="21600,21600" o:gfxdata="UEsDBAoAAAAAAIdO4kAAAAAAAAAAAAAAAAAEAAAAZHJzL1BLAwQUAAAACACHTuJAcDO949MAAAAF&#10;AQAADwAAAGRycy9kb3ducmV2LnhtbE2PwU7DMBBE70j8g7VI3KidqhQS4vQA4gqiBSRu23ibRMTr&#10;KHab8PcsXOCy0mhGM2/Lzex7daIxdoEtZAsDirgOruPGwuvu8eoWVEzIDvvAZOGLImyq87MSCxcm&#10;fqHTNjVKSjgWaKFNaSi0jnVLHuMiDMTiHcLoMYkcG+1GnKTc93ppzFp77FgWWhzovqX6c3v0Ft6e&#10;Dh/vK/PcPPjrYQqz0exzbe3lRWbuQCWa018YfvAFHSph2ocju6h6C/JI+r3i3eR5BmpvYb1cGdBV&#10;qf/TV99QSwMEFAAAAAgAh07iQCziVbTXAQAAjgMAAA4AAABkcnMvZTJvRG9jLnhtbK1TzY7TMBC+&#10;I/EOlu80SdttV1HTlaBaLgiQFh7AdZzGUvzDjNukPAC8AScu3HmuPseOnXYXlsseuDjjmck3830z&#10;Xt0MpmMHBaidrXgxyTlTVrpa213FP3+6fXXNGQZha9E5qyp+VMhv1i9frHpfqqlrXVcrYARisex9&#10;xdsQfJllKFtlBE6cV5aCjQMjAl1hl9UgekI3XTbN80XWO6g9OKkQybsZg/yMCM8BdE2jpdo4uTfK&#10;hhEVVCcCUcJWe+Tr1G3TKBk+NA2qwLqKE9OQTipC9jae2Xolyh0I32p5bkE8p4UnnIzQloo+QG1E&#10;EGwP+h8ooyU4dE2YSGeykUhShFgU+RNt7lrhVeJCUqN/EB3/H6x8f/gITNe0CcsFZ1YYGvnpx/fT&#10;z9+nX99YsVhGiXqPJWXeecoNw2s3UPrFj+SMzIcGTPwSJ0bx5XxRTK84O1Z8Opvl86tRajUEJik8&#10;W+bXcxqCTPGiIJvqZI8wHjC8Vc6waFQcaJJJYHF4h2FMvaTEqtbd6q5L0+zsXw7CjJ4schh7jVYY&#10;tsOZ2NbVR+JFT4LqtA6+ctbTQlQcv+wFKM6EleSueLiYb8K4QXsPetfSX0mMVIHGlGicVyruwZ/3&#10;1MfjM1rf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AzvePTAAAABQEAAA8AAAAAAAAAAQAgAAAA&#10;IgAAAGRycy9kb3ducmV2LnhtbFBLAQIUABQAAAAIAIdO4kAs4lW01wEAAI4DAAAOAAAAAAAAAAEA&#10;IAAAACIBAABkcnMvZTJvRG9jLnhtbFBLBQYAAAAABgAGAFkBAABrBQAAAAA=&#10;">
                        <v:fill on="f" focussize="0,0"/>
                        <v:stroke on="f"/>
                        <v:imagedata o:title=""/>
                        <o:lock v:ext="edit" aspectratio="f"/>
                        <v:textbox>
                          <w:txbxContent>
                            <w:p w14:paraId="7FE4D802">
                              <w:pPr>
                                <w:spacing w:line="240" w:lineRule="exact"/>
                                <w:jc w:val="center"/>
                                <w:rPr>
                                  <w:rFonts w:hint="default" w:eastAsia="宋体"/>
                                  <w:lang w:val="en-US" w:eastAsia="zh-CN"/>
                                </w:rPr>
                              </w:pPr>
                              <w:r>
                                <w:rPr>
                                  <w:rFonts w:hint="eastAsia"/>
                                  <w:lang w:val="en-US" w:eastAsia="zh-CN"/>
                                </w:rPr>
                                <w:t>4.8</w:t>
                              </w:r>
                            </w:p>
                          </w:txbxContent>
                        </v:textbox>
                      </v:shape>
                      <v:shape id="文本框 168" o:spid="_x0000_s1026" o:spt="202" type="#_x0000_t202" style="position:absolute;left:1275715;top:21590;height:231140;width:810895;" filled="f" stroked="f" coordsize="21600,21600" o:gfxdata="UEsDBAoAAAAAAIdO4kAAAAAAAAAAAAAAAAAEAAAAZHJzL1BLAwQUAAAACACHTuJAcDO949MAAAAF&#10;AQAADwAAAGRycy9kb3ducmV2LnhtbE2PwU7DMBBE70j8g7VI3KidqhQS4vQA4gqiBSRu23ibRMTr&#10;KHab8PcsXOCy0mhGM2/Lzex7daIxdoEtZAsDirgOruPGwuvu8eoWVEzIDvvAZOGLImyq87MSCxcm&#10;fqHTNjVKSjgWaKFNaSi0jnVLHuMiDMTiHcLoMYkcG+1GnKTc93ppzFp77FgWWhzovqX6c3v0Ft6e&#10;Dh/vK/PcPPjrYQqz0exzbe3lRWbuQCWa018YfvAFHSph2ocju6h6C/JI+r3i3eR5BmpvYb1cGdBV&#10;qf/TV99QSwMEFAAAAAgAh07iQF/xtkrXAQAAjgMAAA4AAABkcnMvZTJvRG9jLnhtbK1TwY7TMBC9&#10;I/EPlu80SaHbbtV0JaiWCwKkhQ9wHaexFHvM2G1SPgD+gBMX7vtd/Q7GTrrL7l72wMUZz0zezHsz&#10;Xl31pmUHhV6DLXkxyTlTVkKl7a7kX79cv1pw5oOwlWjBqpIfledX65cvVp1bqik00FYKGYFYv+xc&#10;yZsQ3DLLvGyUEX4CTlkK1oBGBLriLqtQdIRu2mya5xdZB1g5BKm8J+9mCPIREZ8DCHWtpdqA3Btl&#10;w4CKqhWBKPlGO8/Xqdu6VjJ8qmuvAmtLTkxDOqkI2dt4ZuuVWO5QuEbLsQXxnBYecTJCWyp6B7UR&#10;QbA96idQRksED3WYSDDZQCQpQiyK/JE2N41wKnEhqb27E93/P1j58fAZma5oE+ZzzqwwNPLTr5+n&#10;37enPz9YcbGIEnXOLynzxlFu6N9CT+lnvydnZN7XaOKXOLEYn85n82LG2bHk02J2OUqt+sAkhRdF&#10;vrikqIzh10XxJsWzexiHPrxXYFg0So40ySSwOHzwgVqi1HNKrGrhWrdtmmZrHzgoMXqyyGHoNVqh&#10;3/YjsS1UR+JFT4LqNIDfOetoIUruv+0FKs6EleQueTib78KwQXuHetfQX0mMVIHGlHobVyruwb/3&#10;1Mf9M1r/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AzvePTAAAABQEAAA8AAAAAAAAAAQAgAAAA&#10;IgAAAGRycy9kb3ducmV2LnhtbFBLAQIUABQAAAAIAIdO4kBf8bZK1wEAAI4DAAAOAAAAAAAAAAEA&#10;IAAAACIBAABkcnMvZTJvRG9jLnhtbFBLBQYAAAAABgAGAFkBAABrBQAAAAA=&#10;">
                        <v:fill on="f" focussize="0,0"/>
                        <v:stroke on="f"/>
                        <v:imagedata o:title=""/>
                        <o:lock v:ext="edit" aspectratio="f"/>
                        <v:textbox>
                          <w:txbxContent>
                            <w:p w14:paraId="19963959">
                              <w:pPr>
                                <w:spacing w:line="240" w:lineRule="exact"/>
                                <w:jc w:val="center"/>
                                <w:rPr>
                                  <w:rFonts w:hint="default" w:eastAsia="宋体"/>
                                  <w:lang w:val="en-US" w:eastAsia="zh-CN"/>
                                </w:rPr>
                              </w:pPr>
                              <w:r>
                                <w:rPr>
                                  <w:rFonts w:hint="eastAsia"/>
                                </w:rPr>
                                <w:t>损耗</w:t>
                              </w:r>
                              <w:r>
                                <w:rPr>
                                  <w:rFonts w:hint="eastAsia"/>
                                  <w:lang w:val="en-US" w:eastAsia="zh-CN"/>
                                </w:rPr>
                                <w:t>0.72</w:t>
                              </w:r>
                            </w:p>
                          </w:txbxContent>
                        </v:textbox>
                      </v:shape>
                      <v:shape id="文本框 181" o:spid="_x0000_s1026" o:spt="202" type="#_x0000_t202" style="position:absolute;left:806450;top:604520;height:231140;width:488315;" filled="f" stroked="f" coordsize="21600,21600" o:gfxdata="UEsDBAoAAAAAAIdO4kAAAAAAAAAAAAAAAAAEAAAAZHJzL1BLAwQUAAAACACHTuJAcDO949MAAAAF&#10;AQAADwAAAGRycy9kb3ducmV2LnhtbE2PwU7DMBBE70j8g7VI3KidqhQS4vQA4gqiBSRu23ibRMTr&#10;KHab8PcsXOCy0mhGM2/Lzex7daIxdoEtZAsDirgOruPGwuvu8eoWVEzIDvvAZOGLImyq87MSCxcm&#10;fqHTNjVKSjgWaKFNaSi0jnVLHuMiDMTiHcLoMYkcG+1GnKTc93ppzFp77FgWWhzovqX6c3v0Ft6e&#10;Dh/vK/PcPPjrYQqz0exzbe3lRWbuQCWa018YfvAFHSph2ocju6h6C/JI+r3i3eR5BmpvYb1cGdBV&#10;qf/TV99QSwMEFAAAAAgAh07iQGVBES7XAQAAjgMAAA4AAABkcnMvZTJvRG9jLnhtbK1TwY7TMBC9&#10;I/EPlu/USbetoqjpSlAtFwRICx/gOk5jKfYY221SPgD+gBMX7nxXv2PHTrrL7l72wMUZz0zezHsz&#10;Xl8PuiNH6bwCU9F8llEijYBamX1Fv365eVNQ4gM3Ne/AyIqepKfXm9ev1r0t5Rxa6GrpCIIYX/a2&#10;om0ItmTMi1Zq7mdgpcFgA07zgFe3Z7XjPaLrjs2zbMV6cLV1IKT36N2OQTohupcAQtMoIbcgDlqa&#10;MKI62fGAlHyrrKeb1G3TSBE+NY2XgXQVRaYhnVgE7V082WbNy73jtlViaoG/pIUnnDRXBoveQ215&#10;4OTg1DMorYQDD02YCdBsJJIUQRZ59kSb25Zbmbig1N7ei+7/H6z4ePzsiKpxEwrUxHCNIz//+nn+&#10;/ff85wfJizxK1FtfYuatxdwwvIUB0y9+j87IfGicjl/kRDBeZKvFEhFPFV1li+V8kloOgQgML4ri&#10;Kl9SIjA+v8rzRYqzBxjrfHgvQZNoVNThJJPA/PjBB2wJUy8psaqBG9V1aZqdeeTAxOhhkcPYa7TC&#10;sBsmYjuoT8gLnwTWacF9p6THhaio/3bgTlLCjUB3RcPFfBfGDTpYp/Yt/pXESBVwTKm3aaXiHvx7&#10;T308PKPN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AzvePTAAAABQEAAA8AAAAAAAAAAQAgAAAA&#10;IgAAAGRycy9kb3ducmV2LnhtbFBLAQIUABQAAAAIAIdO4kBlQREu1wEAAI4DAAAOAAAAAAAAAAEA&#10;IAAAACIBAABkcnMvZTJvRG9jLnhtbFBLBQYAAAAABgAGAFkBAABrBQAAAAA=&#10;">
                        <v:fill on="f" focussize="0,0"/>
                        <v:stroke on="f"/>
                        <v:imagedata o:title=""/>
                        <o:lock v:ext="edit" aspectratio="f"/>
                        <v:textbox>
                          <w:txbxContent>
                            <w:p w14:paraId="653D0C31">
                              <w:pPr>
                                <w:spacing w:line="240" w:lineRule="exact"/>
                                <w:jc w:val="center"/>
                                <w:rPr>
                                  <w:rFonts w:hint="default" w:eastAsia="宋体"/>
                                  <w:lang w:val="en-US" w:eastAsia="zh-CN"/>
                                </w:rPr>
                              </w:pPr>
                              <w:r>
                                <w:rPr>
                                  <w:rFonts w:hint="eastAsia"/>
                                  <w:lang w:val="en-US" w:eastAsia="zh-CN"/>
                                </w:rPr>
                                <w:t>8.182</w:t>
                              </w:r>
                            </w:p>
                          </w:txbxContent>
                        </v:textbox>
                      </v:shape>
                      <v:shape id="_x0000_s1026" o:spid="_x0000_s1026" o:spt="202" type="#_x0000_t202" style="position:absolute;left:1945005;top:231140;height:231140;width:494665;" filled="f" stroked="f" coordsize="21600,21600" o:gfxdata="UEsDBAoAAAAAAIdO4kAAAAAAAAAAAAAAAAAEAAAAZHJzL1BLAwQUAAAACACHTuJAcDO949MAAAAF&#10;AQAADwAAAGRycy9kb3ducmV2LnhtbE2PwU7DMBBE70j8g7VI3KidqhQS4vQA4gqiBSRu23ibRMTr&#10;KHab8PcsXOCy0mhGM2/Lzex7daIxdoEtZAsDirgOruPGwuvu8eoWVEzIDvvAZOGLImyq87MSCxcm&#10;fqHTNjVKSjgWaKFNaSi0jnVLHuMiDMTiHcLoMYkcG+1GnKTc93ppzFp77FgWWhzovqX6c3v0Ft6e&#10;Dh/vK/PcPPjrYQqz0exzbe3lRWbuQCWa018YfvAFHSph2ocju6h6C/JI+r3i3eR5BmpvYb1cGdBV&#10;qf/TV99QSwMEFAAAAAgAh07iQJT2D2PSAQAAjwMAAA4AAABkcnMvZTJvRG9jLnhtbK1TwY7TMBC9&#10;I/EPlu80SelWu1HTlaBaLgiQFj7AdZzGUuwxHrdJ+QD4A05cuPNd/Y4dO+kuu1z2wMUZz0zezHsz&#10;Xl0PpmMH5VGDrXgxyzlTVkKt7a7iXz7fvLrkDIOwtejAqoofFfLr9csXq96Vag4tdLXyjEAslr2r&#10;eBuCK7MMZauMwBk4ZSnYgDci0NXvstqLntBNl83zfJn14GvnQSpE8m7GIJ8Q/XMAoWm0VBuQe6Ns&#10;GFG96kQgSthqh3ydum0aJcPHpkEVWFdxYhrSSUXI3sYzW69EufPCtVpOLYjntPCEkxHaUtF7qI0I&#10;gu29/gfKaOkBoQkzCSYbiSRFiEWRP9HmthVOJS4kNbp70fH/wcoPh0+e6Zo24bLgzApDIz/9/HH6&#10;9ef0+zuLTpKod1hS5q2j3DC8gYHSz34kZ2Q+NN7EL3FiMX61uMjzC86OFZ+/LorFpLUaApMUX1wt&#10;lksKy0fx7AHHeQzvFBgWjYp7GmVSWBzeY6CeKPWcEstauNFdl8bZ2UcOSoyeLJIYm41WGLbDxGwL&#10;9ZGI0ZugOi34b5z1tBEVx6974RVnwkpyVzyczbdhXKG983rX0l9JjVSB5pR6m3YqLsLf99THwzta&#10;3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wM73j0wAAAAUBAAAPAAAAAAAAAAEAIAAAACIAAABk&#10;cnMvZG93bnJldi54bWxQSwECFAAUAAAACACHTuJAlPYPY9IBAACPAwAADgAAAAAAAAABACAAAAAi&#10;AQAAZHJzL2Uyb0RvYy54bWxQSwUGAAAAAAYABgBZAQAAZgUAAAAA&#10;">
                        <v:fill on="f" focussize="0,0"/>
                        <v:stroke on="f"/>
                        <v:imagedata o:title=""/>
                        <o:lock v:ext="edit" aspectratio="f"/>
                        <v:textbox>
                          <w:txbxContent>
                            <w:p w14:paraId="4A39052F">
                              <w:pPr>
                                <w:spacing w:line="240" w:lineRule="exact"/>
                                <w:jc w:val="center"/>
                                <w:rPr>
                                  <w:rFonts w:hint="default" w:eastAsia="宋体"/>
                                  <w:lang w:val="en-US" w:eastAsia="zh-CN"/>
                                </w:rPr>
                              </w:pPr>
                              <w:r>
                                <w:rPr>
                                  <w:rFonts w:hint="eastAsia"/>
                                  <w:lang w:val="en-US" w:eastAsia="zh-CN"/>
                                </w:rPr>
                                <w:t>4.08</w:t>
                              </w:r>
                            </w:p>
                          </w:txbxContent>
                        </v:textbox>
                      </v:shape>
                      <v:shape id="文本框 154" o:spid="_x0000_s1026" o:spt="202" type="#_x0000_t202" style="position:absolute;left:3952240;top:292735;height:259715;width:467995;" filled="f" stroked="t" coordsize="21600,21600" o:gfxdata="UEsDBAoAAAAAAIdO4kAAAAAAAAAAAAAAAAAEAAAAZHJzL1BLAwQUAAAACACHTuJAtVEpkNQAAAAF&#10;AQAADwAAAGRycy9kb3ducmV2LnhtbE2PzU7DMBCE70i8g7VI3KidFDUkxOmBwh3SAtdNvE0iYjuK&#10;3R94ehYucFlpNLsz35brsx3FkeYweKchWSgQ5FpvBtdp2G2fbu5AhIjO4OgdafikAOvq8qLEwviT&#10;e6FjHTvBIS4UqKGPcSqkDG1PFsPCT+TY2/vZYmQ5d9LMeOJwO8pUqZW0ODhu6HGih57aj/pgGSN9&#10;3y03zzVlGTbLzePXa75/G7W+vkrUPYhI5/i3DD/4fAMVMzX+4EwQowZ+JP5O9rI8T0A0GlbprQJZ&#10;lfI/ffUNUEsDBBQAAAAIAIdO4kBrLd8QMgIAAE4EAAAOAAAAZHJzL2Uyb0RvYy54bWytVEtyEzEQ&#10;3VPFHVTa47Endhy7PE4VMWFDAVWBA8gajUdV+iHJ9pgDwA1Yscmec/kcPGmcBMLGC7wY96hbr/u9&#10;7p7FdacV2QkfpDUVHQ2GlAjDbS3NpqKfP92+uqIkRGZqpqwRFT2IQK+XL18s9m4uSttaVQtPAGLC&#10;fO8q2sbo5kUReCs0CwPrhIGzsV6ziFe/KWrP9kDXqiiHw8tib33tvOUiBJyueic9IfpzAG3TSC5W&#10;lm+1MLFH9UKxCEqhlS7QZa62aQSPH5omiEhURcE05ieSwF6nZ7FcsPnGM9dKfiqBnVPCM06aSYOk&#10;j1ArFhnZevkPlJbc22CbOOBWFz2RrAhYjIbPtLlrmROZC6QO7lH08P9g+fvdR09kjUm4KikxTKPl&#10;xx/fjz9/He+/kdFknCTauzBH5J1DbOxe2w7hD+cBh4l513id/sGJwH8xm5TlGDIfKlrOyunFpNda&#10;dJFw+MeX09lsQglP/slsOsr+4gnH+RDfCqtJMirq0cqsMNu9CxE1IfQhJKU19lYqldupDNlXFPkT&#10;PMOINhgNmNqBZjCbDBOsknW6ki4Hv1nfKE92LI1J/qVqkeKvsJRvxULbx2VXT0rLKHzO3QpWvzE1&#10;iQcHIQ02iKZitKgpUQILl6wcGZlU50SiCGVQS+pBr3WyYrfuAJPMta0P6AtWGjK11n9FRgw0qH7Z&#10;Mo/8zHAcVxQa9OZN7Ddg67zctLiVm5kzYMwy79NKpDn+8z3X8fQZWP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VEpkNQAAAAFAQAADwAAAAAAAAABACAAAAAiAAAAZHJzL2Rvd25yZXYueG1sUEsB&#10;AhQAFAAAAAgAh07iQGst3xAyAgAATgQAAA4AAAAAAAAAAQAgAAAAIwEAAGRycy9lMm9Eb2MueG1s&#10;UEsFBgAAAAAGAAYAWQEAAMcFAAAAAA==&#10;">
                        <v:fill on="f" focussize="0,0"/>
                        <v:stroke color="#000000" joinstyle="miter"/>
                        <v:imagedata o:title=""/>
                        <o:lock v:ext="edit" aspectratio="f"/>
                        <v:textbox>
                          <w:txbxContent>
                            <w:p w14:paraId="5EA39220">
                              <w:pPr>
                                <w:spacing w:line="240" w:lineRule="exact"/>
                                <w:jc w:val="center"/>
                                <w:rPr>
                                  <w:rFonts w:hint="default" w:eastAsia="宋体"/>
                                  <w:lang w:val="en-US" w:eastAsia="zh-CN"/>
                                </w:rPr>
                              </w:pPr>
                              <w:r>
                                <w:rPr>
                                  <w:rFonts w:hint="eastAsia"/>
                                  <w:lang w:val="en-US" w:eastAsia="zh-CN"/>
                                </w:rPr>
                                <w:t>农肥</w:t>
                              </w:r>
                            </w:p>
                          </w:txbxContent>
                        </v:textbox>
                      </v:shape>
                      <v:shape id="文本框 154" o:spid="_x0000_s1026" o:spt="202" type="#_x0000_t202" style="position:absolute;left:2526030;top:300355;height:245745;width:1208405;" filled="f" stroked="t" coordsize="21600,21600" o:gfxdata="UEsDBAoAAAAAAIdO4kAAAAAAAAAAAAAAAAAEAAAAZHJzL1BLAwQUAAAACACHTuJAtVEpkNQAAAAF&#10;AQAADwAAAGRycy9kb3ducmV2LnhtbE2PzU7DMBCE70i8g7VI3KidFDUkxOmBwh3SAtdNvE0iYjuK&#10;3R94ehYucFlpNLsz35brsx3FkeYweKchWSgQ5FpvBtdp2G2fbu5AhIjO4OgdafikAOvq8qLEwviT&#10;e6FjHTvBIS4UqKGPcSqkDG1PFsPCT+TY2/vZYmQ5d9LMeOJwO8pUqZW0ODhu6HGih57aj/pgGSN9&#10;3y03zzVlGTbLzePXa75/G7W+vkrUPYhI5/i3DD/4fAMVMzX+4EwQowZ+JP5O9rI8T0A0GlbprQJZ&#10;lfI/ffUNUEsDBBQAAAAIAIdO4kAQKbYOMgIAAE8EAAAOAAAAZHJzL2Uyb0RvYy54bWytVEuS0zAU&#10;3FPFHVTaEztOPAypcaaKCcOGAqoGDqDIcqwq/ZCUxOEAcANWbGbPuXIOWvJ8YNhkQRbOs9Tq97rf&#10;ky8uB63ITvggrWnodFJSIgy3rTSbhn7+dP3inJIQmWmZskY09CACvVw+f3axdwtR2d6qVngCEhMW&#10;e9fQPka3KIrAe6FZmFgnDDY76zWLePWbovVsD3atiqosz4q99a3zlosQsLoaN+kdoz+F0Had5GJl&#10;+VYLE0dWLxSLkBR66QJd5mq7TvD4oeuCiEQ1FEpjfiIJ4nV6FssLtth45nrJ70pgp5TwRJNm0iDp&#10;A9WKRUa2Xv5DpSX3NtguTrjVxSgkOwIV0/KJNzc9cyJrgdXBPZge/h8tf7/76IlsMQnnM0oM02j5&#10;8cf3489fx9tvZFrPk0V7FxZA3jhg4/DaDoDfrwcsJuVD53X6hyaC/aquzsoZbD40dFaWs7oevRZD&#10;JDydr8rzeVlTwgGo5vXLeQYUj0TOh/hWWE1S0FCPXmaL2e5diCgK0HtIymvstVQq91MZsm/oq7pK&#10;9Awz2mE2EGoHncFsMk2wSrbpSDoc/GZ9pTzZsTQn+ZfKRYq/YCnfioV+xOWtUZWWUficuxesfWNa&#10;Eg8OThpcIZqK0aKlRAncuBRlZGRSnYJEEcqgltSE0ewUxWE9gCaFa9se0BjcadjUW/8VGTHRkPpl&#10;yzzyM8Ox3FB4MIZXcbwCW+flpsep3M2cAXOWdd/diTTIf77nOh6/A8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VEpkNQAAAAFAQAADwAAAAAAAAABACAAAAAiAAAAZHJzL2Rvd25yZXYueG1sUEsB&#10;AhQAFAAAAAgAh07iQBAptg4yAgAATwQAAA4AAAAAAAAAAQAgAAAAIwEAAGRycy9lMm9Eb2MueG1s&#10;UEsFBgAAAAAGAAYAWQEAAMcFAAAAAA==&#10;">
                        <v:fill on="f" focussize="0,0"/>
                        <v:stroke color="#000000" joinstyle="miter"/>
                        <v:imagedata o:title=""/>
                        <o:lock v:ext="edit" aspectratio="f"/>
                        <v:textbox>
                          <w:txbxContent>
                            <w:p w14:paraId="090901A4">
                              <w:pPr>
                                <w:spacing w:line="240" w:lineRule="exact"/>
                                <w:jc w:val="center"/>
                                <w:rPr>
                                  <w:rFonts w:hint="default"/>
                                  <w:lang w:val="en-US" w:eastAsia="zh-CN"/>
                                </w:rPr>
                              </w:pPr>
                              <w:r>
                                <w:rPr>
                                  <w:rFonts w:hint="eastAsia"/>
                                  <w:lang w:val="en-US" w:eastAsia="zh-CN"/>
                                </w:rPr>
                                <w:t>隔油池+化粪池</w:t>
                              </w:r>
                            </w:p>
                          </w:txbxContent>
                        </v:textbox>
                      </v:shape>
                      <v:shape id="自选图形 568" o:spid="_x0000_s1026" o:spt="32" type="#_x0000_t32" style="position:absolute;left:1929130;top:423579;flip:y;height:5080;width:596900;" filled="f" stroked="t" coordsize="21600,21600" o:gfxdata="UEsDBAoAAAAAAIdO4kAAAAAAAAAAAAAAAAAEAAAAZHJzL1BLAwQUAAAACACHTuJA22wLOtYAAAAF&#10;AQAADwAAAGRycy9kb3ducmV2LnhtbE2PwU7DMBBE70j8g7VIXBC1E0FpQ5wegMKpqgjlvo2XJGq8&#10;jmK3Tf4ewwUuK41mNPM2X422EycafOtYQzJTIIgrZ1quNew+1rcLED4gG+wck4aJPKyKy4scM+PO&#10;/E6nMtQilrDPUEMTQp9J6auGLPqZ64mj9+UGiyHKoZZmwHMst51MlZpLiy3HhQZ7emqoOpRHq+G5&#10;3N6vP292YzpVb5vydXHY8vSi9fVVoh5BBBrDXxh+8CM6FJFp745svOg0xEfC743ew3KZgNhrmKd3&#10;CmSRy//0xTdQSwMEFAAAAAgAh07iQBeYb9gwAgAARgQAAA4AAABkcnMvZTJvRG9jLnhtbK1Ty47T&#10;MBTdI/EPlvc0aTvpNFHTWbQMGwQj8di7tpNY8ku2p2l37BDfwI4l/wB/MxL8BddOaIdBSLMgC+s6&#10;9/r4nHOvV1cHJdGeOy+MrvF0kmPENTVM6LbG795eP1ti5APRjEijeY2P3OOr9dMnq95WfGY6Ixl3&#10;CEC0r3pb4y4EW2WZpx1XxE+M5RqSjXGKBNi6NmOO9ICuZDbL80XWG8esM5R7D3+3QxKPiO4xgKZp&#10;BOVbQ28V12FAdVySAJJ8J6zH68S2aTgNr5vG84BkjUFpSCtcAvEurtl6RarWEdsJOlIgj6HwQJMi&#10;QsOlJ6gtCQTdOvEXlBLUGW+aMKFGZYOQ5AiomOYPvHnTEcuTFrDa25Pp/v/B0lf7G4cEg0lYFhhp&#10;oqDlPz5+/fnh093n73ffvqBisYwu9dZXULzRNy7q9GFz0MO5ywsMwaHG88FNrtkpt5yPuWnMZX+A&#10;xI23A9yhcQo1Utj3QCQZCdYgwJyWs3I6h24da3wxmxeX5XjJISAK+aJclDmkKeSLfJkampEq4kWa&#10;1vnwghuFYlBjHxwRbRc2RmsYDeOGu8j+pQ+R3/lAPCw16mtcFjMwhhIY9QZGDEJlwS6v28TTGynY&#10;tZAyueLa3UY6tCdx3NKXdINf98simS3x3VCXUoOqjhP2XDMUjhbaoOH94UhBcYaR5PBcY5RGNhAh&#10;z5XBCaJb+Y9qkCX16P5geLR+Z9jxxv3uCoxX0j8+hTi/9/fp9Pn5r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22wLOtYAAAAFAQAADwAAAAAAAAABACAAAAAiAAAAZHJzL2Rvd25yZXYueG1sUEsB&#10;AhQAFAAAAAgAh07iQBeYb9gwAgAARgQAAA4AAAAAAAAAAQAgAAAAJQEAAGRycy9lMm9Eb2MueG1s&#10;UEsFBgAAAAAGAAYAWQEAAMcFAAAAAA==&#10;">
                        <v:fill on="f" focussize="0,0"/>
                        <v:stroke color="#000000" joinstyle="round" endarrow="block"/>
                        <v:imagedata o:title=""/>
                        <o:lock v:ext="edit" aspectratio="f"/>
                      </v:shape>
                      <v:shape id="自选图形 570" o:spid="_x0000_s1026" o:spt="32" type="#_x0000_t32" style="position:absolute;left:3734435;top:422916;flip:y;height:635;width:217805;" filled="f" stroked="t" coordsize="21600,21600" o:gfxdata="UEsDBAoAAAAAAIdO4kAAAAAAAAAAAAAAAAAEAAAAZHJzL1BLAwQUAAAACACHTuJA22wLOtYAAAAF&#10;AQAADwAAAGRycy9kb3ducmV2LnhtbE2PwU7DMBBE70j8g7VIXBC1E0FpQ5wegMKpqgjlvo2XJGq8&#10;jmK3Tf4ewwUuK41mNPM2X422EycafOtYQzJTIIgrZ1quNew+1rcLED4gG+wck4aJPKyKy4scM+PO&#10;/E6nMtQilrDPUEMTQp9J6auGLPqZ64mj9+UGiyHKoZZmwHMst51MlZpLiy3HhQZ7emqoOpRHq+G5&#10;3N6vP292YzpVb5vydXHY8vSi9fVVoh5BBBrDXxh+8CM6FJFp745svOg0xEfC743ew3KZgNhrmKd3&#10;CmSRy//0xTdQSwMEFAAAAAgAh07iQPCFp+0pAgAARQQAAA4AAABkcnMvZTJvRG9jLnhtbK1TzY7T&#10;MBC+I/EOlu80afq7UdM9tCwXBJX4ubu2k1jyn2xv0964IZ6BG0feYXmbleAtGDvZLbsIaQ/kYI3z&#10;zXwz83lmdXlUEh2488LoCo9HOUZcU8OEbir84f3ViyVGPhDNiDSaV/jEPb5cP3+26mzJC9MaybhD&#10;QKJ92dkKtyHYMss8bbkifmQs1wDWxikS4OqajDnSAbuSWZHn86wzjllnKPce/m57EA+M7imEpq4F&#10;5VtDrxXXoWd1XJIALflWWI/Xqdq65jS8rWvPA5IVhk5DOiEJ2Pt4ZusVKRtHbCvoUAJ5SgmPelJE&#10;aEh6T7UlgaBrJ/6iUoI6400dRtSorG8kKQJdjPNH2rxrieWpF5Da23vR/f+jpW8OO4cEg0lYzjHS&#10;RMGT//z8/denL7dff9zefEOzRVKps74E543eudinD5ujHuImGIxjhSe9mlyzM1YM2Dhi2QOSePG2&#10;pzvWTqFaCvsRCklCgjQoci4m0+lkhtGpwtOiuBjPhyTHgCjgxXixzAGmgM/BL2YhZaSLVVrnwytu&#10;FIpGhX1wRDRt2BitYTKM61ORw2sf+sC7gBgsNeoqfDErIj2BSa9hwsBUFtTyuklleiMFuxJSJlFc&#10;s99Ihw4kTlv6hoIeuMUkW+Lb3i9BfVMtJ+ylZiicLLyChvXDsQTFGUaSw7ZGK01sIEKePYMTRDfy&#10;H96gh9SD+L3eUfm9Yaedu3sUmK4k3LAJcXz/vKfo8/av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bbAs61gAAAAUBAAAPAAAAAAAAAAEAIAAAACIAAABkcnMvZG93bnJldi54bWxQSwECFAAUAAAA&#10;CACHTuJA8IWn7SkCAABFBAAADgAAAAAAAAABACAAAAAlAQAAZHJzL2Uyb0RvYy54bWxQSwUGAAAA&#10;AAYABgBZAQAAwAUAAAAA&#10;">
                        <v:fill on="f" focussize="0,0"/>
                        <v:stroke color="#000000" joinstyle="round" endarrow="block"/>
                        <v:imagedata o:title=""/>
                        <o:lock v:ext="edit" aspectratio="f"/>
                      </v:shape>
                      <v:shape id="文本框 181" o:spid="_x0000_s1026" o:spt="202" type="#_x0000_t202" style="position:absolute;left:3006090;top:676910;height:232410;width:1055370;" filled="f" stroked="f" coordsize="21600,21600" o:gfxdata="UEsDBAoAAAAAAIdO4kAAAAAAAAAAAAAAAAAEAAAAZHJzL1BLAwQUAAAACACHTuJAcDO949MAAAAF&#10;AQAADwAAAGRycy9kb3ducmV2LnhtbE2PwU7DMBBE70j8g7VI3KidqhQS4vQA4gqiBSRu23ibRMTr&#10;KHab8PcsXOCy0mhGM2/Lzex7daIxdoEtZAsDirgOruPGwuvu8eoWVEzIDvvAZOGLImyq87MSCxcm&#10;fqHTNjVKSjgWaKFNaSi0jnVLHuMiDMTiHcLoMYkcG+1GnKTc93ppzFp77FgWWhzovqX6c3v0Ft6e&#10;Dh/vK/PcPPjrYQqz0exzbe3lRWbuQCWa018YfvAFHSph2ocju6h6C/JI+r3i3eR5BmpvYb1cGdBV&#10;qf/TV99QSwMEFAAAAAgAh07iQMWpr1jYAQAAkAMAAA4AAABkcnMvZTJvRG9jLnhtbK1TzY7TMBC+&#10;I/EOlu80P2W726jpSlAtFwRICw/gOnZjKfYY221SHgDegBMX7jxXn4Oxk+4flz1wccYz42/m+2ay&#10;uh50Rw7CeQWmpsUsp0QYDo0yu5p++Xzz6ooSH5hpWAdG1PQoPL1ev3yx6m0lSmiha4QjCGJ81dua&#10;tiHYKss8b4VmfgZWGAxKcJoFvLpd1jjWI7rusjLPF1kPrrEOuPAevZsxSCdE9xxAkFJxsQG+18KE&#10;EdWJjgWk5FtlPV2nbqUUPHyU0otAupoi05BOLIL2Np7ZesWqnWO2VXxqgT2nhSecNFMGi95BbVhg&#10;ZO/UP1BacQceZJhx0NlIJCmCLIr8iTa3LbMicUGpvb0T3f8/WP7h8MkR1eAmLEtKDNM48tPPH6df&#10;f06/v5PiqogS9dZXmHlrMTcMb2DA9LPfozMyH6TT8YucCMbnOOp8iTIfa7q4XCyLSWsxBMLj+/zi&#10;Yn6JcY4J5bx8PSZk90DW+fBOgCbRqKnDWSaJ2eG9D9gUpp5TYl0DN6rr0jw788iBidGTRRZjt9EK&#10;w3aYqG2hOSIz/CmwTgvuGyU9rkRN/dc9c4ISZji6axrO5tsw7tDeOrVr8VWSI1XAQaXepqWKm/Dw&#10;nvq4/5H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wM73j0wAAAAUBAAAPAAAAAAAAAAEAIAAA&#10;ACIAAABkcnMvZG93bnJldi54bWxQSwECFAAUAAAACACHTuJAxamvWNgBAACQAwAADgAAAAAAAAAB&#10;ACAAAAAiAQAAZHJzL2Uyb0RvYy54bWxQSwUGAAAAAAYABgBZAQAAbAUAAAAA&#10;">
                        <v:fill on="f" focussize="0,0"/>
                        <v:stroke on="f"/>
                        <v:imagedata o:title=""/>
                        <o:lock v:ext="edit" aspectratio="f"/>
                        <v:textbox>
                          <w:txbxContent>
                            <w:p w14:paraId="5B4FBB09">
                              <w:pPr>
                                <w:keepNext w:val="0"/>
                                <w:keepLines w:val="0"/>
                                <w:pageBreakBefore w:val="0"/>
                                <w:widowControl w:val="0"/>
                                <w:kinsoku/>
                                <w:wordWrap/>
                                <w:overflowPunct/>
                                <w:topLinePunct w:val="0"/>
                                <w:bidi w:val="0"/>
                                <w:adjustRightInd/>
                                <w:snapToGrid/>
                                <w:spacing w:line="240" w:lineRule="exact"/>
                                <w:jc w:val="center"/>
                                <w:textAlignment w:val="auto"/>
                                <w:rPr>
                                  <w:rFonts w:hint="default" w:eastAsia="宋体"/>
                                  <w:sz w:val="21"/>
                                  <w:szCs w:val="21"/>
                                  <w:lang w:val="en-US" w:eastAsia="zh-CN"/>
                                </w:rPr>
                              </w:pPr>
                              <w:r>
                                <w:rPr>
                                  <w:rFonts w:hint="eastAsia"/>
                                  <w:sz w:val="21"/>
                                  <w:szCs w:val="21"/>
                                  <w:lang w:val="en-US" w:eastAsia="zh-CN"/>
                                </w:rPr>
                                <w:t>全部进入产品</w:t>
                              </w:r>
                            </w:p>
                          </w:txbxContent>
                        </v:textbox>
                      </v:shape>
                      <v:shape id="文本框 154" o:spid="_x0000_s1026" o:spt="202" type="#_x0000_t202" style="position:absolute;left:1377950;top:1242060;height:256540;width:2108835;" filled="f" stroked="t" coordsize="21600,21600" o:gfxdata="UEsDBAoAAAAAAIdO4kAAAAAAAAAAAAAAAAAEAAAAZHJzL1BLAwQUAAAACACHTuJAtVEpkNQAAAAF&#10;AQAADwAAAGRycy9kb3ducmV2LnhtbE2PzU7DMBCE70i8g7VI3KidFDUkxOmBwh3SAtdNvE0iYjuK&#10;3R94ehYucFlpNLsz35brsx3FkeYweKchWSgQ5FpvBtdp2G2fbu5AhIjO4OgdafikAOvq8qLEwviT&#10;e6FjHTvBIS4UqKGPcSqkDG1PFsPCT+TY2/vZYmQ5d9LMeOJwO8pUqZW0ODhu6HGih57aj/pgGSN9&#10;3y03zzVlGTbLzePXa75/G7W+vkrUPYhI5/i3DD/4fAMVMzX+4EwQowZ+JP5O9rI8T0A0GlbprQJZ&#10;lfI/ffUNUEsDBBQAAAAIAIdO4kAlvseZMwIAAFAEAAAOAAAAZHJzL2Uyb0RvYy54bWytVEtyEzEU&#10;3FPFHVTa47HHdmK7Mk4VMWFDAVWBA8gajUdV+iHJ9pgDwA1Yscmec/kctDROAmHjBV6M30itfq/7&#10;Pc3VdacV2QkfpDUVHQ2GlAjDbS3NpqKfP92+mlESIjM1U9aIih5EoNfLly+u9m4hSttaVQtPQGLC&#10;Yu8q2sboFkUReCs0CwPrhMFmY71mEa9+U9Se7cGuVVEOhxfF3vraectFCFhd9Zv0xOjPIbRNI7lY&#10;Wb7VwsSe1QvFIiSFVrpAl7naphE8fmiaICJRFYXSmJ9IgnidnsXyii02nrlW8lMJ7JwSnmnSTBok&#10;faRascjI1st/qLTk3gbbxAG3uuiFZEegYjR85s1dy5zIWmB1cI+mh/9Hy9/vPnoia0zCfEyJYRot&#10;P/74fvz563j/jYymk2TR3oUFkHcO2Ni9th3gD+sBi0l513id/qGJpP3x5eV8CpsPiMtJObw4mS26&#10;SDgA5Wg4m42nlHAgyunFdJIBxROT8yG+FVaTFFTUo5nZY7Z7FyKqAvQBkhIbeyuVyg1VhuwrOp+W&#10;iZ5hSBsMB0LtIDSYTaYJVsk6HUmHg9+sb5QnO5YGJf+SQKT4C5byrVhoe1ze6kdIyyh8zt0KVr8x&#10;NYkHBysN7hBNxWhRU6IErlyKMjIyqc5BoghlUEvqQu92imK37kCTwrWtD+gMLjVsaq3/iowYaUj9&#10;smUe+ZnhWK4oPOjDm9jfga3zctPiVG5nzoBBy7pPlyJN8p/vuY6nD8H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VRKZDUAAAABQEAAA8AAAAAAAAAAQAgAAAAIgAAAGRycy9kb3ducmV2LnhtbFBL&#10;AQIUABQAAAAIAIdO4kAlvseZMwIAAFAEAAAOAAAAAAAAAAEAIAAAACMBAABkcnMvZTJvRG9jLnht&#10;bFBLBQYAAAAABgAGAFkBAADIBQAAAAA=&#10;">
                        <v:fill on="f" focussize="0,0"/>
                        <v:stroke color="#000000" joinstyle="miter"/>
                        <v:imagedata o:title=""/>
                        <o:lock v:ext="edit" aspectratio="f"/>
                        <v:textbox>
                          <w:txbxContent>
                            <w:p w14:paraId="54959DBC">
                              <w:pPr>
                                <w:spacing w:line="240" w:lineRule="exact"/>
                                <w:jc w:val="center"/>
                                <w:rPr>
                                  <w:rFonts w:hint="default"/>
                                  <w:lang w:val="en-US"/>
                                </w:rPr>
                              </w:pPr>
                              <w:r>
                                <w:rPr>
                                  <w:rFonts w:hint="eastAsia"/>
                                  <w:lang w:val="en-US" w:eastAsia="zh-CN"/>
                                </w:rPr>
                                <w:t>生产检测中心试验设备清洗用水</w:t>
                              </w:r>
                            </w:p>
                          </w:txbxContent>
                        </v:textbox>
                      </v:shape>
                      <v:shape id="文本框 191" o:spid="_x0000_s1026" o:spt="202" type="#_x0000_t202" style="position:absolute;left:3489960;top:2082165;height:234315;width:1356995;" filled="f" stroked="t" coordsize="21600,21600" o:gfxdata="UEsDBAoAAAAAAIdO4kAAAAAAAAAAAAAAAAAEAAAAZHJzL1BLAwQUAAAACACHTuJAtVEpkNQAAAAF&#10;AQAADwAAAGRycy9kb3ducmV2LnhtbE2PzU7DMBCE70i8g7VI3KidFDUkxOmBwh3SAtdNvE0iYjuK&#10;3R94ehYucFlpNLsz35brsx3FkeYweKchWSgQ5FpvBtdp2G2fbu5AhIjO4OgdafikAOvq8qLEwviT&#10;e6FjHTvBIS4UqKGPcSqkDG1PFsPCT+TY2/vZYmQ5d9LMeOJwO8pUqZW0ODhu6HGih57aj/pgGSN9&#10;3y03zzVlGTbLzePXa75/G7W+vkrUPYhI5/i3DD/4fAMVMzX+4EwQowZ+JP5O9rI8T0A0GlbprQJZ&#10;lfI/ffUNUEsDBBQAAAAIAIdO4kCjF/u+8AEAALoDAAAOAAAAZHJzL2Uyb0RvYy54bWytU82O0zAQ&#10;viPxDpbvNEn/1FRNV2Kr5YIAaeEBXMdJLPmPsdukPAC8AScu3HmuPgdjp91dLZc9kIMzMx5/M9/n&#10;8eZm0IocBXhpTUWLSU6JMNzW0rQV/fL57s2KEh+YqZmyRlT0JDy92b5+tendWkxtZ1UtgCCI8eve&#10;VbQLwa2zzPNOaOYn1gmDm40FzQK60GY1sB7Rtcqmeb7Megu1A8uF9xjdjZv0gggvAbRNI7nYWX7Q&#10;woQRFYRiASn5TjpPt6nbphE8fGwaLwJRFUWmIa1YBO19XLPthq1bYK6T/NICe0kLzzhpJg0WfYDa&#10;scDIAeQ/UFpysN42YcKtzkYiSRFkUeTPtLnvmBOJC0rt3YPo/v/B8g/HT0BkjZNQzikxTOOVn3/+&#10;OP/6c/79nRRlESXqnV9j5r3D3DC8tQOmX+Meg5H50ICOf+REcH82X5XlEmU+VXSar6bFcjGKLYZA&#10;eASYLZZluaCEx4zZfFakhOwRyYEP74TVJBoVBbzMpDE7vvcBu8LUa0osbOydVCpdqDIx4K2SdYwl&#10;B9r9rQJyZHES0hf7QYwnaejFo1nkO/KKVhj2w0WEva1PqAE+H2yos/CNkh6Hp6L+64GBoIQZjuGK&#10;hqt5G8ZpOziQbYenknCpAl5pauAyfnFmnvqpj8cnt/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VEpkNQAAAAFAQAADwAAAAAAAAABACAAAAAiAAAAZHJzL2Rvd25yZXYueG1sUEsBAhQAFAAAAAgA&#10;h07iQKMX+77wAQAAugMAAA4AAAAAAAAAAQAgAAAAIwEAAGRycy9lMm9Eb2MueG1sUEsFBgAAAAAG&#10;AAYAWQEAAIUFAAAAAA==&#10;">
                        <v:fill on="f" focussize="0,0"/>
                        <v:stroke color="#000000 [3213]" joinstyle="round"/>
                        <v:imagedata o:title=""/>
                        <o:lock v:ext="edit" aspectratio="f"/>
                        <v:textbox>
                          <w:txbxContent>
                            <w:p w14:paraId="6A117054">
                              <w:pPr>
                                <w:spacing w:line="240" w:lineRule="exact"/>
                                <w:jc w:val="center"/>
                                <w:rPr>
                                  <w:rFonts w:hint="default" w:eastAsia="宋体"/>
                                  <w:lang w:val="en-US" w:eastAsia="zh-CN"/>
                                </w:rPr>
                              </w:pPr>
                              <w:r>
                                <w:rPr>
                                  <w:rFonts w:hint="eastAsia"/>
                                  <w:lang w:val="en-US" w:eastAsia="zh-CN"/>
                                </w:rPr>
                                <w:t>隔油池+三级沉淀池</w:t>
                              </w:r>
                            </w:p>
                          </w:txbxContent>
                        </v:textbox>
                      </v:shape>
                      <v:shape id="文本框 181" o:spid="_x0000_s1026" o:spt="202" type="#_x0000_t202" style="position:absolute;left:779145;top:1167765;height:231140;width:518160;" filled="f" stroked="f" coordsize="21600,21600" o:gfxdata="UEsDBAoAAAAAAIdO4kAAAAAAAAAAAAAAAAAEAAAAZHJzL1BLAwQUAAAACACHTuJAcDO949MAAAAF&#10;AQAADwAAAGRycy9kb3ducmV2LnhtbE2PwU7DMBBE70j8g7VI3KidqhQS4vQA4gqiBSRu23ibRMTr&#10;KHab8PcsXOCy0mhGM2/Lzex7daIxdoEtZAsDirgOruPGwuvu8eoWVEzIDvvAZOGLImyq87MSCxcm&#10;fqHTNjVKSjgWaKFNaSi0jnVLHuMiDMTiHcLoMYkcG+1GnKTc93ppzFp77FgWWhzovqX6c3v0Ft6e&#10;Dh/vK/PcPPjrYQqz0exzbe3lRWbuQCWa018YfvAFHSph2ocju6h6C/JI+r3i3eR5BmpvYb1cGdBV&#10;qf/TV99QSwMEFAAAAAgAh07iQAM7513ZAQAAjwMAAA4AAABkcnMvZTJvRG9jLnhtbK1TzY7TMBC+&#10;I/EOlu80Tdmmu1HTlaBaLgiQFh7AdZzGUuwxY7dJeQB4A05cuPNcfQ7GTrt/XPbAxRnPfPlmvpnx&#10;8nowHdsr9BpsxfPJlDNlJdTabiv+5fPNq0vOfBC2Fh1YVfGD8vx69fLFsnelmkELXa2QEYn1Ze8q&#10;3obgyizzslVG+Ak4ZSnYABoR6IrbrEbRE7vpstl0WmQ9YO0QpPKevOsxyE+M+BxCaBot1Rrkzigb&#10;RlZUnQgkybfaeb5K1TaNkuFj03gVWFdxUhrSSUnI3sQzWy1FuUXhWi1PJYjnlPBEkxHaUtI7qrUI&#10;gu1Q/0NltETw0ISJBJONQlJHSEU+fdKb21Y4lbRQq727a7r/f7Tyw/4TMl3TJlwVnFlhaOTHnz+O&#10;v/4cf39n+WUeW9Q7XxLy1hE2DG9gIPjZ78kZlQ8NmvglTYzii8VVfjHn7EDQvFgsivnYazUEJik+&#10;J+qCpiAJMHud5xdpFtk9j0Mf3ikwLBoVRxpl6rDYv/eBaiLoGRLTWrjRXZfG2dlHDgJGTxZFjMVG&#10;Kwyb4aRsA/WBhNGboDwt4DfOetqIivuvO4GKM2EluSsezubbMK7QzqHetvRX6kbKQHNKtZ12Ki7C&#10;w3uq4/4drf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cDO949MAAAAFAQAADwAAAAAAAAABACAA&#10;AAAiAAAAZHJzL2Rvd25yZXYueG1sUEsBAhQAFAAAAAgAh07iQAM7513ZAQAAjwMAAA4AAAAAAAAA&#10;AQAgAAAAIgEAAGRycy9lMm9Eb2MueG1sUEsFBgAAAAAGAAYAWQEAAG0FAAAAAA==&#10;">
                        <v:fill on="f" focussize="0,0"/>
                        <v:stroke on="f"/>
                        <v:imagedata o:title=""/>
                        <o:lock v:ext="edit" aspectratio="f"/>
                        <v:textbox>
                          <w:txbxContent>
                            <w:p w14:paraId="2C519FFB">
                              <w:pPr>
                                <w:spacing w:line="240" w:lineRule="exact"/>
                                <w:jc w:val="center"/>
                                <w:rPr>
                                  <w:rFonts w:hint="default" w:eastAsia="宋体"/>
                                  <w:lang w:val="en-US" w:eastAsia="zh-CN"/>
                                </w:rPr>
                              </w:pPr>
                              <w:r>
                                <w:rPr>
                                  <w:rFonts w:hint="eastAsia"/>
                                  <w:lang w:val="en-US" w:eastAsia="zh-CN"/>
                                </w:rPr>
                                <w:t>0.015</w:t>
                              </w:r>
                            </w:p>
                          </w:txbxContent>
                        </v:textbox>
                      </v:shape>
                      <v:shape id="文本框 168" o:spid="_x0000_s1026" o:spt="202" type="#_x0000_t202" style="position:absolute;left:2073275;top:944880;height:231140;width:906780;" filled="f" stroked="f" coordsize="21600,21600" o:gfxdata="UEsDBAoAAAAAAIdO4kAAAAAAAAAAAAAAAAAEAAAAZHJzL1BLAwQUAAAACACHTuJAcDO949MAAAAF&#10;AQAADwAAAGRycy9kb3ducmV2LnhtbE2PwU7DMBBE70j8g7VI3KidqhQS4vQA4gqiBSRu23ibRMTr&#10;KHab8PcsXOCy0mhGM2/Lzex7daIxdoEtZAsDirgOruPGwuvu8eoWVEzIDvvAZOGLImyq87MSCxcm&#10;fqHTNjVKSjgWaKFNaSi0jnVLHuMiDMTiHcLoMYkcG+1GnKTc93ppzFp77FgWWhzovqX6c3v0Ft6e&#10;Dh/vK/PcPPjrYQqz0exzbe3lRWbuQCWa018YfvAFHSph2ocju6h6C/JI+r3i3eR5BmpvYb1cGdBV&#10;qf/TV99QSwMEFAAAAAgAh07iQHRX28nZAQAAjwMAAA4AAABkcnMvZTJvRG9jLnhtbK1TS27bMBDd&#10;F8gdCO5rfeL6I1gO0BrppmgLJDkATVEWAfETDm3JPUB7g6666b7n8jk6pOT8usmiG2o4M3oz781w&#10;ddWrlhyEA2l0SbNJSonQ3FRS70p6d3v9dkEJeKYr1hotSnoUQK/WF29WnS1EbhrTVsIRBNFQdLak&#10;jfe2SBLgjVAMJsYKjcHaOMU8Xt0uqRzrEF21SZ6ms6QzrrLOcAGA3s0QpCOiew2gqWvJxcbwvRLa&#10;D6hOtMwjJWikBbqO3da14P5LXYPwpC0pMvXxxCJob8OZrFes2DlmG8nHFthrWnjBSTGpsegD1IZ5&#10;RvZO/gOlJHcGTO0n3KhkIBIVQRZZ+kKbm4ZZEbmg1GAfRIf/B8s/H746IivchOWcEs0Ujvz088fp&#10;15/T7+8kmy2CRJ2FAjNvLOb6/r3pMf3sB3QG5n3tVPgiJ4LxPJ1f5vN3lBxLupxOF4tRa9F7wjG+&#10;TGdz9BGO8fwyy6YxnjziWAf+ozCKBKOkDkcZFWaHT+CxJ0w9p4Sy2lzLto3jbPUzByYGTxJIDM0G&#10;y/fbfmS2NdURieGbwDqNcd8o6XAjSgr3e+YEJUxzdJfUn80PflihvXVy1+BfUY1YAecUext3KizC&#10;03vs4/Edrf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cDO949MAAAAFAQAADwAAAAAAAAABACAA&#10;AAAiAAAAZHJzL2Rvd25yZXYueG1sUEsBAhQAFAAAAAgAh07iQHRX28nZAQAAjwMAAA4AAAAAAAAA&#10;AQAgAAAAIgEAAGRycy9lMm9Eb2MueG1sUEsFBgAAAAAGAAYAWQEAAG0FAAAAAA==&#10;">
                        <v:fill on="f" focussize="0,0"/>
                        <v:stroke on="f"/>
                        <v:imagedata o:title=""/>
                        <o:lock v:ext="edit" aspectratio="f"/>
                        <v:textbox>
                          <w:txbxContent>
                            <w:p w14:paraId="47CA4077">
                              <w:pPr>
                                <w:spacing w:line="240" w:lineRule="exact"/>
                                <w:jc w:val="center"/>
                                <w:rPr>
                                  <w:rFonts w:hint="default" w:eastAsia="宋体"/>
                                  <w:lang w:val="en-US" w:eastAsia="zh-CN"/>
                                </w:rPr>
                              </w:pPr>
                              <w:r>
                                <w:rPr>
                                  <w:rFonts w:hint="eastAsia"/>
                                </w:rPr>
                                <w:t>损耗</w:t>
                              </w:r>
                              <w:r>
                                <w:rPr>
                                  <w:rFonts w:hint="eastAsia"/>
                                  <w:lang w:val="en-US" w:eastAsia="zh-CN"/>
                                </w:rPr>
                                <w:t>0.015</w:t>
                              </w:r>
                            </w:p>
                          </w:txbxContent>
                        </v:textbox>
                      </v:shape>
                      <v:shape id="文本框 168" o:spid="_x0000_s1026" o:spt="202" type="#_x0000_t202" style="position:absolute;left:2673985;top:2635250;height:257175;width:1001395;" filled="f" stroked="f" coordsize="21600,21600" o:gfxdata="UEsDBAoAAAAAAIdO4kAAAAAAAAAAAAAAAAAEAAAAZHJzL1BLAwQUAAAACACHTuJAcDO949MAAAAF&#10;AQAADwAAAGRycy9kb3ducmV2LnhtbE2PwU7DMBBE70j8g7VI3KidqhQS4vQA4gqiBSRu23ibRMTr&#10;KHab8PcsXOCy0mhGM2/Lzex7daIxdoEtZAsDirgOruPGwuvu8eoWVEzIDvvAZOGLImyq87MSCxcm&#10;fqHTNjVKSjgWaKFNaSi0jnVLHuMiDMTiHcLoMYkcG+1GnKTc93ppzFp77FgWWhzovqX6c3v0Ft6e&#10;Dh/vK/PcPPjrYQqz0exzbe3lRWbuQCWa018YfvAFHSph2ocju6h6C/JI+r3i3eR5BmpvYb1cGdBV&#10;qf/TV99QSwMEFAAAAAgAh07iQOgFaTTYAQAAkQMAAA4AAABkcnMvZTJvRG9jLnhtbK1TS27bMBDd&#10;F8gdCO5jSTbkj2A5QGskm6ItkPYANEVZBMRPhrQl9wDtDbrqpvuey+fIkJKTNt1k0Q01nBm9mfdm&#10;uL7pVUuOApw0uqTZJKVEaG4qqfcl/fL59npJifNMV6w1WpT0JBy92Vy9WXe2EFPTmLYSQBBEu6Kz&#10;JW28t0WSON4IxdzEWKExWBtQzOMV9kkFrEN01SbTNJ0nnYHKguHCOfRuhyAdEeE1gKauJRdbww9K&#10;aD+ggmiZR0qukdbRTey2rgX3H+vaCU/akiJTH08sgvYunMlmzYo9MNtIPrbAXtPCC06KSY1Fn6C2&#10;zDNyAPkPlJIcjDO1n3CjkoFIVARZZOkLbe4bZkXkglI7+yS6+3+w/MPxExBZ4SasVpRopnDk5x/f&#10;zz9/n399I9l8GSTqrCsw895iru/fmh7TL36HzsC8r0GFL3IiGJ/OF7PVMqfkFOxZPs1HsUXvCQ8A&#10;aZrNVpjAQ0a+yBZ5gEyekSw4fyeMIsEoKeAwo8bs+N75IfWSEgprcyvbNg601X85EDN4kkBjaDdY&#10;vt/1I7edqU5IDV8F1mkMfKWkw50oqXs4MBCUMM3RXVJ/Md/5YYkOFuS+wb+iHrECTirSGLcqrMKf&#10;99jH80vaP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wM73j0wAAAAUBAAAPAAAAAAAAAAEAIAAA&#10;ACIAAABkcnMvZG93bnJldi54bWxQSwECFAAUAAAACACHTuJA6AVpNNgBAACRAwAADgAAAAAAAAAB&#10;ACAAAAAiAQAAZHJzL2Uyb0RvYy54bWxQSwUGAAAAAAYABgBZAQAAbAUAAAAA&#10;">
                        <v:fill on="f" focussize="0,0"/>
                        <v:stroke on="f"/>
                        <v:imagedata o:title=""/>
                        <o:lock v:ext="edit" aspectratio="f"/>
                        <v:textbox>
                          <w:txbxContent>
                            <w:p w14:paraId="7E0A56F6">
                              <w:pPr>
                                <w:spacing w:line="240" w:lineRule="exact"/>
                                <w:jc w:val="center"/>
                                <w:rPr>
                                  <w:rFonts w:hint="eastAsia" w:eastAsia="宋体"/>
                                  <w:lang w:val="en-US" w:eastAsia="zh-CN"/>
                                </w:rPr>
                              </w:pPr>
                              <w:r>
                                <w:rPr>
                                  <w:rFonts w:hint="eastAsia" w:eastAsia="宋体"/>
                                  <w:lang w:val="en-US" w:eastAsia="zh-CN"/>
                                </w:rPr>
                                <w:t>自然蒸发损耗</w:t>
                              </w:r>
                            </w:p>
                          </w:txbxContent>
                        </v:textbox>
                      </v:shape>
                      <v:shape id="文本框 154" o:spid="_x0000_s1026" o:spt="202" type="#_x0000_t202" style="position:absolute;left:1346835;top:2637155;height:257175;width:1014095;" filled="f" stroked="t" coordsize="21600,21600" o:gfxdata="UEsDBAoAAAAAAIdO4kAAAAAAAAAAAAAAAAAEAAAAZHJzL1BLAwQUAAAACACHTuJAtVEpkNQAAAAF&#10;AQAADwAAAGRycy9kb3ducmV2LnhtbE2PzU7DMBCE70i8g7VI3KidFDUkxOmBwh3SAtdNvE0iYjuK&#10;3R94ehYucFlpNLsz35brsx3FkeYweKchWSgQ5FpvBtdp2G2fbu5AhIjO4OgdafikAOvq8qLEwviT&#10;e6FjHTvBIS4UqKGPcSqkDG1PFsPCT+TY2/vZYmQ5d9LMeOJwO8pUqZW0ODhu6HGih57aj/pgGSN9&#10;3y03zzVlGTbLzePXa75/G7W+vkrUPYhI5/i3DD/4fAMVMzX+4EwQowZ+JP5O9rI8T0A0GlbprQJZ&#10;lfI/ffUNUEsDBBQAAAAIAIdO4kBNU2eSMgIAAFAEAAAOAAAAZHJzL2Uyb0RvYy54bWytVEuS0zAQ&#10;3VPFHVTaE9tJnMyk4kwVE4YNBVQNHECRZVtV+qFWYocDwA1YsZk958o5aMnzgWGTBVk4benpdb/X&#10;La+vBq3IQXiQ1lS0mOSUCMNtLU1b0c+fbl5dUAKBmZopa0RFjwLo1ebli3XvVmJqO6tq4QmSGFj1&#10;rqJdCG6VZcA7oRlMrBMGNxvrNQv46tus9qxHdq2yaZ4vst762nnLBQCubsdNes/ozyG0TSO52Fq+&#10;18KEkdULxQJKgk46oJtUbdMIHj40DYhAVEVRaUhPTILxLj6zzZqtWs9cJ/l9CeycEp5p0kwaTPpI&#10;tWWBkb2X/1Bpyb0F24QJtzobhSRHUEWRP/PmtmNOJC1oNbhH0+H/0fL3h4+eyLqi2BtKDNPY8tOP&#10;76efv05330hRzqNFvYMVIm8dYsPw2g44OA/rgItR+dB4Hf9RE4n7s/niYlZSckTqxWxZlOVothgC&#10;4RGQF/P8EgE8IsplsUyA7InJeQhvhdUkBhX12MzkMTu8g4BVIfQBEhMbeyOVSg1VhvQVvSynkZ7h&#10;kDY4HBhqh0LBtIkGrJJ1PBIPg29318qTA4uDkn6xXEzxFyzm2zLoRlzaGlVpGYRPuTvB6jemJuHo&#10;0EqDd4jGYrSoKVECr1yMEjIwqc5BYhHKYC2xC6PbMQrDbkCaGO5sfcTO4KVGmzrrv2JGHGmU+mXP&#10;POZnhuNyRdGDMbwO4x3YOy/bDk+ldqYMOGhJ9/2liJP853uq4+lDsP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VEpkNQAAAAFAQAADwAAAAAAAAABACAAAAAiAAAAZHJzL2Rvd25yZXYueG1sUEsB&#10;AhQAFAAAAAgAh07iQE1TZ5IyAgAAUAQAAA4AAAAAAAAAAQAgAAAAIwEAAGRycy9lMm9Eb2MueG1s&#10;UEsFBgAAAAAGAAYAWQEAAMcFAAAAAA==&#10;">
                        <v:fill on="f" focussize="0,0"/>
                        <v:stroke color="#000000" joinstyle="miter"/>
                        <v:imagedata o:title=""/>
                        <o:lock v:ext="edit" aspectratio="f"/>
                        <v:textbox>
                          <w:txbxContent>
                            <w:p w14:paraId="6415944F">
                              <w:pPr>
                                <w:spacing w:line="240" w:lineRule="exact"/>
                                <w:jc w:val="center"/>
                              </w:pPr>
                              <w:r>
                                <w:rPr>
                                  <w:rFonts w:hint="eastAsia"/>
                                  <w:lang w:val="en-US" w:eastAsia="zh-CN"/>
                                </w:rPr>
                                <w:t>喷淋降尘</w:t>
                              </w:r>
                              <w:r>
                                <w:rPr>
                                  <w:rFonts w:hint="eastAsia"/>
                                </w:rPr>
                                <w:t>用水</w:t>
                              </w:r>
                            </w:p>
                          </w:txbxContent>
                        </v:textbox>
                      </v:shape>
                      <v:shape id="自选图形 1190" o:spid="_x0000_s1026" o:spt="32" type="#_x0000_t32" style="position:absolute;left:2360930;top:2763839;flip:y;height:1905;width:313055;" filled="f" stroked="t" coordsize="21600,21600" o:gfxdata="UEsDBAoAAAAAAIdO4kAAAAAAAAAAAAAAAAAEAAAAZHJzL1BLAwQUAAAACACHTuJA22wLOtYAAAAF&#10;AQAADwAAAGRycy9kb3ducmV2LnhtbE2PwU7DMBBE70j8g7VIXBC1E0FpQ5wegMKpqgjlvo2XJGq8&#10;jmK3Tf4ewwUuK41mNPM2X422EycafOtYQzJTIIgrZ1quNew+1rcLED4gG+wck4aJPKyKy4scM+PO&#10;/E6nMtQilrDPUEMTQp9J6auGLPqZ64mj9+UGiyHKoZZmwHMst51MlZpLiy3HhQZ7emqoOpRHq+G5&#10;3N6vP292YzpVb5vydXHY8vSi9fVVoh5BBBrDXxh+8CM6FJFp745svOg0xEfC743ew3KZgNhrmKd3&#10;CmSRy//0xTdQSwMEFAAAAAgAh07iQDbEXC8sAgAASAQAAA4AAABkcnMvZTJvRG9jLnhtbK1Uy47T&#10;MBTdI/EPlvc0SaOWSdR0Fi3DBkElHnvXdhJLfsn2NO2OHeIb2LHkH+BvRoK/4NrJTJlBSLMgi+g6&#10;9/rcc46vs7o8KokO3HlhdIOLWY4R19QwobsGv3939ewCIx+IZkQazRt84h5frp8+WQ225nPTG8m4&#10;QwCifT3YBvch2DrLPO25In5mLNeQbI1TJMDSdRlzZAB0JbN5ni+zwThmnaHce/i6HZN4QnSPATRt&#10;KyjfGnqtuA4jquOSBJDke2E9Xie2bctpeNO2ngckGwxKQ3pDE4j38Z2tV6TuHLG9oBMF8hgKDzQp&#10;IjQ0vYPakkDQtRN/QSlBnfGmDTNqVDYKSY6AiiJ/4M3bnlietIDV3t6Z7v8fLH192DkkWIOhP0aa&#10;KDjyn5++/fr4+ebLj5vvX1FRVMmmwfoaqjd656JQHzZHPW0EMwU7Nrgc7eSa3eaKqppyRcxl90Di&#10;wtsR7tg6hVop7AeYyeQkeIMAc14u86qEDieIny/Li7KauhwDorFpUeaLBUYUCoDqIvUhdQSMPK3z&#10;4SU3CsWgwT44Iro+bIzWMBzGjc3I4ZUPkeB5Q9wsNRoaXC3mEZ/AsLcwZBAqC4Z53SWi3kjBroSU&#10;yRbX7TfSoQOJA5eeidC9skhmS3w/1qXUqKrnhL3QDIWThYPQcANxpKA4w0hyuLAxSkMbiJDnyuAE&#10;0Z38RzXIknqyf3Q8er837LRzt8cCA5b0T5chTvCf67T7/ANY/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bbAs61gAAAAUBAAAPAAAAAAAAAAEAIAAAACIAAABkcnMvZG93bnJldi54bWxQSwECFAAU&#10;AAAACACHTuJANsRcLywCAABIBAAADgAAAAAAAAABACAAAAAlAQAAZHJzL2Uyb0RvYy54bWxQSwUG&#10;AAAAAAYABgBZAQAAwwUAAAAA&#10;">
                        <v:fill on="f" focussize="0,0"/>
                        <v:stroke color="#000000" joinstyle="round" endarrow="block"/>
                        <v:imagedata o:title=""/>
                        <o:lock v:ext="edit" aspectratio="f"/>
                      </v:shape>
                      <v:shape id="文本框 154" o:spid="_x0000_s1026" o:spt="202" type="#_x0000_t202" style="position:absolute;left:1346835;top:2074545;height:256540;width:1291590;" filled="f" stroked="t" coordsize="21600,21600" o:gfxdata="UEsDBAoAAAAAAIdO4kAAAAAAAAAAAAAAAAAEAAAAZHJzL1BLAwQUAAAACACHTuJAtVEpkNQAAAAF&#10;AQAADwAAAGRycy9kb3ducmV2LnhtbE2PzU7DMBCE70i8g7VI3KidFDUkxOmBwh3SAtdNvE0iYjuK&#10;3R94ehYucFlpNLsz35brsx3FkeYweKchWSgQ5FpvBtdp2G2fbu5AhIjO4OgdafikAOvq8qLEwviT&#10;e6FjHTvBIS4UqKGPcSqkDG1PFsPCT+TY2/vZYmQ5d9LMeOJwO8pUqZW0ODhu6HGih57aj/pgGSN9&#10;3y03zzVlGTbLzePXa75/G7W+vkrUPYhI5/i3DD/4fAMVMzX+4EwQowZ+JP5O9rI8T0A0GlbprQJZ&#10;lfI/ffUNUEsDBBQAAAAIAIdO4kAWY7HHMwIAAFAEAAAOAAAAZHJzL2Uyb0RvYy54bWytVEuS0zAQ&#10;3VPFHVTaEycZe5ik4kwVE4YNBVQNHECRZFtV+qFWYocDwA1YsWHPuXIOWnJmBoZNFmThtKWn1/1e&#10;t7y6HowmexlAOVvT2WRKibTcCWXbmn76ePviihKIzAqmnZU1PUig1+vnz1a9X8q565wWMhAksbDs&#10;fU27GP2yKIB30jCYOC8tbjYuGBbxNbSFCKxHdqOL+XR6WfQuCB8clwC4uhk36YkxnEPomkZxuXF8&#10;Z6SNI2uQmkWUBJ3yQNe52qaRPL5vGpCR6Jqi0pifmATjbXoW6xVbtoH5TvFTCeycEp5oMkxZTPpA&#10;tWGRkV1Q/1AZxYMD18QJd6YYhWRHUMVs+sSbu455mbWg1eAfTIf/R8vf7T8EokRN59OSEssMtvz4&#10;/dvxx6/jz69kVpXJot7DEpF3HrFxeOUGHJz7dcDFpHxogkn/qImk/Yvy8uqiouSQqF+WVVmNZssh&#10;Ep4A88WsWmAfeEJUl1WZu1E8MvkA8Y10hqSgpgGbmT1m+7cQsSqE3kNSYutulda5odqSvqaLao75&#10;OcMhbXA4MDQehYJtMw04rUQ6kg5DaLc3OpA9S4OSf6lcTPEXLOXbMOhGXN4aVRkVZci5O8nEaytI&#10;PHi00uIdoqkYIwUlWuKVS1FGRqb0OUgsQlusJXVhdDtFcdgOSJPCrRMH7AxearSpc+ELZsSRRqmf&#10;dyxgfmY5LtcUPRjDmzjegZ0Pqu3wVG5nzoCDlnWfLkWa5D/fcx2PH4L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VRKZDUAAAABQEAAA8AAAAAAAAAAQAgAAAAIgAAAGRycy9kb3ducmV2LnhtbFBL&#10;AQIUABQAAAAIAIdO4kAWY7HHMwIAAFAEAAAOAAAAAAAAAAEAIAAAACMBAABkcnMvZTJvRG9jLnht&#10;bFBLBQYAAAAABgAGAFkBAADIBQAAAAA=&#10;">
                        <v:fill on="f" focussize="0,0"/>
                        <v:stroke color="#000000" joinstyle="miter"/>
                        <v:imagedata o:title=""/>
                        <o:lock v:ext="edit" aspectratio="f"/>
                        <v:textbox>
                          <w:txbxContent>
                            <w:p w14:paraId="453C2ACF">
                              <w:pPr>
                                <w:spacing w:line="240" w:lineRule="exact"/>
                                <w:jc w:val="center"/>
                                <w:rPr>
                                  <w:rFonts w:hint="default"/>
                                  <w:lang w:val="en-US"/>
                                </w:rPr>
                              </w:pPr>
                              <w:r>
                                <w:rPr>
                                  <w:rFonts w:hint="eastAsia"/>
                                  <w:lang w:val="en-US" w:eastAsia="zh-CN"/>
                                </w:rPr>
                                <w:t>运输车辆清洗用水</w:t>
                              </w:r>
                            </w:p>
                          </w:txbxContent>
                        </v:textbox>
                      </v:shape>
                      <v:shape id="文本框 168" o:spid="_x0000_s1026" o:spt="202" type="#_x0000_t202" style="position:absolute;left:1699895;top:1746250;height:228600;width:835025;" filled="f" stroked="f" coordsize="21600,21600" o:gfxdata="UEsDBAoAAAAAAIdO4kAAAAAAAAAAAAAAAAAEAAAAZHJzL1BLAwQUAAAACACHTuJAcDO949MAAAAF&#10;AQAADwAAAGRycy9kb3ducmV2LnhtbE2PwU7DMBBE70j8g7VI3KidqhQS4vQA4gqiBSRu23ibRMTr&#10;KHab8PcsXOCy0mhGM2/Lzex7daIxdoEtZAsDirgOruPGwuvu8eoWVEzIDvvAZOGLImyq87MSCxcm&#10;fqHTNjVKSjgWaKFNaSi0jnVLHuMiDMTiHcLoMYkcG+1GnKTc93ppzFp77FgWWhzovqX6c3v0Ft6e&#10;Dh/vK/PcPPjrYQqz0exzbe3lRWbuQCWa018YfvAFHSph2ocju6h6C/JI+r3i3eR5BmpvYb1cGdBV&#10;qf/TV99QSwMEFAAAAAgAh07iQAu/X8fZAQAAkAMAAA4AAABkcnMvZTJvRG9jLnhtbK1TwW7bMAy9&#10;D9g/CLo3dtzFdYw4BbaguwzbgHYfoMhyLMASNUmJnX3A9gc77bJ7vyvfUUp22q279LCLTJH0I98j&#10;tboeVEcOwjoJuqLzWUqJ0BxqqXcV/XJ3c1FQ4jzTNetAi4oehaPX69evVr0pRQYtdLWwBEG0K3tT&#10;0dZ7UyaJ461QzM3ACI3BBqxiHq92l9SW9YiuuiRL0zzpwdbGAhfOoXczBumEaF8CCE0judgA3yuh&#10;/YhqRcc8UnKtNI6uY7dNI7j/1DROeNJVFJn6eGIRtLfhTNYrVu4sM63kUwvsJS0846SY1Fj0EWrD&#10;PCN7K/+BUpJbcND4GQeVjESiIshinj7T5rZlRkQuKLUzj6K7/wfLPx4+WyLrimbpFSWaKRz56eeP&#10;06/70+/vZJ4XQaLeuBIzbw3m+uEtDLg4Z79DZ2A+NFaFL3IiIZ4vl8VyQckR7as3ebaYxBaDJxwT&#10;istFmmGcY0KWFXka48kTkLHOvxegSDAqanGWUWJ2+OA8NoWp55RQV8ON7Lo4z07/5cDE4EkCi7Hb&#10;YPlhO0zUtlAfkRk+CqzTgv1GSY8rUVH3dc+soIRpju6K+rP5zo87tDdW7lr8K8oRK+CgYm/TUoVN&#10;+PMe+3h6SOs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cDO949MAAAAFAQAADwAAAAAAAAABACAA&#10;AAAiAAAAZHJzL2Rvd25yZXYueG1sUEsBAhQAFAAAAAgAh07iQAu/X8fZAQAAkAMAAA4AAAAAAAAA&#10;AQAgAAAAIgEAAGRycy9lMm9Eb2MueG1sUEsFBgAAAAAGAAYAWQEAAG0FAAAAAA==&#10;">
                        <v:fill on="f" focussize="0,0"/>
                        <v:stroke on="f"/>
                        <v:imagedata o:title=""/>
                        <o:lock v:ext="edit" aspectratio="f"/>
                        <v:textbox>
                          <w:txbxContent>
                            <w:p w14:paraId="083C6108">
                              <w:pPr>
                                <w:spacing w:line="240" w:lineRule="exact"/>
                                <w:jc w:val="center"/>
                                <w:rPr>
                                  <w:rFonts w:hint="default" w:eastAsia="宋体"/>
                                  <w:lang w:val="en-US" w:eastAsia="zh-CN"/>
                                </w:rPr>
                              </w:pPr>
                              <w:r>
                                <w:rPr>
                                  <w:rFonts w:hint="eastAsia"/>
                                </w:rPr>
                                <w:t>损耗</w:t>
                              </w:r>
                              <w:r>
                                <w:rPr>
                                  <w:rFonts w:hint="eastAsia"/>
                                  <w:lang w:val="en-US" w:eastAsia="zh-CN"/>
                                </w:rPr>
                                <w:t>0.93</w:t>
                              </w:r>
                            </w:p>
                          </w:txbxContent>
                        </v:textbox>
                      </v:shape>
                      <v:shape id="自选图形 1240" o:spid="_x0000_s1026" o:spt="34" type="#_x0000_t34" style="position:absolute;left:676275;top:798830;flip:y;height:1407795;width:779145;" filled="f" stroked="t" coordsize="21600,21600" o:gfxdata="UEsDBAoAAAAAAIdO4kAAAAAAAAAAAAAAAAAEAAAAZHJzL1BLAwQUAAAACACHTuJAJEVky9YAAAAF&#10;AQAADwAAAGRycy9kb3ducmV2LnhtbE2PzU7DMBCE70i8g7VIXBC1U9G/EKeHShWiF0rpA7jxkkS1&#10;16ntps3b13CBy0qjGc18Wyyv1rAefWgdSchGAhhS5XRLtYT91/p5DixERVoZRyhhwADL8v6uULl2&#10;F/rEfhdrlkoo5EpCE2OXcx6qBq0KI9chJe/beatikr7m2qtLKreGj4WYcqtaSguN6nDVYHXcna2E&#10;NSfzcZxshpl/euvtaXjfejuR8vEhE6/AIl7jXxh+8BM6lInp4M6kAzMS0iPx9yZvtlhkwA4SpuMX&#10;Abws+H/68gZQSwMEFAAAAAgAh07iQHXy5AxGAgAAewQAAA4AAABkcnMvZTJvRG9jLnhtbK1UzY7T&#10;MBC+I/EOlu80TfqTNmq6h5blgmAlfu6u7TRG/pPtbdobN8QzcOPIO8DbrARvwdiJtnQR0h7IIZrJ&#10;fP5m5ptxVldHJdGBOy+MrnE+GmPENTVM6H2N3729frbAyAeiGZFG8xqfuMdX66dPVp2teGFaIxl3&#10;CEi0rzpb4zYEW2WZpy1XxI+M5RqCjXGKBHDdPmOOdMCuZFaMx/OsM45ZZyj3Hr5u+yAeGN1jCE3T&#10;CMq3ht4qrkPP6rgkAVryrbAer1O1TcNpeN00ngckawydhvSGJGDv4jtbr0i1d8S2gg4lkMeU8KAn&#10;RYSGpPdUWxIIunXiLyolqDPeNGFEjcr6RpIi0EU+fqDNm5ZYnnoBqb29F93/P1r66nDjkGA1LvIJ&#10;RpooGPnPT99+ffx89+XH3fevKC+mSabO+grQG33jYqM+bI46HcxLOCjYscaTXk6u2Tk2G2J5jGUX&#10;JNHxtqc7Nk6hRgr7HnYyKQnaIOCcl/OiBJJTjcvlYjEZRsaPAVEIl+Uyn0KYQjyfjsGdpUSkioyx&#10;UOt8eMGNQtGo8Q42ZmO0hs0wbpIykcNLH9Lw2CAAYR9yjBolYRcORKLZYl4OtAM4OxPHk1KjrsbL&#10;WRFLIXArGthGMJUFZb3epzzeSMGuhZRJP7ffbaRDQA97mJ4hwwUsFr0lvu1xKRRhpFIicJeslhP2&#10;XDMUThZmp+HS4liM4gwjyeGORyshAxHyjAxOEL2X/0BDg1IPE+uHFMe1M+x0E9OmScJOgnWx9H/6&#10;CXX+Z6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RFZMvWAAAABQEAAA8AAAAAAAAAAQAgAAAA&#10;IgAAAGRycy9kb3ducmV2LnhtbFBLAQIUABQAAAAIAIdO4kB18uQMRgIAAHsEAAAOAAAAAAAAAAEA&#10;IAAAACUBAABkcnMvZTJvRG9jLnhtbFBLBQYAAAAABgAGAFkBAADdBQAAAAA=&#10;" adj="1267">
                        <v:fill on="f" focussize="0,0"/>
                        <v:stroke color="#000000" joinstyle="miter" endarrow="block"/>
                        <v:imagedata o:title=""/>
                        <o:lock v:ext="edit" aspectratio="f"/>
                      </v:shape>
                      <v:shape id="自选图形 1241" o:spid="_x0000_s1026" o:spt="34" type="#_x0000_t34" style="position:absolute;left:676275;top:2206625;height:559435;width:670560;" filled="f" stroked="t" coordsize="21600,21600" o:gfxdata="UEsDBAoAAAAAAIdO4kAAAAAAAAAAAAAAAAAEAAAAZHJzL1BLAwQUAAAACACHTuJAHsjdW9UAAAAF&#10;AQAADwAAAGRycy9kb3ducmV2LnhtbE2PwW7CMBBE75X4B2uReit2KEohjYMUEBISp9J+gIm3SdR4&#10;HcWGQL++217KZaXRjGbe5uur68QFh9B60pDMFAikytuWag0f77unJYgQDVnTeUINNwywLiYPucms&#10;H+kNL8dYCy6hkBkNTYx9JmWoGnQmzHyPxN6nH5yJLIda2sGMXO46OVcqlc60xAuN6XHTYPV1PDsN&#10;O1w8qyX22/2h/E7b21geyn2p9eM0Ua8gIl7jfxh+8RkdCmY6+TPZIDoN/Ej8u+y9rFYJiJOGdL5Q&#10;IItc3tMXP1BLAwQUAAAACACHTuJAWINkiDgCAABWBAAADgAAAGRycy9lMm9Eb2MueG1srVTNjtMw&#10;EL4j8Q6W7zQ/bbJs1HQPLcsFwUrAA7i20xj5T7a3aW/cEM/AjSPvAG+zErwFYye7Sxch7YEeIrvz&#10;zTfzzTfJ8uKgJNpz54XRLS5mOUZcU8OE3rX4/bvLZ88x8oFoRqTRvMVH7vHF6umT5WAbXpreSMYd&#10;AhLtm8G2uA/BNlnmac8V8TNjuYZgZ5wiAa5ulzFHBmBXMivzvM4G45h1hnLv4d/NGMQTo3sMoek6&#10;QfnG0GvFdRhZHZckgCTfC+vxKnXbdZyGN13neUCyxaA0pCcUgfM2PrPVkjQ7R2wv6NQCeUwLDzQp&#10;IjQUvaPakEDQtRN/USlBnfGmCzNqVDYKSRMBFUX+YDZve2J50gKj9vZu6P7/0dLX+yuHBGtxWSww&#10;0kSB5T8/ffv18fPNlx8337+iolwUcUyD9Q2g1/rKRaFcs/VBj5k5TFOwA2xTBGYnyHjxdsw5dE7F&#10;XJCNAF2f1eVZhdERipd5XZfVaAc/BERTPK9qoKYAqKrzxTzFM9Lc8ljnw0tuFIqHFm9hGdZGazDd&#10;uHmyg+xf+ZB8YZM2wj4UGHVKgs17IlE9XyxS16SZwFDgljhmSo2GFp9X0B2iBBa+g0WDo7IwNK93&#10;qY43UrBLIWXM8G63XUuHgB5WLP2mCiewWGRDfD/iUmjUr0TgLi1mzwl7oRkKRwu2aHgfcWxGcYaR&#10;5PD6xlNCBiLkPTI4QfRO/gMNAqWefBqtiSZtDTtexbLJP1g3OJ3s85/3hLr/HK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7I3VvVAAAABQEAAA8AAAAAAAAAAQAgAAAAIgAAAGRycy9kb3ducmV2&#10;LnhtbFBLAQIUABQAAAAIAIdO4kBYg2SIOAIAAFYEAAAOAAAAAAAAAAEAIAAAACQBAABkcnMvZTJv&#10;RG9jLnhtbFBLBQYAAAAABgAGAFkBAADOBQAAAAA=&#10;" adj="1370">
                        <v:fill on="f" focussize="0,0"/>
                        <v:stroke color="#000000" joinstyle="miter" endarrow="block"/>
                        <v:imagedata o:title=""/>
                        <o:lock v:ext="edit" aspectratio="f"/>
                      </v:shape>
                      <v:shape id="自选图形 1244" o:spid="_x0000_s1026" o:spt="34" type="#_x0000_t34" style="position:absolute;left:676275;top:2206625;height:1187450;width:667385;" filled="f" stroked="t" coordsize="21600,21600" o:gfxdata="UEsDBAoAAAAAAIdO4kAAAAAAAAAAAAAAAAAEAAAAZHJzL1BLAwQUAAAACACHTuJAcU2V1dYAAAAF&#10;AQAADwAAAGRycy9kb3ducmV2LnhtbE2PwU7DMBBE70j8g7VI3KidCqVtyKaHqpVAnJr2ADc3XpKo&#10;8TqK3aT8PYYLvaw0mtHM23x9tZ0YafCtY4RkpkAQV860XCMcD7unJQgfNBvdOSaEb/KwLu7vcp0Z&#10;N/GexjLUIpawzzRCE0KfSemrhqz2M9cTR+/LDVaHKIdamkFPsdx2cq5UKq1uOS40uqdNQ9W5vFiE&#10;NnXn7WFL3o6f5fS22H+k7+4V8fEhUS8gAl3Dfxh+8SM6FJHp5C5svOgQ4iPh70ZvsVolIE4I6fxZ&#10;gSxyeUtf/ABQSwMEFAAAAAgAh07iQEAAMElEAgAAcgQAAA4AAABkcnMvZTJvRG9jLnhtbK1Uy47T&#10;MBTdI/EPlvc0TdompWo6i5Zhg6AS8AGu7SRGfsn29LFjh/gGdiz5h+FvRoK/4NpJ54WQZkEX0XXv&#10;ybn3nHud5cVRSbTnzguja5yPxhhxTQ0Tuq3xxw+XL+YY+UA0I9JoXuMT9/hi9fzZ8mAXvDCdkYw7&#10;BCTaLw62xl0IdpFlnnZcET8ylmtINsYpEuDo2ow5cgB2JbNiPC6zg3HMOkO59/Dvpk/igdE9hdA0&#10;jaB8Y+iV4jr0rI5LEkCS74T1eJW6bRpOw7um8TwgWWNQGtITikC8i89stSSL1hHbCTq0QJ7SwiNN&#10;iggNRW+pNiQQdOXEX1RKUGe8acKIGpX1QpIjoCIfP/LmfUcsT1rAam9vTff/j5a+3W8dEqzGRV5h&#10;pImCkf/68uP35683337eXH9HeTGdRpsO1i8AvdZbF4X6sD7q9GJeTTAExxpPeju5ZudcUeRDLo+5&#10;7AFJPHjb0x0bpyItOIKAqazKopphdIK+inFZFrOB+hgQjfmymswhTwGQ5/NqOkujzMjiTGSdD6+5&#10;USgGNd7BoqyN1rAQxk3SqMj+jQ9pZmzQTdgnaLdRElZgTyQq83mSDrQDGKIzcXxTanSo8csZtIco&#10;gcvQwBJCqCwY6nWb6ngjBbsUUibbXLtbS4eAHtYv/ZIxYOh9WCyyIb7rcSnVG6BE4C4tbccJe6UZ&#10;CicLI9NwV3FsRnGGkeRwtWOUkIEIeYcMThDdyn+gQaDUw6D62cQp7Qw7bWPZNEBYRYge7Pr9c0Ld&#10;fSp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xTZXV1gAAAAUBAAAPAAAAAAAAAAEAIAAAACIA&#10;AABkcnMvZG93bnJldi54bWxQSwECFAAUAAAACACHTuJAQAAwSUQCAAByBAAADgAAAAAAAAABACAA&#10;AAAlAQAAZHJzL2Uyb0RvYy54bWxQSwUGAAAAAAYABgBZAQAA2wUAAAAA&#10;" adj="1336">
                        <v:fill on="f" focussize="0,0"/>
                        <v:stroke color="#000000" joinstyle="miter" endarrow="block"/>
                        <v:imagedata o:title=""/>
                        <o:lock v:ext="edit" aspectratio="f"/>
                      </v:shape>
                      <v:shape id="文本框 154" o:spid="_x0000_s1026" o:spt="202" type="#_x0000_t202" style="position:absolute;left:1343660;top:3267075;height:254000;width:2280285;" filled="f" stroked="t" coordsize="21600,21600" o:gfxdata="UEsDBAoAAAAAAIdO4kAAAAAAAAAAAAAAAAAEAAAAZHJzL1BLAwQUAAAACACHTuJAtVEpkNQAAAAF&#10;AQAADwAAAGRycy9kb3ducmV2LnhtbE2PzU7DMBCE70i8g7VI3KidFDUkxOmBwh3SAtdNvE0iYjuK&#10;3R94ehYucFlpNLsz35brsx3FkeYweKchWSgQ5FpvBtdp2G2fbu5AhIjO4OgdafikAOvq8qLEwviT&#10;e6FjHTvBIS4UqKGPcSqkDG1PFsPCT+TY2/vZYmQ5d9LMeOJwO8pUqZW0ODhu6HGih57aj/pgGSN9&#10;3y03zzVlGTbLzePXa75/G7W+vkrUPYhI5/i3DD/4fAMVMzX+4EwQowZ+JP5O9rI8T0A0GlbprQJZ&#10;lfI/ffUNUEsDBBQAAAAIAIdO4kBT7ctFNAIAAFAEAAAOAAAAZHJzL2Uyb0RvYy54bWytVEuS0zAU&#10;3FPFHVTaEzvOZ4ZUnKliwrChgKqBAyiyHKtKPyQlcTgA3IAVG/acK+egJc8Hhk0WZOE8S61+r/s9&#10;eXnVa0X2wgdpTU3Ho5ISYbhtpNnW9NPHmxeXlITITMOUNaKmRxHo1er5s+XBLURlO6sa4QlITFgc&#10;XE27GN2iKALvhGZhZJ0w2Gyt1yzi1W+LxrMD2LUqqrKcFwfrG+ctFyFgdT1s0jtGfw6hbVvJxdry&#10;nRYmDqxeKBYhKXTSBbrK1bat4PF92wYRiaoplMb8RBLEm/QsVku22HrmOsnvSmDnlPBEk2bSIOkD&#10;1ZpFRnZe/kOlJfc22DaOuNXFICQ7AhXj8ok3tx1zImuB1cE9mB7+Hy1/t//giWxqWlVjSgzTaPnp&#10;+7fTj1+nn1/JeDZNFh1cWAB564CN/SvbY3Du1wMWk/K+9Tr9QxNJ+5PpZD6HzceaTqr5RXkxG8wW&#10;fSQcgKq6LKvLGSUciGo2LcvcjeKRyfkQ3wirSQpq6tHM7DHbvw0RVQF6D0mJjb2RSuWGKkMONX05&#10;qxI9w5C2GA6E2kFoMNtME6ySTTqSDge/3VwrT/YsDUr+pXKR4i9YyrdmoRtweWtQpWUUPufuBGte&#10;m4bEo4OVBneIpmK0aChRAlcuRRkZmVTnIFGEMqgldWFwO0Wx3/SgSeHGNkd0BpcaNnXWf0FGjDSk&#10;ft4xj/zMcCzXFB4M4XUc7sDOebntcCq3M2fAoGXdd5ciTfKf77mOxw/B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1USmQ1AAAAAUBAAAPAAAAAAAAAAEAIAAAACIAAABkcnMvZG93bnJldi54bWxQ&#10;SwECFAAUAAAACACHTuJAU+3LRTQCAABQBAAADgAAAAAAAAABACAAAAAjAQAAZHJzL2Uyb0RvYy54&#10;bWxQSwUGAAAAAAYABgBZAQAAyQUAAAAA&#10;">
                        <v:fill on="f" focussize="0,0"/>
                        <v:stroke color="#000000" joinstyle="miter"/>
                        <v:imagedata o:title=""/>
                        <o:lock v:ext="edit" aspectratio="f"/>
                        <v:textbox>
                          <w:txbxContent>
                            <w:p w14:paraId="1E5498C7">
                              <w:pPr>
                                <w:spacing w:line="240" w:lineRule="exact"/>
                                <w:jc w:val="center"/>
                              </w:pPr>
                              <w:r>
                                <w:rPr>
                                  <w:rFonts w:hint="eastAsia"/>
                                  <w:lang w:val="en-US" w:eastAsia="zh-CN"/>
                                </w:rPr>
                                <w:t>沥青搅拌、加热、卸料废气喷淋</w:t>
                              </w:r>
                              <w:r>
                                <w:rPr>
                                  <w:rFonts w:hint="eastAsia"/>
                                </w:rPr>
                                <w:t>用水</w:t>
                              </w:r>
                            </w:p>
                          </w:txbxContent>
                        </v:textbox>
                      </v:shape>
                      <v:shape id="文本框 168" o:spid="_x0000_s1026" o:spt="202" type="#_x0000_t202" style="position:absolute;left:2273935;top:2946400;height:228600;width:648970;" filled="f" stroked="f" coordsize="21600,21600" o:gfxdata="UEsDBAoAAAAAAIdO4kAAAAAAAAAAAAAAAAAEAAAAZHJzL1BLAwQUAAAACACHTuJAcDO949MAAAAF&#10;AQAADwAAAGRycy9kb3ducmV2LnhtbE2PwU7DMBBE70j8g7VI3KidqhQS4vQA4gqiBSRu23ibRMTr&#10;KHab8PcsXOCy0mhGM2/Lzex7daIxdoEtZAsDirgOruPGwuvu8eoWVEzIDvvAZOGLImyq87MSCxcm&#10;fqHTNjVKSjgWaKFNaSi0jnVLHuMiDMTiHcLoMYkcG+1GnKTc93ppzFp77FgWWhzovqX6c3v0Ft6e&#10;Dh/vK/PcPPjrYQqz0exzbe3lRWbuQCWa018YfvAFHSph2ocju6h6C/JI+r3i3eR5BmpvYb1cGdBV&#10;qf/TV99QSwMEFAAAAAgAh07iQGqGJtDZAQAAkAMAAA4AAABkcnMvZTJvRG9jLnhtbK1TS27bMBDd&#10;F8gdCO5rybKr2ILlAK2Rboq2QJID0BRlERA/GdKW3AO0N+iqm+57Lp+jQ0rOr5ssuqGGM6M3894M&#10;V1e9aslBgJNGl3Q6SSkRmptK6l1J726v3y4ocZ7pirVGi5IehaNX64s3q84WIjONaSsBBEG0Kzpb&#10;0sZ7WySJ441QzE2MFRqDtQHFPF5hl1TAOkRXbZKlaZ50BioLhgvn0LsZgnREhNcAmrqWXGwM3yuh&#10;/YAKomUeKblGWkfXsdu6Ftx/qWsnPGlLikx9PLEI2ttwJusVK3bAbCP52AJ7TQsvOCkmNRZ9gNow&#10;z8ge5D9QSnIwztR+wo1KBiJREWQxTV9oc9MwKyIXlNrZB9Hd/4Plnw9fgciqpFk2o0QzhSM//fxx&#10;+vXn9Ps7meaLIFFnXYGZNxZzff/e9Lg4Z79DZ2De16DCFzkRjGfZ5Ww5e0fJEe3lPJ+no9ii94Rj&#10;Qj5fLC9xDDwkZIt8iCePQBac/yiMIsEoKeAso8Ts8Ml5bApTzymhrjbXsm3jPFv9zIGJwZMEFkO3&#10;wfL9th+pbU11RGb4KLBOY+AbJR2uREnd/Z6BoIRpju6S+rP5wQ87tLcgdw3+FeWIFXBQsbdxqcIm&#10;PL3HPh4f0vo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cDO949MAAAAFAQAADwAAAAAAAAABACAA&#10;AAAiAAAAZHJzL2Rvd25yZXYueG1sUEsBAhQAFAAAAAgAh07iQGqGJtDZAQAAkAMAAA4AAAAAAAAA&#10;AQAgAAAAIgEAAGRycy9lMm9Eb2MueG1sUEsFBgAAAAAGAAYAWQEAAG0FAAAAAA==&#10;">
                        <v:fill on="f" focussize="0,0"/>
                        <v:stroke on="f"/>
                        <v:imagedata o:title=""/>
                        <o:lock v:ext="edit" aspectratio="f"/>
                        <v:textbox>
                          <w:txbxContent>
                            <w:p w14:paraId="44E813D7">
                              <w:pPr>
                                <w:spacing w:line="240" w:lineRule="exact"/>
                                <w:jc w:val="center"/>
                                <w:rPr>
                                  <w:rFonts w:hint="default" w:eastAsia="宋体"/>
                                  <w:lang w:val="en-US" w:eastAsia="zh-CN"/>
                                </w:rPr>
                              </w:pPr>
                              <w:r>
                                <w:rPr>
                                  <w:rFonts w:hint="eastAsia"/>
                                </w:rPr>
                                <w:t>损耗</w:t>
                              </w:r>
                              <w:r>
                                <w:rPr>
                                  <w:rFonts w:hint="eastAsia"/>
                                  <w:lang w:val="en-US" w:eastAsia="zh-CN"/>
                                </w:rPr>
                                <w:t>0.2</w:t>
                              </w:r>
                            </w:p>
                          </w:txbxContent>
                        </v:textbox>
                      </v:shape>
                      <v:shape id="_x0000_s1026" o:spid="_x0000_s1026" o:spt="34" type="#_x0000_t34" style="position:absolute;left:676275;top:428625;flip:y;height:1778000;width:502285;" filled="f" stroked="t" coordsize="21600,21600" o:gfxdata="UEsDBAoAAAAAAIdO4kAAAAAAAAAAAAAAAAAEAAAAZHJzL1BLAwQUAAAACACHTuJAydpWh9cAAAAF&#10;AQAADwAAAGRycy9kb3ducmV2LnhtbE2PQUsDMRCF74L/IYzgRdpki1S7brZoQfHgxSoVb9PNuLuY&#10;TNYkbVd/vdGLXgYe7/HeN9VydFbsKcTes4ZiqkAQN9703Gp4frqdXIKICdmg9UwaPinCsj4+qrA0&#10;/sCPtF+nVuQSjiVq6FIaSilj05HDOPUDcfbefHCYsgytNAEPudxZOVNqLh32nBc6HGjVUfO+3jkN&#10;Yfi4G+PX6/WNvH8pVmemMXbzoPXpSaGuQCQa018YfvAzOtSZaet3bKKwGvIj6fdm72KxKEBsNcxn&#10;5wpkXcn/9PU3UEsDBBQAAAAIAIdO4kB76VyEPQIAAEsEAAAOAAAAZHJzL2Uyb0RvYy54bWytVMuO&#10;0zAU3SPxD5b3NGk6fUzUdBYtwwZBJR77W8dJjPyS7WnaLR/AmhULJFjxC4ivAeYzuHEyM3TYzIIs&#10;Ijvn+tx7zz3O8uKgJNlz54XRBR2PUkq4ZqYUui7om9eXTxaU+AC6BGk0L+iRe3qxevxo2dqcZ6Yx&#10;suSOIIn2eWsL2oRg8yTxrOEK/MhYrhGsjFMQcOvqpHTQIruSSZams6Q1rrTOMO49ft30IB0Y3UMI&#10;TVUJxjeGXSmuQ8/quISALflGWE9Xsdqq4iy8rCrPA5EFxU5DfGMSXO+6d7JaQl47sI1gQwnwkBLu&#10;9aRAaEx6S7WBAOTKiX+olGDOeFOFETMq6RuJimAX4/SeNq8asDz2glJ7eyu6/3+07MV+64go0QlT&#10;SjQonPj1+48/v3++/vHp14cvv799JYigTK31OUav9dZ1jfqwPuj+4HxCcXEo6KSXk+vyDjsbsHGH&#10;JSck3cbbnu5QOUUqKexbrCQqidoQ5JzNZ9kcSzsW9CxbzLJYC+T8EAhDeJpm2QJhhvh4Pl+kaZxp&#10;AnnH2BVqnQ/PuFGkWxR0h45ZG63RGcZNYibYP/chDq8cFIDy3ZiSSkn0wh4kOccksX7Ih2BMcEPc&#10;ndTmUkgZzSQ1aQt6PsVKCQO8IBUaE5fKoshe15SArPHmseBidm+kKLvTUVVX79bSEUyK7ozPkPck&#10;rEu9Ad/0cRHqpQ8g5FNdknC0OMjgBOha8oFC6mECveid/DtTHrfuZjLoMYw4MfHf+3j67h+w+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J2laH1wAAAAUBAAAPAAAAAAAAAAEAIAAAACIAAABkcnMv&#10;ZG93bnJldi54bWxQSwECFAAUAAAACACHTuJAe+lchD0CAABLBAAADgAAAAAAAAABACAAAAAmAQAA&#10;ZHJzL2Uyb0RvYy54bWxQSwUGAAAAAAYABgBZAQAA1QUAAAAA&#10;" adj="1993">
                        <v:fill on="f" focussize="0,0"/>
                        <v:stroke color="#000000 [3213]" joinstyle="round" endarrow="block"/>
                        <v:imagedata o:title=""/>
                        <o:lock v:ext="edit" aspectratio="f"/>
                      </v:shape>
                      <v:shape id="_x0000_s1026" o:spid="_x0000_s1026" o:spt="32" type="#_x0000_t32" style="position:absolute;left:2748915;top:793115;flip:y;height:5715;width:257175;" filled="f" stroked="t" coordsize="21600,21600" o:gfxdata="UEsDBAoAAAAAAIdO4kAAAAAAAAAAAAAAAAAEAAAAZHJzL1BLAwQUAAAACACHTuJA22wLOtYAAAAF&#10;AQAADwAAAGRycy9kb3ducmV2LnhtbE2PwU7DMBBE70j8g7VIXBC1E0FpQ5wegMKpqgjlvo2XJGq8&#10;jmK3Tf4ewwUuK41mNPM2X422EycafOtYQzJTIIgrZ1quNew+1rcLED4gG+wck4aJPKyKy4scM+PO&#10;/E6nMtQilrDPUEMTQp9J6auGLPqZ64mj9+UGiyHKoZZmwHMst51MlZpLiy3HhQZ7emqoOpRHq+G5&#10;3N6vP292YzpVb5vydXHY8vSi9fVVoh5BBBrDXxh+8CM6FJFp745svOg0xEfC743ew3KZgNhrmKd3&#10;CmSRy//0xTdQSwMEFAAAAAgAh07iQAZBluMmAgAAJwQAAA4AAABkcnMvZTJvRG9jLnhtbK1TzY7T&#10;MBC+I/EOlu80TZfSbdR0Dy3LBUElWO6u4ySW/Kext2lfghdA4gScgNPeeZpleQzGTuguy2UP5GCN&#10;83m+me/zeHG214rsBHhpTUnz0ZgSYbitpGlKevH2/MkpJT4wUzFljSjpQXh6tnz8aNG5Qkxsa1Ul&#10;gCCJ8UXnStqG4Ios87wVmvmRdcIgWFvQLOAWmqwC1iG7VtlkPH6WdRYqB5YL7/HvugfpwAgPIbR1&#10;LblYW36phQk9KwjFAkryrXSeLlO3dS14eF3XXgSiSopKQ1qxCMbbuGbLBSsaYK6VfGiBPaSFe5o0&#10;kwaLHqnWLDByCfIfKi05WG/rMOJWZ72Q5AiqyMf3vHnTMieSFrTau6Pp/v/R8le7DRBZ4STMKDFM&#10;443ffLj6+f7zzfdv15+ufv34GOOvXwjiaFbnfIE5K7OBKNeH1d4M6VOKwb6kJ72pwlRHbD4ZsDxi&#10;2V8kceNdT7evQZNaSfcO+0l+okMEOSezp6fzHCscSjqbn+QYppsT+0B4xKezfIYwRxzDhGasiHyx&#10;TQc+vBBWkxiU1AdgsmnDyhqDE2Khr8V2L32I/d0mxGRjz6VSqZwypCvpfDqJpRgOf41Dh6F2aKA3&#10;DSVMNfiqeIDUvbdKVjE7eQXNdqWA7FicxfQlN9DFu8dii2vm2/5cgnqtgUn13FQkHBxeUgDJTKPE&#10;QKHM4GtvZTR1a6vDBv74jfOTlA2zHgf07j5l377v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b&#10;bAs61gAAAAUBAAAPAAAAAAAAAAEAIAAAACIAAABkcnMvZG93bnJldi54bWxQSwECFAAUAAAACACH&#10;TuJABkGW4yYCAAAnBAAADgAAAAAAAAABACAAAAAlAQAAZHJzL2Uyb0RvYy54bWxQSwUGAAAAAAYA&#10;BgBZAQAAvQUAAAAA&#10;">
                        <v:fill on="f" focussize="0,0"/>
                        <v:stroke color="#000000 [3213]" joinstyle="round" endarrow="block"/>
                        <v:imagedata o:title=""/>
                        <o:lock v:ext="edit" aspectratio="f"/>
                      </v:shape>
                      <v:shape id="_x0000_s1026" o:spid="_x0000_s1026" o:spt="32" type="#_x0000_t32" style="position:absolute;left:1553845;top:252730;flip:y;height:54610;width:127635;" filled="f" stroked="t" coordsize="21600,21600" o:gfxdata="UEsDBAoAAAAAAIdO4kAAAAAAAAAAAAAAAAAEAAAAZHJzL1BLAwQUAAAACACHTuJAf9Bei9QAAAAF&#10;AQAADwAAAGRycy9kb3ducmV2LnhtbE2PQUvDQBCF74L/YRnBm91NKa2N2RQUehEvplY8TrPTJJid&#10;CdlNW/+9qxe9DDze471vis3F9+pEY+iELWQzA4q4FtdxY+Ftt727BxUissNemCx8UYBNeX1VYO7k&#10;zK90qmKjUgmHHC20MQ651qFuyWOYyUCcvKOMHmOSY6PdiOdU7ns9N2apPXacFloc6Kml+rOavIU9&#10;ye5Dr45C1fZZP9L7y2La19be3mTmAVSkS/wLww9+QocyMR1kYhdUbyE9En9v8lbrdQbqYGE5XxjQ&#10;ZaH/05ffUEsDBBQAAAAIAIdO4kBZo7aOLAIAADUEAAAOAAAAZHJzL2Uyb0RvYy54bWytU8uO0zAU&#10;3SPxD5b3NH13FDWdRcuwQVCJx951nMSSX/L1NO1P8ANIrIAVsJo9XwPDZ3DthHYYNrOgi+i6J/fc&#10;c49PlpcHrcheeJDWFHQ0GFIiDLelNHVB37y+enJBCQRmSqasEQU9CqCXq8ePlq3Lxdg2VpXCEyQx&#10;kLeuoE0ILs8y4I3QDAbWCYNgZb1mAY++zkrPWmTXKhsPh/Ostb503nIBgP9uOpD2jP4hhLaqJBcb&#10;y6+1MKFj9UKxgCtBIx3QVVJbVYKHl1UFIhBVUNw0pCcOwXoXn9lqyfLaM9dI3ktgD5FwbyfNpMGh&#10;J6oNC4xce/kPlZbcW7BVGHCrs26R5AhuMRre8+ZVw5xIu6DV4E6mw/+j5S/2W09kiUnAezdM443f&#10;vr/5+e7T7bevPz7e/Pr+IdZfPhPE0azWQY49a7P1cV0I64Pp2hdTisXhZKow5Rlb9Ng4cmR/kcQD&#10;uI7uUHlNKiXdW9ST/ESHCHKOZrPJxXRGybGg49l4MelvThwC4REfL+YThDnis+l8lOCM5ZEw6nQe&#10;wjNhNYlFQSF4JusmrK0xGBHru2Fs/xxCFHhuiM3GXkmlUlKUIW0KD2cY/QojhzO1Q/vA1JQwVeM3&#10;xYNP2sEqWcbW5JSvd2vlyZ7FJKZf8gI9vPta1Ldh0HTvJajLaGBSPTUlCUeHVxS8ZKZWgkY5oClR&#10;Agdj0alXpne5MzZavLPlcev/uI9pSmv2yY9xvXtO3eevff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9Bei9QAAAAFAQAADwAAAAAAAAABACAAAAAiAAAAZHJzL2Rvd25yZXYueG1sUEsBAhQAFAAA&#10;AAgAh07iQFmjto4sAgAANQQAAA4AAAAAAAAAAQAgAAAAIwEAAGRycy9lMm9Eb2MueG1sUEsFBgAA&#10;AAAGAAYAWQEAAMEFAAAAAA==&#10;">
                        <v:fill on="f" focussize="0,0"/>
                        <v:stroke weight="0pt" color="#000000 [3213]" joinstyle="round" endarrow="block" endarrowwidth="narrow" endarrowlength="short"/>
                        <v:imagedata o:title=""/>
                        <o:lock v:ext="edit" aspectratio="f"/>
                      </v:shape>
                      <v:shape id="_x0000_s1026" o:spid="_x0000_s1026" o:spt="32" type="#_x0000_t32" style="position:absolute;left:2432685;top:1176020;flip:y;height:66040;width:93980;" filled="f" stroked="t" coordsize="21600,21600" o:gfxdata="UEsDBAoAAAAAAIdO4kAAAAAAAAAAAAAAAAAEAAAAZHJzL1BLAwQUAAAACACHTuJAf9Bei9QAAAAF&#10;AQAADwAAAGRycy9kb3ducmV2LnhtbE2PQUvDQBCF74L/YRnBm91NKa2N2RQUehEvplY8TrPTJJid&#10;CdlNW/+9qxe9DDze471vis3F9+pEY+iELWQzA4q4FtdxY+Ftt727BxUissNemCx8UYBNeX1VYO7k&#10;zK90qmKjUgmHHC20MQ651qFuyWOYyUCcvKOMHmOSY6PdiOdU7ns9N2apPXacFloc6Kml+rOavIU9&#10;ye5Dr45C1fZZP9L7y2La19be3mTmAVSkS/wLww9+QocyMR1kYhdUbyE9En9v8lbrdQbqYGE5XxjQ&#10;ZaH/05ffUEsDBBQAAAAIAIdO4kCtjKCDLgIAADUEAAAOAAAAZHJzL2Uyb0RvYy54bWytU0uOEzEQ&#10;3SNxB8t70p1kyCStdGaRMGwQROKzd9zubkv+yeXJ5xJcAIkVsBpYzZ7TwHAMyu4mGYbNLOiFVe5y&#10;vXr1/Dy/2GtFtsKDtKakw0FOiTDcVtI0JX375vLJlBIIzFRMWSNKehBALxaPH813rhAj21pVCU8Q&#10;xECxcyVtQ3BFlgFvhWYwsE4YTNbWaxZw65us8myH6FplozyfZDvrK+ctFwD4d9UlaY/oHwJo61py&#10;sbL8SgsTOlQvFAs4ErTSAV0ktnUteHhV1yACUSXFSUNasQnGm7hmizkrGs9cK3lPgT2Ewr2ZNJMG&#10;mx6hViwwcuXlP1Bacm/B1mHArc66QZIiOMUwv6fN65Y5kWZBqcEdRYf/B8tfbteeyAqdMKPEMI03&#10;fvvh5uf7z7ffvv74dPPr+8cYX38hmEexdg4KrFmatY/jQljuTV8+phjsj6IKU51y531uFDGyv0Di&#10;BlwHt6+9JrWS7h3ySXqiQgQxR2fj0WT6lJIDJobnk3zUX53YB8LxwGw8m+KdcsxPJvlZymasiICR&#10;p/MQngurSQxKCsEz2bRhaY1Bi1jfNWPbFxAiwVNBLDb2UiqVnKIM2SXzcIbWr9Fy2FM7lA9MQwlT&#10;Db4pHnziDlbJKpYmpXyzWSpPtiw6MX1JC9Tw7rHIb8Wg7c6lVOfRwKR6ZioSDg6vKHjJTKMEjXRA&#10;U6IENsagY69Mr3InbJR4Y6vD2v9RH92UxuydH+16d5+qT699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F6L1AAAAAUBAAAPAAAAAAAAAAEAIAAAACIAAABkcnMvZG93bnJldi54bWxQSwECFAAU&#10;AAAACACHTuJArYyggy4CAAA1BAAADgAAAAAAAAABACAAAAAjAQAAZHJzL2Uyb0RvYy54bWxQSwUG&#10;AAAAAAYABgBZAQAAwwUAAAAA&#10;">
                        <v:fill on="f" focussize="0,0"/>
                        <v:stroke weight="0pt" color="#000000 [3213]" joinstyle="round" endarrow="block" endarrowwidth="narrow" endarrowlength="short"/>
                        <v:imagedata o:title=""/>
                        <o:lock v:ext="edit" aspectratio="f"/>
                      </v:shape>
                      <v:shape id="_x0000_s1026" o:spid="_x0000_s1026" o:spt="34" type="#_x0000_t34" style="position:absolute;left:676275;top:1370330;flip:y;height:836295;width:701675;" filled="f" stroked="t" coordsize="21600,21600" o:gfxdata="UEsDBAoAAAAAAIdO4kAAAAAAAAAAAAAAAAAEAAAAZHJzL1BLAwQUAAAACACHTuJAaAwoQNYAAAAF&#10;AQAADwAAAGRycy9kb3ducmV2LnhtbE2PMU/DMBCFdyT+g3VIbNROhUob4nQAMVQdgNCF7RofSVT7&#10;HMVO0/x7DAssJz29p/e+K7YXZ8WZhtB51pAtFAji2puOGw2Hj5e7NYgQkQ1az6RhpgDb8vqqwNz4&#10;id/pXMVGpBIOOWpoY+xzKUPdksOw8D1x8r784DAmOTTSDDilcmflUqmVdNhxWmixp6eW6lM1Og3j&#10;2+fezqfp9bDP7PrZ7ObdNFda395k6hFEpEv8C8MPfkKHMjEd/cgmCKshPRJ/b/IeNpsMxFHDanmv&#10;QJaF/E9ffgNQSwMEFAAAAAgAh07iQPQsIkM7AgAASwQAAA4AAABkcnMvZTJvRG9jLnhtbK1Uu47U&#10;MBTtkfgHyz2T105mJ5rMFjMsDYKVePQex0mM/JLtnUfLB1BTUSBBxS8gvgbYz+Dayc4yS7MFKSI7&#10;5/rce889zuJiLwXaMuu4VjXOJilGTFHdcNXV+M3ryyfnGDlPVEOEVqzGB+bwxfLxo8XOVCzXvRYN&#10;swhIlKt2psa996ZKEkd7JombaMMUgK22knjY2i5pLNkBuxRJnqZlstO2MVZT5hx8XQ8gHhntQwh1&#10;23LK1ppeS6b8wGqZIB5acj03Di9jtW3LqH/Zto55JGoMnfr4hiSw3oR3slyQqrPE9JyOJZCHlHCv&#10;J0m4gqRHqjXxBF1b/g+V5NRqp1s/oVomQyNREegiS+9p86onhsVeQGpnjqK7/0dLX2yvLOJNjXOQ&#10;RBEJE795//Hn9883Pz79+vDl97evCBCQaWdcBdErdWVDo86v9ioezGYFhsW+xsUgJ1PNEZvfYlnA&#10;khOSsHFmoNu3VqJWcPMWPBmVBG0QcJazMp9NMTrA92KWFsU4M7b3iAI+S7My4BQCzosyn09jIlIF&#10;xlCosc4/Y1qisKjxBhyz0kqBM7QtYiayfe58HF4zKkCadxlGrRTghS0RqMzPzkbaMTi5Iw4nlb7k&#10;QkQzCYV2NZ5P81AUgQvSgjFhKQ2I7FSHEREd3DzqbczutOBNOB1Vtd1mJSyCpODO+Ix5T8JCK2vi&#10;+iEuQiGMVJ5w8VQ1yB8MDNJbTlQn2Egh1DiBQfQg/0Y3hyt7OxnwGEScmPjvfTx99w9Y/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oDChA1gAAAAUBAAAPAAAAAAAAAAEAIAAAACIAAABkcnMvZG93&#10;bnJldi54bWxQSwECFAAUAAAACACHTuJA9CwiQzsCAABLBAAADgAAAAAAAAABACAAAAAlAQAAZHJz&#10;L2Uyb0RvYy54bWxQSwUGAAAAAAYABgBZAQAA0gUAAAAA&#10;" adj="1349">
                        <v:fill on="f" focussize="0,0"/>
                        <v:stroke color="#000000 [3213]" joinstyle="round" endarrow="block"/>
                        <v:imagedata o:title=""/>
                        <o:lock v:ext="edit" aspectratio="f"/>
                      </v:shape>
                      <v:shape id="_x0000_s1026" o:spid="_x0000_s1026" o:spt="32" type="#_x0000_t32" style="position:absolute;left:676275;top:2202815;flip:y;height:3810;width:670560;" filled="f" stroked="t" coordsize="21600,21600" o:gfxdata="UEsDBAoAAAAAAIdO4kAAAAAAAAAAAAAAAAAEAAAAZHJzL1BLAwQUAAAACACHTuJA22wLOtYAAAAF&#10;AQAADwAAAGRycy9kb3ducmV2LnhtbE2PwU7DMBBE70j8g7VIXBC1E0FpQ5wegMKpqgjlvo2XJGq8&#10;jmK3Tf4ewwUuK41mNPM2X422EycafOtYQzJTIIgrZ1quNew+1rcLED4gG+wck4aJPKyKy4scM+PO&#10;/E6nMtQilrDPUEMTQp9J6auGLPqZ64mj9+UGiyHKoZZmwHMst51MlZpLiy3HhQZ7emqoOpRHq+G5&#10;3N6vP292YzpVb5vydXHY8vSi9fVVoh5BBBrDXxh+8CM6FJFp745svOg0xEfC743ew3KZgNhrmKd3&#10;CmSRy//0xTdQSwMEFAAAAAgAh07iQKcDb9IsAgAAJwQAAA4AAABkcnMvZTJvRG9jLnhtbK1Tu24U&#10;MRTtkfgHyz07j2UfjHY2xS6hQRCJR+/12DOW/JLt7Oz+BD+ARAVUgSo9XwPhM7j2TBISmhRMYV3P&#10;9T33nuPj1clBSbRnzguja1xMcoyYpqYRuq3xu7enT5YY+UB0Q6TRrMZH5vHJ+vGjVW8rVprOyIY5&#10;BCDaV72tcReCrbLM044p4ifGMg1JbpwiAbauzRpHekBXMivzfJ71xjXWGcq8h7/bIYlHRPcQQMO5&#10;oGxr6LliOgyojkkSgJLvhPV4nablnNHwmnPPApI1BqYhrdAE4l1cs/WKVK0jthN0HIE8ZIR7nBQR&#10;GpreQG1JIOjciX+glKDOeMPDhBqVDUSSIsCiyO9p86YjliUuILW3N6L7/wdLX+3PHBJNjcsCI00U&#10;3PjVx8tfH75cff/28/Pl7x+fYnzxFUEexOqtr6Bmo89cpOvD5qBTebGYYggONZ4OojLdXOfK/OmY&#10;SxjZHZC48XaAO3CnEJfCvgdnJj1BIQSY88W8XMwwOsKcZV4ui9nY5BAQTfl8Noc7pXBguizSvWak&#10;inhxTOt8eMGMQjGosQ+OiLYLG6M1OMS4oRfZv/QBOELhdUEs1uZUSJmMIjXqa/xsVsIolID5OZgO&#10;QmVBQK9bjIhs4VXR4NL03kjRxOqklWt3G+nQnkQvpi+SgG53jsXWW+K74VxKDVwDEfK5blA4Wrik&#10;4ATRrWQjhNSAdCtljHamOZ652CHuwD+p1+j1aNC/9+nU7fte/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bbAs61gAAAAUBAAAPAAAAAAAAAAEAIAAAACIAAABkcnMvZG93bnJldi54bWxQSwECFAAU&#10;AAAACACHTuJApwNv0iwCAAAnBAAADgAAAAAAAAABACAAAAAlAQAAZHJzL2Uyb0RvYy54bWxQSwUG&#10;AAAAAAYABgBZAQAAwwUAAAAA&#10;">
                        <v:fill on="f" focussize="0,0"/>
                        <v:stroke color="#000000 [3213]" joinstyle="round" endarrow="block"/>
                        <v:imagedata o:title=""/>
                        <o:lock v:ext="edit" aspectratio="f"/>
                      </v:shape>
                      <v:shape id="文本框 181" o:spid="_x0000_s1026" o:spt="202" type="#_x0000_t202" style="position:absolute;left:778510;top:1996440;height:231140;width:423545;" filled="f" stroked="f" coordsize="21600,21600" o:gfxdata="UEsDBAoAAAAAAIdO4kAAAAAAAAAAAAAAAAAEAAAAZHJzL1BLAwQUAAAACACHTuJAcDO949MAAAAF&#10;AQAADwAAAGRycy9kb3ducmV2LnhtbE2PwU7DMBBE70j8g7VI3KidqhQS4vQA4gqiBSRu23ibRMTr&#10;KHab8PcsXOCy0mhGM2/Lzex7daIxdoEtZAsDirgOruPGwuvu8eoWVEzIDvvAZOGLImyq87MSCxcm&#10;fqHTNjVKSjgWaKFNaSi0jnVLHuMiDMTiHcLoMYkcG+1GnKTc93ppzFp77FgWWhzovqX6c3v0Ft6e&#10;Dh/vK/PcPPjrYQqz0exzbe3lRWbuQCWa018YfvAFHSph2ocju6h6C/JI+r3i3eR5BmpvYb1cGdBV&#10;qf/TV99QSwMEFAAAAAgAh07iQD6haszYAQAAjgMAAA4AAABkcnMvZTJvRG9jLnhtbK1TwY7TMBC9&#10;I/EPlu80Tbbd7VZNV4JquSBAWvgA13EaS7HHeNwm5QPgDzhx4b7f1e9g7KS7sFz2wMUZz0zezHsz&#10;Xt30pmUH5VGDLXk+mXKmrIRK213JP3+6fbXgDIOwlWjBqpIfFfKb9csXq84tVQENtJXyjEAsLjtX&#10;8iYEt8wylI0yAifglKVgDd6IQFe/yyovOkI3bVZMp5dZB75yHqRCJO9mCPIR0T8HEOpaS7UBuTfK&#10;hgHVq1YEooSNdsjXqdu6VjJ8qGtUgbUlJ6YhnVSE7G08s/VKLHdeuEbLsQXxnBaecDJCWyr6ALUR&#10;QbC91/9AGS09INRhIsFkA5GkCLHIp0+0uWuEU4kLSY3uQXT8f7Dy/eGjZ7oqeVFwZoWhiZ9+fD/9&#10;vD/9+sbyRR4V6hwuKfHOUWroX0NPe3P2Izkj8b72Jn6JEqP41dVinpPIR0q9vr6czUapVR+YpPis&#10;uJjP5pxJSigu8nyIZ484zmN4q8CwaJTc0ySTwOLwDgP1RKnnlFjWwq1u2zTN1v7loMToySKJodlo&#10;hX7bj8y2UB2JGD0JqtOA/8pZRwtRcvyyF15xJqwkd8nD2XwThg3aO693Df2V1EgVaEypt3Gl4h78&#10;eU99PD6j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wM73j0wAAAAUBAAAPAAAAAAAAAAEAIAAA&#10;ACIAAABkcnMvZG93bnJldi54bWxQSwECFAAUAAAACACHTuJAPqFqzNgBAACOAwAADgAAAAAAAAAB&#10;ACAAAAAiAQAAZHJzL2Uyb0RvYy54bWxQSwUGAAAAAAYABgBZAQAAbAUAAAAA&#10;">
                        <v:fill on="f" focussize="0,0"/>
                        <v:stroke on="f"/>
                        <v:imagedata o:title=""/>
                        <o:lock v:ext="edit" aspectratio="f"/>
                        <v:textbox>
                          <w:txbxContent>
                            <w:p w14:paraId="511C0D46">
                              <w:pPr>
                                <w:spacing w:line="240" w:lineRule="exact"/>
                                <w:jc w:val="center"/>
                                <w:rPr>
                                  <w:rFonts w:hint="default" w:eastAsia="宋体"/>
                                  <w:lang w:val="en-US" w:eastAsia="zh-CN"/>
                                </w:rPr>
                              </w:pPr>
                              <w:r>
                                <w:rPr>
                                  <w:rFonts w:hint="eastAsia"/>
                                  <w:lang w:val="en-US" w:eastAsia="zh-CN"/>
                                </w:rPr>
                                <w:t>0.93</w:t>
                              </w:r>
                            </w:p>
                          </w:txbxContent>
                        </v:textbox>
                      </v:shape>
                      <v:shape id="_x0000_s1026" o:spid="_x0000_s1026" o:spt="32" type="#_x0000_t32" style="position:absolute;left:1992630;top:1974850;flip:y;height:99695;width:125095;" filled="f" stroked="t" coordsize="21600,21600" o:gfxdata="UEsDBAoAAAAAAIdO4kAAAAAAAAAAAAAAAAAEAAAAZHJzL1BLAwQUAAAACACHTuJAf9Bei9QAAAAF&#10;AQAADwAAAGRycy9kb3ducmV2LnhtbE2PQUvDQBCF74L/YRnBm91NKa2N2RQUehEvplY8TrPTJJid&#10;CdlNW/+9qxe9DDze471vis3F9+pEY+iELWQzA4q4FtdxY+Ftt727BxUissNemCx8UYBNeX1VYO7k&#10;zK90qmKjUgmHHC20MQ651qFuyWOYyUCcvKOMHmOSY6PdiOdU7ns9N2apPXacFloc6Kml+rOavIU9&#10;ye5Dr45C1fZZP9L7y2La19be3mTmAVSkS/wLww9+QocyMR1kYhdUbyE9En9v8lbrdQbqYGE5XxjQ&#10;ZaH/05ffUEsDBBQAAAAIAIdO4kAMxy0oMAIAADYEAAAOAAAAZHJzL2Uyb0RvYy54bWytU82O0zAQ&#10;viPxDpbvNGl3291GTffQslwQVOLnPnWcxJL/ZHub9iV4ASROwAk47Z2ngeUxGDuhyy6XPZBDNOOZ&#10;+Wbm8+fFxV5JsuPOC6NLOh7llHDNTCV0U9I3ry+fnFPiA+gKpNG8pAfu6cXy8aNFZws+Ma2RFXcE&#10;QbQvOlvSNgRbZJlnLVfgR8ZyjcHaOAUBXddklYMO0ZXMJnk+yzrjKusM497j6boP0gHRPQTQ1LVg&#10;fG3YleI69KiOSwi4km+F9XSZpq1rzsLLuvY8EFlS3DSkPzZBexv/2XIBRePAtoINI8BDRri3kwKh&#10;sekRag0ByJUT/0ApwZzxpg4jZlTWL5IYwS3G+T1uXrVgedoFqfb2SLr/f7DsxW7jiKhKOjmhRIPC&#10;G795f/3z3aebb19/fLz+9f1DtL98JhhHsjrrC6xZ6Y2L6/qw2uu+PD+laOyPpHJd3cbOhtgkYmR3&#10;QKLjbQ+3r50itRT2LSoz8YkMEcQcz+eT2Qle2iHaZ6fn0+Hq+D4QFhMm03w+pYRhwnw+QzM2giIi&#10;xkGt8+EZN4pEo6Q+OBBNG1ZGa9SIcX032D33oS/8UxCLtbkUUuI5FFKTLqmHAWq/Rs1hT2WRP68b&#10;SkA2+KhYcGl4b6SoYmmiyjXblXRkB1GK6RtmvJMW+67Bt31eCsU0KAII+VRXJBws3lFwAnQjOY3j&#10;eEWJ5NgYjX56qQeae2Yjx1tTHTYuhqOHckr8DNKPev3bT1m3z33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QXovUAAAABQEAAA8AAAAAAAAAAQAgAAAAIgAAAGRycy9kb3ducmV2LnhtbFBLAQIU&#10;ABQAAAAIAIdO4kAMxy0oMAIAADYEAAAOAAAAAAAAAAEAIAAAACMBAABkcnMvZTJvRG9jLnhtbFBL&#10;BQYAAAAABgAGAFkBAADFBQAAAAA=&#10;">
                        <v:fill on="f" focussize="0,0"/>
                        <v:stroke weight="0pt" color="#000000 [3213]" joinstyle="round" endarrow="block" endarrowwidth="narrow" endarrowlength="short"/>
                        <v:imagedata o:title=""/>
                        <o:lock v:ext="edit" aspectratio="f"/>
                      </v:shape>
                      <v:shape id="文本框 181" o:spid="_x0000_s1026" o:spt="202" type="#_x0000_t202" style="position:absolute;left:795020;top:2553335;height:231140;width:423545;" filled="f" stroked="f" coordsize="21600,21600" o:gfxdata="UEsDBAoAAAAAAIdO4kAAAAAAAAAAAAAAAAAEAAAAZHJzL1BLAwQUAAAACACHTuJAcDO949MAAAAF&#10;AQAADwAAAGRycy9kb3ducmV2LnhtbE2PwU7DMBBE70j8g7VI3KidqhQS4vQA4gqiBSRu23ibRMTr&#10;KHab8PcsXOCy0mhGM2/Lzex7daIxdoEtZAsDirgOruPGwuvu8eoWVEzIDvvAZOGLImyq87MSCxcm&#10;fqHTNjVKSjgWaKFNaSi0jnVLHuMiDMTiHcLoMYkcG+1GnKTc93ppzFp77FgWWhzovqX6c3v0Ft6e&#10;Dh/vK/PcPPjrYQqz0exzbe3lRWbuQCWa018YfvAFHSph2ocju6h6C/JI+r3i3eR5BmpvYb1cGdBV&#10;qf/TV99QSwMEFAAAAAgAh07iQIEZvh7YAQAAjgMAAA4AAABkcnMvZTJvRG9jLnhtbK1TzY7TMBC+&#10;I/EOlu80fw0sUd2VoFouCJAWHsB1nMZS7DG226Q8ALwBJy7cea4+B2On3YXlsgcuznhm8s1834xX&#10;15MeyEE6r8AwWixySqQR0CqzY/TTx5tnV5T4wE3LBzCS0aP09Hr99MlqtI0soYehlY4giPHNaBnt&#10;Q7BNlnnRS839Aqw0GOzAaR7w6nZZ6/iI6HrIyjx/no3gWutASO/Ru5mD9IzoHgMIXaeE3IDYa2nC&#10;jOrkwANS8r2ynq5Tt10nRXjfdV4GMjCKTEM6sQja23hm6xVvdo7bXolzC/wxLTzgpLkyWPQOasMD&#10;J3un/oHSSjjw0IWFAJ3NRJIiyKLIH2hz23MrExeU2ts70f3/gxXvDh8cUS2j5ZISwzVO/PT92+nH&#10;r9PPr6S4KqJCo/UNJt5aTA3TK5hwby5+j85IfOqcjl+kRDD+4mWdlyjyEYHruqqqepZaToEIjC/L&#10;ql7WlIiYUBXFMo0iu8exzoc3EjSJBqMOJ5kE5oe3PmBPmHpJiWUN3KhhSNMczF8OTIyeLJKYm41W&#10;mLbTmdkW2iMSwyeBdXpwXygZcSEY9Z/33ElKuBHoZjRczNdh3qC9dWrX419JjVQBx5R6O69U3IM/&#10;76mP+2e0/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wM73j0wAAAAUBAAAPAAAAAAAAAAEAIAAA&#10;ACIAAABkcnMvZG93bnJldi54bWxQSwECFAAUAAAACACHTuJAgRm+HtgBAACOAwAADgAAAAAAAAAB&#10;ACAAAAAiAQAAZHJzL2Uyb0RvYy54bWxQSwUGAAAAAAYABgBZAQAAbAUAAAAA&#10;">
                        <v:fill on="f" focussize="0,0"/>
                        <v:stroke on="f"/>
                        <v:imagedata o:title=""/>
                        <o:lock v:ext="edit" aspectratio="f"/>
                        <v:textbox>
                          <w:txbxContent>
                            <w:p w14:paraId="7E807070">
                              <w:pPr>
                                <w:spacing w:line="240" w:lineRule="exact"/>
                                <w:jc w:val="center"/>
                                <w:rPr>
                                  <w:rFonts w:hint="default" w:eastAsia="宋体"/>
                                  <w:lang w:val="en-US" w:eastAsia="zh-CN"/>
                                </w:rPr>
                              </w:pPr>
                              <w:r>
                                <w:rPr>
                                  <w:rFonts w:hint="eastAsia"/>
                                  <w:lang w:val="en-US" w:eastAsia="zh-CN"/>
                                </w:rPr>
                                <w:t>15.5</w:t>
                              </w:r>
                            </w:p>
                          </w:txbxContent>
                        </v:textbox>
                      </v:shape>
                      <v:shape id="文本框 181" o:spid="_x0000_s1026" o:spt="202" type="#_x0000_t202" style="position:absolute;left:797560;top:3194050;height:231140;width:423545;" filled="f" stroked="f" coordsize="21600,21600" o:gfxdata="UEsDBAoAAAAAAIdO4kAAAAAAAAAAAAAAAAAEAAAAZHJzL1BLAwQUAAAACACHTuJAcDO949MAAAAF&#10;AQAADwAAAGRycy9kb3ducmV2LnhtbE2PwU7DMBBE70j8g7VI3KidqhQS4vQA4gqiBSRu23ibRMTr&#10;KHab8PcsXOCy0mhGM2/Lzex7daIxdoEtZAsDirgOruPGwuvu8eoWVEzIDvvAZOGLImyq87MSCxcm&#10;fqHTNjVKSjgWaKFNaSi0jnVLHuMiDMTiHcLoMYkcG+1GnKTc93ppzFp77FgWWhzovqX6c3v0Ft6e&#10;Dh/vK/PcPPjrYQqz0exzbe3lRWbuQCWa018YfvAFHSph2ocju6h6C/JI+r3i3eR5BmpvYb1cGdBV&#10;qf/TV99QSwMEFAAAAAgAh07iQJjm3WXZAQAAjgMAAA4AAABkcnMvZTJvRG9jLnhtbK1TS44TMRDd&#10;I3EHy3vSnyTzacUZCaJhgwBp4ACO25221P5QdtIdDgA3YMWG/Zwr56Ds7szAsJkFG3e5qvpVvVfl&#10;1c2gO3KQ4JU1jBaznBJphK2V2TH6+dPtqytKfOCm5p01ktGj9PRm/fLFqneVLG1ru1oCQRDjq94x&#10;2obgqizzopWa+5l10mCwsaB5wCvsshp4j+i6y8o8v8h6C7UDK6T36N2MQTohwnMAbdMoITdW7LU0&#10;YUQF2fGAlHyrnKfr1G3TSBE+NI2XgXSMItOQTiyC9jae2XrFqx1w1yoxtcCf08ITTporg0UfoDY8&#10;cLIH9Q+UVgKst02YCauzkUhSBFkU+RNt7lruZOKCUnv3ILr/f7Di/eEjEFUzWi4pMVzjxE8/vp9+&#10;3p9+fSPFVREV6p2vMPHOYWoYXtsB9+bs9+iMxIcGdPwiJYLxy+vL5QWKfGR0Xlwv8uUktRwCERhf&#10;lPPlAisKTCjnRbFI8ewRx4EPb6XVJBqMAk4yCcwP73zAnjD1nBLLGnurui5NszN/OTAxerJIYmw2&#10;WmHYDhOzra2PSAyfBNZpLXylpMeFYNR/2XOQlHAj0M1oOJtvwrhBewdq1+JfSY1UAceUeptWKu7B&#10;n/fUx+MzWv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cDO949MAAAAFAQAADwAAAAAAAAABACAA&#10;AAAiAAAAZHJzL2Rvd25yZXYueG1sUEsBAhQAFAAAAAgAh07iQJjm3WXZAQAAjgMAAA4AAAAAAAAA&#10;AQAgAAAAIgEAAGRycy9lMm9Eb2MueG1sUEsFBgAAAAAGAAYAWQEAAG0FAAAAAA==&#10;">
                        <v:fill on="f" focussize="0,0"/>
                        <v:stroke on="f"/>
                        <v:imagedata o:title=""/>
                        <o:lock v:ext="edit" aspectratio="f"/>
                        <v:textbox>
                          <w:txbxContent>
                            <w:p w14:paraId="2CFA1000">
                              <w:pPr>
                                <w:spacing w:line="240" w:lineRule="exact"/>
                                <w:jc w:val="center"/>
                                <w:rPr>
                                  <w:rFonts w:hint="default" w:eastAsia="宋体"/>
                                  <w:lang w:val="en-US" w:eastAsia="zh-CN"/>
                                </w:rPr>
                              </w:pPr>
                              <w:r>
                                <w:rPr>
                                  <w:rFonts w:hint="eastAsia"/>
                                  <w:lang w:val="en-US" w:eastAsia="zh-CN"/>
                                </w:rPr>
                                <w:t>0.2</w:t>
                              </w:r>
                            </w:p>
                          </w:txbxContent>
                        </v:textbox>
                      </v:shape>
                      <v:shape id="_x0000_s1026" o:spid="_x0000_s1026" o:spt="32" type="#_x0000_t32" style="position:absolute;left:2484120;top:3175000;flip:y;height:92075;width:114300;" filled="f" stroked="t" coordsize="21600,21600" o:gfxdata="UEsDBAoAAAAAAIdO4kAAAAAAAAAAAAAAAAAEAAAAZHJzL1BLAwQUAAAACACHTuJAf9Bei9QAAAAF&#10;AQAADwAAAGRycy9kb3ducmV2LnhtbE2PQUvDQBCF74L/YRnBm91NKa2N2RQUehEvplY8TrPTJJid&#10;CdlNW/+9qxe9DDze471vis3F9+pEY+iELWQzA4q4FtdxY+Ftt727BxUissNemCx8UYBNeX1VYO7k&#10;zK90qmKjUgmHHC20MQ651qFuyWOYyUCcvKOMHmOSY6PdiOdU7ns9N2apPXacFloc6Kml+rOavIU9&#10;ye5Dr45C1fZZP9L7y2La19be3mTmAVSkS/wLww9+QocyMR1kYhdUbyE9En9v8lbrdQbqYGE5XxjQ&#10;ZaH/05ffUEsDBBQAAAAIAIdO4kC1wuhFLwIAADYEAAAOAAAAZHJzL2Uyb0RvYy54bWytU8mO1DAQ&#10;vSPxD5bvdJbuWYg6PYduhguCkVju1Y6TWPIm29PLT/ADSJyAE3CaO18Dw2dQdqJuZrjMgRyicqrq&#10;1avnl/nFTkmy4c4Lo2taTHJKuGamEbqr6ds3l0/OKfEBdAPSaF7TPff0YvH40XxrK16a3siGO4Ig&#10;2ldbW9M+BFtlmWc9V+AnxnKNydY4BQGPrssaB1tEVzIr8/w02xrXWGcY9x6/roYkHRHdQwBN2wrG&#10;V4ZdK67DgOq4hIAr+V5YTxeJbdtyFl61reeByJripiG9cQjG6/jOFnOoOge2F2ykAA+hcG8nBULj&#10;0APUCgKQayf+gVKCOeNNGybMqGxYJCmCWxT5PW1e92B52gWl9vYguv9/sOzl5soR0aATTinRoPDG&#10;bz/c/Hr/+fb7t5+fbn7/+Bjjr18I5lGsrfUV9iz1lYvr+rDc6dRelgXFYHcQlevmmJuOuTJiZHdA&#10;4sHbAW7XOkVaKew75JP0RIUIYpaz81lR4qXtazotzk7yfLw6vguEYUFRzKb4jTAseFrmZydpEFQR&#10;MRK1zofn3CgSg5r64EB0fVgardEjxg3TYPPCh8jw2BCbtbkUUiarSE22yT0M0Psteg5nKov6ed1R&#10;ArLDn4oFl8h7I0UTW5NUrlsvpSMbiFZMz8jxTlnktwLfD3UpFcugCiDkM92QsLd4R8EJ0J3kNNLx&#10;ihLJcTAGA3upR5kHZaPGa9Psr1xMxxPaKa05Wj/69e9zqjr+7o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9Bei9QAAAAFAQAADwAAAAAAAAABACAAAAAiAAAAZHJzL2Rvd25yZXYueG1sUEsBAhQA&#10;FAAAAAgAh07iQLXC6EUvAgAANgQAAA4AAAAAAAAAAQAgAAAAIwEAAGRycy9lMm9Eb2MueG1sUEsF&#10;BgAAAAAGAAYAWQEAAMQFAAAAAA==&#10;">
                        <v:fill on="f" focussize="0,0"/>
                        <v:stroke weight="0pt" color="#000000 [3213]" joinstyle="round" endarrow="block" endarrowwidth="narrow" endarrowlength="short"/>
                        <v:imagedata o:title=""/>
                        <o:lock v:ext="edit" aspectratio="f"/>
                      </v:shape>
                      <v:shape id="_x0000_s1026" o:spid="_x0000_s1026" o:spt="32" type="#_x0000_t32" style="position:absolute;left:2638425;top:2199640;flip:y;height:3175;width:851535;" filled="f" stroked="t" coordsize="21600,21600" o:gfxdata="UEsDBAoAAAAAAIdO4kAAAAAAAAAAAAAAAAAEAAAAZHJzL1BLAwQUAAAACACHTuJA22wLOtYAAAAF&#10;AQAADwAAAGRycy9kb3ducmV2LnhtbE2PwU7DMBBE70j8g7VIXBC1E0FpQ5wegMKpqgjlvo2XJGq8&#10;jmK3Tf4ewwUuK41mNPM2X422EycafOtYQzJTIIgrZ1quNew+1rcLED4gG+wck4aJPKyKy4scM+PO&#10;/E6nMtQilrDPUEMTQp9J6auGLPqZ64mj9+UGiyHKoZZmwHMst51MlZpLiy3HhQZ7emqoOpRHq+G5&#10;3N6vP292YzpVb5vydXHY8vSi9fVVoh5BBBrDXxh+8CM6FJFp745svOg0xEfC743ew3KZgNhrmKd3&#10;CmSRy//0xTdQSwMEFAAAAAgAh07iQPAdTGoqAgAAKAQAAA4AAABkcnMvZTJvRG9jLnhtbK1TS47U&#10;MBDdI3EHy3s6nf4xHXV6Ft0MGwQt8dm7HSex5J9cnv5cggsgsQJWwGr2nAaGY1B20jPMsJkFWVjl&#10;lOvVq+fnxflBK7ITHqQ1Jc0HQ0qE4baSpinp2zcXT84ogcBMxZQ1oqRHAfR8+fjRYu8KMbKtVZXw&#10;BEEMFHtX0jYEV2QZ8FZoBgPrhMFkbb1mAbe+ySrP9oiuVTYaDmfZ3vrKecsFAP5dd0naI/qHANq6&#10;llysLb/UwoQO1QvFAo4ErXRAl4ltXQseXtU1iEBUSXHSkFZsgvE2rtlywYrGM9dK3lNgD6FwbybN&#10;pMGmN1BrFhi59PIfKC25t2DrMOBWZ90gSRGcIh/e0+Z1y5xIs6DU4G5Eh/8Hy1/uNp7IqqSjGSWG&#10;abzx6w9Xv95/vv7+7eenq98/Psb46xeCeRRr76DAmpXZ+DguhNXBdOXDCcXgUNJxJ6ow1SmXz0+5&#10;POayOyBxA66DO9Rek1pJ9w6dmfREhQhijmbjs8loSskR43w+n036qxOHQDgeOJvm0zHmOR4Y50+n&#10;qQ8rImDk6TyE58JqEoOSQvBMNm1YWWPQItZ3zdjuBYRI8LYgFht7IZVKTlGG7Es6n0YqnKH7a3Qd&#10;htqhgmAaSphq8Fnx4BN9sEpWsTqJ5ZvtSnmyY9GM6etp3jkWKa4ZtN25lOoUDUyqZ6Yi4ejwloKX&#10;zDRK9BDK9MJ2WkZVt7Y6bvxJcDRQmqw3e3To3/tUffvAl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22wLOtYAAAAFAQAADwAAAAAAAAABACAAAAAiAAAAZHJzL2Rvd25yZXYueG1sUEsBAhQAFAAA&#10;AAgAh07iQPAdTGoqAgAAKAQAAA4AAAAAAAAAAQAgAAAAJQEAAGRycy9lMm9Eb2MueG1sUEsFBgAA&#10;AAAGAAYAWQEAAMEFAAAAAA==&#10;">
                        <v:fill on="f" focussize="0,0"/>
                        <v:stroke color="#000000 [3213]" joinstyle="round" endarrow="block"/>
                        <v:imagedata o:title=""/>
                        <o:lock v:ext="edit" aspectratio="f"/>
                      </v:shape>
                      <v:shape id="_x0000_s1026" o:spid="_x0000_s1026" o:spt="32" type="#_x0000_t32" style="position:absolute;left:2648585;top:2135505;flip:x;height:5080;width:842645;" filled="f" stroked="t" coordsize="21600,21600" o:gfxdata="UEsDBAoAAAAAAIdO4kAAAAAAAAAAAAAAAAAEAAAAZHJzL1BLAwQUAAAACACHTuJAkPeKwNYAAAAF&#10;AQAADwAAAGRycy9kb3ducmV2LnhtbE2PzU7DMBCE70i8g7VI3KidUrU0jdNDpQbEBbUg9bqNt0lo&#10;vI5s94e3x3CBy0qjGc18Wyyvthdn8qFzrCEbKRDEtTMdNxo+3tcPTyBCRDbYOyYNXxRgWd7eFJgb&#10;d+ENnbexEamEQ44a2hiHXMpQt2QxjNxAnLyD8xZjkr6RxuMlldtejpWaSosdp4UWB1q1VB+3J6th&#10;/WyrmTl8cvX6Vh3lo33xu9VE6/u7TC1ARLrGvzD84Cd0KBPT3p3YBNFrSI/E35u82XyegdhrmI4n&#10;CmRZyP/05TdQSwMEFAAAAAgAh07iQHYTQokSAgAA5gMAAA4AAABkcnMvZTJvRG9jLnhtbK1TS44T&#10;MRDdI3EHy3vSnTA9hCidWSQMLBBEAg7guN3dlvxTlSefS3ABJFbAamA1e04DwzEou8MAw2YW9KJV&#10;dlW9qveqPD/bW8O2ClB7V/PxqORMOekb7bqav3l9/mDKGUbhGmG8UzU/KORni/v35rswUxPfe9Mo&#10;YATicLYLNe9jDLOiQNkrK3Dkg3LkbD1YEekIXdGA2BG6NcWkLE+LnYcmgJcKkW5Xg5MfEeEugL5t&#10;tVQrLy+scnFABWVEJErY64B8kbttWyXjy7ZFFZmpOTGN+U9FyN6kf7GYi1kHIvRaHlsQd2nhFicr&#10;tKOiN1ArEQW7AP0PlNUSPPo2jqS3xUAkK0IsxuUtbV71IqjMhaTGcCM6/j9Y+WK7Bqabmk8eceaE&#10;pYlfv7v6/vbj9ZfP3z5c/fj6PtmXnxj5SaxdwBnlLN0ajicMa0jM9y1Y1hodntFWZS2IHdsT8OnJ&#10;tJpWnB3IHj+sqrIaZFf7yCQFTE8ohPySAqpymodSDIAJOADGp8pbloyaYwShuz4uvXM0Xg9DMbF9&#10;jpFaosRfCSnZ+XNtTJ6ycWxX88fVJJUStLktbQyZNhB7dB1nwnT0JGSE3D56o5uUnXAQus3SANuK&#10;tEj5SySo2l9hqfRKYD/ENWStfBzYRqHNE9eweAikcQQtXGfUEcQ4wkraDmoma+ObQxY539P4c7Xj&#10;qqb9+vOcs38/z8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PeKwNYAAAAFAQAADwAAAAAAAAAB&#10;ACAAAAAiAAAAZHJzL2Rvd25yZXYueG1sUEsBAhQAFAAAAAgAh07iQHYTQokSAgAA5gMAAA4AAAAA&#10;AAAAAQAgAAAAJQEAAGRycy9lMm9Eb2MueG1sUEsFBgAAAAAGAAYAWQEAAKkFAAAAAA==&#10;">
                        <v:fill on="f" focussize="0,0"/>
                        <v:stroke color="#000000 [3213]" joinstyle="round" dashstyle="dashDot" endarrow="block"/>
                        <v:imagedata o:title=""/>
                        <o:lock v:ext="edit" aspectratio="f"/>
                      </v:shape>
                      <v:shape id="_x0000_s1026" o:spid="_x0000_s1026" o:spt="33" type="#_x0000_t33" style="position:absolute;left:3486785;top:1370330;height:711835;width:681990;" filled="f" stroked="t" coordsize="21600,21600" o:gfxdata="UEsDBAoAAAAAAIdO4kAAAAAAAAAAAAAAAAAEAAAAZHJzL1BLAwQUAAAACACHTuJA6BSc0dcAAAAF&#10;AQAADwAAAGRycy9kb3ducmV2LnhtbE2PwU7DMBBE70j9B2srcaO2q6rQEKeqCkikl4rChZsbL0mo&#10;vY5iNw1/j+ECl5VGM5p5m69HZ9mAfWg9KZAzAQyp8qalWsHb69PNHbAQNRltPaGCLwywLiZXuc6M&#10;v9ALDodYs1RCIdMKmhi7jPNQNeh0mPkOKXkfvnc6JtnX3PT6ksqd5XMhltzpltJCozvcNlidDmen&#10;4Pnhs5S83NSn3aIdHnel3b+PUqnrqRT3wCKO8S8MP/gJHYrEdPRnMoFZBemR+HuTd7taSWBHBcv5&#10;QgAvcv6fvvgGUEsDBBQAAAAIAIdO4kAz8TLdIQIAABYEAAAOAAAAZHJzL2Uyb0RvYy54bWytU0uO&#10;1DAQ3SNxB8t7Op1k+hd1ehbdDBsELQEHcDtOYsk/2Z5OessBWLNigQQrroA4DTDHoOxkpplhMwuy&#10;sMqp8nO9V8/ry14KdGTWca1KnE6mGDFFdcVVU+J3b6+eLTFynqiKCK1YiU/M4cvN0yfrzhQs060W&#10;FbMIQJQrOlPi1ntTJImjLZPETbRhCpK1tpJ42NomqSzpAF2KJJtO50mnbWWspsw5+LsbknhEtI8B&#10;1HXNKdtpei2Z8gOqZYJ4oORabhzexG7rmlH/uq4d80iUGJj6uMIlEB/CmmzWpGgsMS2nYwvkMS08&#10;4CQJV3DpHdSOeIKuLf8HSnJqtdO1n1Atk4FIVARYpNMH2rxpiWGRC0jtzJ3o7v/B0lfHvUW8KnEG&#10;c1dEwsRv3n/8+f3zzY9Pvz58+f3tK4IMyNQZV0D1Vu1tIOr8tlfxYLrKMQR9ifNBTqaqc+5izEWp&#10;k3sgYePMANfXVgZYUAQFpIvlfLGcYXQCi+aLaZ6Po2K9RxQK5st0tYIhUihYpOkyn4W7E1LcAhnr&#10;/AumJQpBiQ9glK1WCgyhbRZHRY4vnR8O3RaHDpS+4kJEXwiFuhKvZhk0Qgl4vQaPQSgN6OVUgxER&#10;DTwi6m1EdFrwKpyOAtnmsBUWHUmwXvzGFu+Vhat3xLVDXUwNKnrCxXNVIX8yMBNvOVGNYCOEUED2&#10;rF+IDro67W3gE3ZglyjHaO3gx7/3ser8nD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gUnNHX&#10;AAAABQEAAA8AAAAAAAAAAQAgAAAAIgAAAGRycy9kb3ducmV2LnhtbFBLAQIUABQAAAAIAIdO4kAz&#10;8TLdIQIAABYEAAAOAAAAAAAAAAEAIAAAACYBAABkcnMvZTJvRG9jLnhtbFBLBQYAAAAABgAGAFkB&#10;AAC5BQAAAAA=&#10;">
                        <v:fill on="f" focussize="0,0"/>
                        <v:stroke color="#000000 [3213]" joinstyle="round" endarrow="block"/>
                        <v:imagedata o:title=""/>
                        <o:lock v:ext="edit" aspectratio="f"/>
                      </v:shape>
                      <v:shape id="_x0000_s1026" o:spid="_x0000_s1026" o:spt="34" type="#_x0000_t34" style="position:absolute;left:3491230;top:1307465;height:760095;width:776605;rotation:11796480f;" filled="f" stroked="t" coordsize="21600,21600" o:gfxdata="UEsDBAoAAAAAAIdO4kAAAAAAAAAAAAAAAAAEAAAAZHJzL1BLAwQUAAAACACHTuJA7/J5wNQAAAAF&#10;AQAADwAAAGRycy9kb3ducmV2LnhtbE2PwU7DMBBE70j8g7VI3KiTqCo0xKlKK8SZFAmO23gbR43X&#10;Uewm6d9juMBlpdGMZt4Wm9l2YqTBt44VpIsEBHHtdMuNgo/D68MTCB+QNXaOScGVPGzK25sCc+0m&#10;fqexCo2IJexzVGBC6HMpfW3Iol+4njh6JzdYDFEOjdQDTrHcdjJLkpW02HJcMNjTzlB9ri5Wgc32&#10;FW7Tt+VhvL7MO7OfPr9oq9T9XZo8gwg0h78w/OBHdCgj09FdWHvRKYiPhN8bvcf1OgVxVLDKlgnI&#10;spD/6ctvUEsDBBQAAAAIAIdO4kC8BZX/KgIAAA8EAAAOAAAAZHJzL2Uyb0RvYy54bWytU0uOEzEQ&#10;3SNxB8t70t3J5Kt0ZpEwbBBEAg7g+NNt5J9sTzrZcgDWrFggwYorIE4DzDEou5sBhs0s6IW77Cq/&#10;qveqvL48aYWO3AdpTY2rUYkRN9QyaZoav3p59WiBUYjEMKKs4TU+84AvNw8frDu34mPbWsW4RwBi&#10;wqpzNW5jdKuiCLTlmoSRddyAU1ivSYStbwrmSQfoWhXjspwVnfXMeUt5CHC66514QPT3AbRCSMp3&#10;ll5rbmKP6rkiESiFVrqAN7laITiNz4UIPCJVY2Aa8wpJwD6ktdisyarxxLWSDiWQ+5Rwh5Mm0kDS&#10;W6gdiQRde/kPlJbU22BFHFGri55IVgRYVOUdbV60xPHMBaQO7lb08P9g6bPj3iPJajxeYmSIho7f&#10;vHn37cuHm6/vv7/9+OPzJwQekKlzYQXRW7P3wy64vU+cT8Jr5C1oW5WLMn1ZCiCHTjWeXCyr8QT0&#10;PoN/Us4vZtNedX6KiELAfD6blVOMKATMZ2W5zP6ix034zof4hFuNklHjA/R8a42B3lo/yanI8WmI&#10;WX42cCDsdYWR0Aq6eSQKVYtFbjbADsFg/QJON429kkrlcVAGdTVeTsepKAIjLmC0wNQOZAqmwYio&#10;Bt4OjT5nD1ZJlm4nnOCbw1Z5BElhvno1ABWy/RWWUu9IaPs4BtbOxl6XSKR6bBiKZwfNiF4S0yie&#10;fACiDPxSK3rxk3Ww7Jx7ks9hTnLgMNNpEP/c59u/3/Hm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yecDUAAAABQEAAA8AAAAAAAAAAQAgAAAAIgAAAGRycy9kb3ducmV2LnhtbFBLAQIUABQAAAAI&#10;AIdO4kC8BZX/KgIAAA8EAAAOAAAAAAAAAAEAIAAAACMBAABkcnMvZTJvRG9jLnhtbFBLBQYAAAAA&#10;BgAGAFkBAAC/BQAAAAA=&#10;" adj="406">
                        <v:fill on="f" focussize="0,0"/>
                        <v:stroke color="#000000 [3213]" joinstyle="round" dashstyle="dashDot" endarrow="block"/>
                        <v:imagedata o:title=""/>
                        <o:lock v:ext="edit" aspectratio="f"/>
                      </v:shape>
                      <v:shape id="文本框 168" o:spid="_x0000_s1026" o:spt="202" type="#_x0000_t202" style="position:absolute;left:3718560;top:3410585;height:542925;width:1001395;" filled="f" stroked="f" coordsize="21600,21600" o:gfxdata="UEsDBAoAAAAAAIdO4kAAAAAAAAAAAAAAAAAEAAAAZHJzL1BLAwQUAAAACACHTuJAcDO949MAAAAF&#10;AQAADwAAAGRycy9kb3ducmV2LnhtbE2PwU7DMBBE70j8g7VI3KidqhQS4vQA4gqiBSRu23ibRMTr&#10;KHab8PcsXOCy0mhGM2/Lzex7daIxdoEtZAsDirgOruPGwuvu8eoWVEzIDvvAZOGLImyq87MSCxcm&#10;fqHTNjVKSjgWaKFNaSi0jnVLHuMiDMTiHcLoMYkcG+1GnKTc93ppzFp77FgWWhzovqX6c3v0Ft6e&#10;Dh/vK/PcPPjrYQqz0exzbe3lRWbuQCWa018YfvAFHSph2ocju6h6C/JI+r3i3eR5BmpvYb1cGdBV&#10;qf/TV99QSwMEFAAAAAgAh07iQO3Ym2fZAQAAkAMAAA4AAABkcnMvZTJvRG9jLnhtbK1TwY7TMBC9&#10;I/EPlu80Sbsp3arpSlAtFwRICx/gOk5jKfaYsdukfAD8AScu3Pmufgdjp92F5bIHLs54ZvJm3pvx&#10;6mYwHTso9BpsxYtJzpmyEmptdxX/9PH2xYIzH4StRQdWVfyoPL9ZP3+26t1STaGFrlbICMT6Ze8q&#10;3obgllnmZauM8BNwylKwATQi0BV3WY2iJ3TTZdM8n2c9YO0QpPKevJsxyM+I+BRAaBot1Qbk3igb&#10;RlRUnQhEybfaeb5O3TaNkuF903gVWFdxYhrSSUXI3sYzW6/EcofCtVqeWxBPaeERJyO0paL3UBsR&#10;BNuj/gfKaIngoQkTCSYbiSRFiEWRP9LmrhVOJS4ktXf3ovv/ByvfHT4g03XFZySJFYYmfvr+7fTj&#10;1+nnV1bMF1Gh3vklJd45Sg3DKxhoby5+T85IfGjQxC9RYhSfvSwW5Zwgj2RfFXm5KEet1RCYjAB5&#10;XsyuS84kZZRX0+tpSsgekBz68EaBYdGoONIsk8Ti8NYH6opSLymxsIVb3XVpnp39y0GJ0ZNFGmO7&#10;0QrDdjhz20J9JGr0KKhOC/iFs55WouL+816g4kxYSe6Kh4v5Oow7tHeody39lfRIFWhQqbfzUsVN&#10;+POe+nh4SO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cDO949MAAAAFAQAADwAAAAAAAAABACAA&#10;AAAiAAAAZHJzL2Rvd25yZXYueG1sUEsBAhQAFAAAAAgAh07iQO3Ym2fZAQAAkAMAAA4AAAAAAAAA&#10;AQAgAAAAIgEAAGRycy9lMm9Eb2MueG1sUEsFBgAAAAAGAAYAWQEAAG0FAAAAAA==&#10;">
                        <v:fill on="f" focussize="0,0"/>
                        <v:stroke on="f"/>
                        <v:imagedata o:title=""/>
                        <o:lock v:ext="edit" aspectratio="f"/>
                        <v:textbox>
                          <w:txbxContent>
                            <w:p w14:paraId="67F5110E">
                              <w:pPr>
                                <w:spacing w:line="240" w:lineRule="exact"/>
                                <w:jc w:val="center"/>
                                <w:rPr>
                                  <w:rFonts w:hint="default" w:eastAsia="宋体"/>
                                  <w:lang w:val="en-US" w:eastAsia="zh-CN"/>
                                </w:rPr>
                              </w:pPr>
                              <w:r>
                                <w:rPr>
                                  <w:rFonts w:hint="eastAsia"/>
                                  <w:lang w:val="en-US" w:eastAsia="zh-CN"/>
                                </w:rPr>
                                <w:t>喷淋水循环使用不外排，循环量2m</w:t>
                              </w:r>
                              <w:r>
                                <w:rPr>
                                  <w:rFonts w:hint="eastAsia"/>
                                  <w:vertAlign w:val="superscript"/>
                                  <w:lang w:val="en-US" w:eastAsia="zh-CN"/>
                                </w:rPr>
                                <w:t>3</w:t>
                              </w:r>
                              <w:r>
                                <w:rPr>
                                  <w:rFonts w:hint="eastAsia"/>
                                  <w:lang w:val="en-US" w:eastAsia="zh-CN"/>
                                </w:rPr>
                                <w:t>/h</w:t>
                              </w:r>
                            </w:p>
                          </w:txbxContent>
                        </v:textbox>
                      </v:shape>
                      <v:shape id="_x0000_s1026" o:spid="_x0000_s1026" o:spt="35" type="#_x0000_t35" style="position:absolute;left:2484120;top:3394075;flip:x;height:127000;width:1139825;" filled="f" stroked="t" coordsize="21600,21600" o:gfxdata="UEsDBAoAAAAAAIdO4kAAAAAAAAAAAAAAAAAEAAAAZHJzL1BLAwQUAAAACACHTuJAC4rPKNYAAAAF&#10;AQAADwAAAGRycy9kb3ducmV2LnhtbE2PQUvDQBCF74L/YRnBi9jdRKk2ZtODoIJSwSp4nWbHJJid&#10;Ddlt0/rrHb3oZeDxHu99Uy73vlc7GmMX2EI2M6CI6+A6biy8vd6dX4OKCdlhH5gsHCjCsjo+KrFw&#10;YeIX2q1To6SEY4EW2pSGQutYt+QxzsJALN5HGD0mkWOj3YiTlPte58bMtceOZaHFgW5bqj/XW2+h&#10;Xh0enu6DG0x0X+8mx7Pp4vHZ2tOTzNyASrRPf2H4wRd0qIRpE7bsouotyCPp94p3tVhkoDYW5vml&#10;AV2V+j999Q1QSwMEFAAAAAgAh07iQD1ne1JmAgAArQQAAA4AAABkcnMvZTJvRG9jLnhtbK1US24U&#10;MRDdI3EHy/ukP9NDZlrpyWKGwIJPJOAAHtvdbeSfbGc+Ww7AmhWLSLDiCojTADkGZXcnDMkmCzRS&#10;y3ZVvXpVr2pOz3ZKog13Xhjd4OI4x4hrapjQXYPfvT0/mmHkA9GMSKN5g/fc47PF40enW1vz0vRG&#10;Mu4QgGhfb22D+xBsnWWe9lwRf2ws12BsjVMkwNV1GXNkC+hKZmWeP8m2xjHrDOXew+tqMOIR0T0E&#10;0LStoHxl6KXiOgyojksSoCTfC+vxIrFtW07D67b1PCDZYKg0pC8kgfM6frPFKak7R2wv6EiBPITC&#10;nZoUERqS3kKtSCDo0ol7UEpQZ7xpwzE1KhsKSR2BKor8Tm/e9MTyVAu02tvbpvv/B0tfbS4cEqzB&#10;kwIjTRQofv3h08/vV9c/Pv/6+OX3t68ILNCmrfU1eC/1hYuF+rDc6RRYlhAp2A4ghnZyze7bymjL&#10;/gGJF28HuF3rFGqlsM9hJlMnoTcIMMtqVhUlyLUH/Mm8yk+mY5ZdQBQcimIyn5VTjCh4FOVJnidV&#10;M1JHzEjVOh+ecaNQPDR4DTOzNFrDbBhXpVxk88KHJB8be0DYe6iqVRKmYUMkOprP51U1ZO4OnMpD&#10;p2oCA36TfcQEHjf5YwJtzoWUaeqkRtsGz6eJO4FNamGCoQxlQQ2vO4yI7GBFaXCJpDdSsBid2u+6&#10;9VI6BNwaPMvjLznJS/XSsOF5CmTGCYdn2IM7z0DNDzCgDJwP8SPnFfH9EJJMQ/GBCPlUMxT2FkYl&#10;OEF0J3kSl9RSjxoPskaB14btL9yN9jDFKde4cXFNDu8p+u+/zO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C4rPKNYAAAAFAQAADwAAAAAAAAABACAAAAAiAAAAZHJzL2Rvd25yZXYueG1sUEsBAhQA&#10;FAAAAAgAh07iQD1ne1JmAgAArQQAAA4AAAAAAAAAAQAgAAAAJQEAAGRycy9lMm9Eb2MueG1sUEsF&#10;BgAAAAAGAAYAWQEAAP0FAAAAAA==&#10;" adj="-21588,93312">
                        <v:fill on="f" focussize="0,0"/>
                        <v:stroke color="#808080 [1629]" joinstyle="round" endarrow="block"/>
                        <v:imagedata o:title=""/>
                        <o:lock v:ext="edit" aspectratio="f"/>
                      </v:shape>
                      <v:shape id="文本框 181" o:spid="_x0000_s1026" o:spt="202" type="#_x0000_t202" style="position:absolute;left:3733165;top:1115060;height:231140;width:517525;" filled="f" stroked="f" coordsize="21600,21600" o:gfxdata="UEsDBAoAAAAAAIdO4kAAAAAAAAAAAAAAAAAEAAAAZHJzL1BLAwQUAAAACACHTuJAcDO949MAAAAF&#10;AQAADwAAAGRycy9kb3ducmV2LnhtbE2PwU7DMBBE70j8g7VI3KidqhQS4vQA4gqiBSRu23ibRMTr&#10;KHab8PcsXOCy0mhGM2/Lzex7daIxdoEtZAsDirgOruPGwuvu8eoWVEzIDvvAZOGLImyq87MSCxcm&#10;fqHTNjVKSjgWaKFNaSi0jnVLHuMiDMTiHcLoMYkcG+1GnKTc93ppzFp77FgWWhzovqX6c3v0Ft6e&#10;Dh/vK/PcPPjrYQqz0exzbe3lRWbuQCWa018YfvAFHSph2ocju6h6C/JI+r3i3eR5BmpvYb1cGdBV&#10;qf/TV99QSwMEFAAAAAgAh07iQJIz3c/YAQAAjwMAAA4AAABkcnMvZTJvRG9jLnhtbK1TzY7TMBC+&#10;I/EOlu80cUK7q6jpSlAtFwRICw/gOk5jKf5h7DYpDwBvwIkLd56rz8HYSXdhueyBizOe+fLNfDPj&#10;9c2oe3KU4JU1NWWLnBJphG2U2df008fbF9eU+MBNw3trZE1P0tObzfNn68FVsrCd7RsJBEmMrwZX&#10;0y4EV2WZF53U3C+skwaDrQXNA15hnzXAB2TXfVbk+SobLDQOrJDeo3c7BenMCE8htG2rhNxacdDS&#10;hIkVZM8DSvKdcp5uUrVtK0V437ZeBtLXFJWGdGIStHfxzDZrXu2Bu06JuQT+lBIeadJcGUx6T7Xl&#10;gZMDqH+otBJgvW3DQlidTUJSR1AFyx/15q7jTiYt2Grv7pvu/x+teHf8AEQ1NS0LSgzXOPHz92/n&#10;H7/OP78Sds1ihwbnKwTeOYSG8ZUdcW8ufo/OKHxsQccvSiIYL6/Kkq2WlJwQy9gyX829lmMgAgFL&#10;drUsMC4QUJSMvUzx7IHIgQ9vpNUkGjUFHGXqMD++9QGLQugFEvMae6v6Po2zN385EBg9WVQxVRut&#10;MO7GWdrONidUhm8C83QWvlAy4EbU1H8+cJCUcCPQXdNwMV+HaYUODtS+w79SO1IGnFOqbd6puAh/&#10;3lMdD+9o8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wM73j0wAAAAUBAAAPAAAAAAAAAAEAIAAA&#10;ACIAAABkcnMvZG93bnJldi54bWxQSwECFAAUAAAACACHTuJAkjPdz9gBAACPAwAADgAAAAAAAAAB&#10;ACAAAAAiAQAAZHJzL2Uyb0RvYy54bWxQSwUGAAAAAAYABgBZAQAAbAUAAAAA&#10;">
                        <v:fill on="f" focussize="0,0"/>
                        <v:stroke on="f"/>
                        <v:imagedata o:title=""/>
                        <o:lock v:ext="edit" aspectratio="f"/>
                        <v:textbox>
                          <w:txbxContent>
                            <w:p w14:paraId="2C87EDC6">
                              <w:pPr>
                                <w:spacing w:line="240" w:lineRule="exact"/>
                                <w:jc w:val="center"/>
                                <w:rPr>
                                  <w:rFonts w:hint="default" w:eastAsia="宋体"/>
                                  <w:lang w:val="en-US" w:eastAsia="zh-CN"/>
                                </w:rPr>
                              </w:pPr>
                              <w:r>
                                <w:rPr>
                                  <w:rFonts w:hint="eastAsia"/>
                                  <w:lang w:val="en-US" w:eastAsia="zh-CN"/>
                                </w:rPr>
                                <w:t>0.085</w:t>
                              </w:r>
                            </w:p>
                          </w:txbxContent>
                        </v:textbox>
                      </v:shape>
                      <v:shape id="文本框 181" o:spid="_x0000_s1026" o:spt="202" type="#_x0000_t202" style="position:absolute;left:2881630;top:2179955;height:231140;width:423545;" filled="f" stroked="f" coordsize="21600,21600" o:gfxdata="UEsDBAoAAAAAAIdO4kAAAAAAAAAAAAAAAAAEAAAAZHJzL1BLAwQUAAAACACHTuJAcDO949MAAAAF&#10;AQAADwAAAGRycy9kb3ducmV2LnhtbE2PwU7DMBBE70j8g7VI3KidqhQS4vQA4gqiBSRu23ibRMTr&#10;KHab8PcsXOCy0mhGM2/Lzex7daIxdoEtZAsDirgOruPGwuvu8eoWVEzIDvvAZOGLImyq87MSCxcm&#10;fqHTNjVKSjgWaKFNaSi0jnVLHuMiDMTiHcLoMYkcG+1GnKTc93ppzFp77FgWWhzovqX6c3v0Ft6e&#10;Dh/vK/PcPPjrYQqz0exzbe3lRWbuQCWa018YfvAFHSph2ocju6h6C/JI+r3i3eR5BmpvYb1cGdBV&#10;qf/TV99QSwMEFAAAAAgAh07iQKMlRzbaAQAAjwMAAA4AAABkcnMvZTJvRG9jLnhtbK1TwY7TMBC9&#10;I/EPlu80TdMu3ajpSlAtFwRICx/gOk5jKfaYsdukfAD8AScu3Pmufgdjp92F5bIHLs54ZvJm3pvx&#10;6mYwHTso9BpsxfPJlDNlJdTa7ir+6ePtiyVnPghbiw6sqvhReX6zfv5s1btSzaCFrlbICMT6sncV&#10;b0NwZZZ52Soj/AScshRsAI0IdMVdVqPoCd102Ww6vcp6wNohSOU9eTdjkJ8R8SmA0DRaqg3IvVE2&#10;jKioOhGIkm+183ydum0aJcP7pvEqsK7ixDSkk4qQvY1ntl6JcofCtVqeWxBPaeERJyO0paL3UBsR&#10;BNuj/gfKaIngoQkTCSYbiSRFiEU+faTNXSucSlxIau/uRff/D1a+O3xApuuKFwVnVhia+On7t9OP&#10;X6efX1m+zKNCvfMlJd45Sg3DKxhoby5+T85IfGjQxC9RYhSfLZf5VUEqH8nOX15fLxaj1moITFLC&#10;fFYs5gvOZEwo8nyeZpE9ADn04Y0Cw6JRcaRRJoXF4a0P1BSlXlJiXQu3uuvSODv7l4MSoyeLLMZu&#10;oxWG7XCmtoX6SMzoTVCdFvALZz1tRMX9571AxZmwktwVDxfzdRhXaO9Q71r6K8mRKtCcUm/nnYqL&#10;8Oc99fHwjt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AzvePTAAAABQEAAA8AAAAAAAAAAQAg&#10;AAAAIgAAAGRycy9kb3ducmV2LnhtbFBLAQIUABQAAAAIAIdO4kCjJUc22gEAAI8DAAAOAAAAAAAA&#10;AAEAIAAAACIBAABkcnMvZTJvRG9jLnhtbFBLBQYAAAAABgAGAFkBAABuBQAAAAA=&#10;">
                        <v:fill on="f" focussize="0,0"/>
                        <v:stroke on="f"/>
                        <v:imagedata o:title=""/>
                        <o:lock v:ext="edit" aspectratio="f"/>
                        <v:textbox>
                          <w:txbxContent>
                            <w:p w14:paraId="1B343B3E">
                              <w:pPr>
                                <w:spacing w:line="240" w:lineRule="exact"/>
                                <w:jc w:val="center"/>
                                <w:rPr>
                                  <w:rFonts w:hint="default" w:eastAsia="宋体"/>
                                  <w:lang w:val="en-US" w:eastAsia="zh-CN"/>
                                </w:rPr>
                              </w:pPr>
                              <w:r>
                                <w:rPr>
                                  <w:rFonts w:hint="eastAsia"/>
                                  <w:lang w:val="en-US" w:eastAsia="zh-CN"/>
                                </w:rPr>
                                <w:t>5.27</w:t>
                              </w:r>
                            </w:p>
                          </w:txbxContent>
                        </v:textbox>
                      </v:shape>
                      <v:shape id="文本框 181" o:spid="_x0000_s1026" o:spt="202" type="#_x0000_t202" style="position:absolute;left:3665855;top:1553845;height:231140;width:501650;" filled="f" stroked="f" coordsize="21600,21600" o:gfxdata="UEsDBAoAAAAAAIdO4kAAAAAAAAAAAAAAAAAEAAAAZHJzL1BLAwQUAAAACACHTuJAcDO949MAAAAF&#10;AQAADwAAAGRycy9kb3ducmV2LnhtbE2PwU7DMBBE70j8g7VI3KidqhQS4vQA4gqiBSRu23ibRMTr&#10;KHab8PcsXOCy0mhGM2/Lzex7daIxdoEtZAsDirgOruPGwuvu8eoWVEzIDvvAZOGLImyq87MSCxcm&#10;fqHTNjVKSjgWaKFNaSi0jnVLHuMiDMTiHcLoMYkcG+1GnKTc93ppzFp77FgWWhzovqX6c3v0Ft6e&#10;Dh/vK/PcPPjrYQqz0exzbe3lRWbuQCWa018YfvAFHSph2ocju6h6C/JI+r3i3eR5BmpvYb1cGdBV&#10;qf/TV99QSwMEFAAAAAgAh07iQNsUgvLaAQAAjwMAAA4AAABkcnMvZTJvRG9jLnhtbK1TzY7TMBC+&#10;I/EOlu80TdtUVdR0JaiWCwKkhQdwHaexFP8w4zYpDwBvwIkLd56rz7Fjp92F5bIHLo49/vLNfN+M&#10;1zeD6dhRAWpnK55PppwpK12t7b7inz/dvlpxhkHYWnTOqoqfFPKbzcsX696XauZa19UKGJFYLHtf&#10;8TYEX2YZylYZgRPnlaXLxoERgY6wz2oQPbGbLptNp8usd1B7cFIhUnQ7XvILIzyH0DWNlmrr5MEo&#10;G0ZWUJ0IJAlb7ZFvUrVNo2T40DSoAusqTkpDWikJ7XdxzTZrUe5B+FbLSwniOSU80WSEtpT0gWor&#10;gmAH0P9QGS3BoWvCRDqTjUKSI6Qinz7x5q4VXiUtZDX6B9Px/9HK98ePwHRd8fmCMysMdfz84/v5&#10;5+/zr28sX+XRod5jScA7T9AwvHYDzc01jhSMwocGTPySJEb38+WyWBUFZyfCFsV8tShGr9UQmCRA&#10;Mc2XBXVBEmA2z/NF6kX2SOQBw1vlDIubigO1Mjksju8wUFEEvUJiXutuddeldnb2rwABYySLKsZq&#10;4y4Mu+EibefqEymjN0F5WgdfOetpIiqOXw4CFGfCSgpXPFy3b8I4QgcPet/SX8mOlIH6lGq7zFQc&#10;hD/PqY7Hd7S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AzvePTAAAABQEAAA8AAAAAAAAAAQAg&#10;AAAAIgAAAGRycy9kb3ducmV2LnhtbFBLAQIUABQAAAAIAIdO4kDbFILy2gEAAI8DAAAOAAAAAAAA&#10;AAEAIAAAACIBAABkcnMvZTJvRG9jLnhtbFBLBQYAAAAABgAGAFkBAABuBQAAAAA=&#10;">
                        <v:fill on="f" focussize="0,0"/>
                        <v:stroke on="f"/>
                        <v:imagedata o:title=""/>
                        <o:lock v:ext="edit" aspectratio="f"/>
                        <v:textbox>
                          <w:txbxContent>
                            <w:p w14:paraId="29150DE8">
                              <w:pPr>
                                <w:spacing w:line="240" w:lineRule="exact"/>
                                <w:jc w:val="center"/>
                                <w:rPr>
                                  <w:rFonts w:hint="default" w:eastAsia="宋体"/>
                                  <w:lang w:val="en-US" w:eastAsia="zh-CN"/>
                                </w:rPr>
                              </w:pPr>
                              <w:r>
                                <w:rPr>
                                  <w:rFonts w:hint="eastAsia"/>
                                  <w:lang w:val="en-US" w:eastAsia="zh-CN"/>
                                </w:rPr>
                                <w:t>0.085</w:t>
                              </w:r>
                            </w:p>
                          </w:txbxContent>
                        </v:textbox>
                      </v:shape>
                      <v:shape id="文本框 181" o:spid="_x0000_s1026" o:spt="202" type="#_x0000_t202" style="position:absolute;left:2886075;top:1918970;height:231140;width:423545;" filled="f" stroked="f" coordsize="21600,21600" o:gfxdata="UEsDBAoAAAAAAIdO4kAAAAAAAAAAAAAAAAAEAAAAZHJzL1BLAwQUAAAACACHTuJAcDO949MAAAAF&#10;AQAADwAAAGRycy9kb3ducmV2LnhtbE2PwU7DMBBE70j8g7VI3KidqhQS4vQA4gqiBSRu23ibRMTr&#10;KHab8PcsXOCy0mhGM2/Lzex7daIxdoEtZAsDirgOruPGwuvu8eoWVEzIDvvAZOGLImyq87MSCxcm&#10;fqHTNjVKSjgWaKFNaSi0jnVLHuMiDMTiHcLoMYkcG+1GnKTc93ppzFp77FgWWhzovqX6c3v0Ft6e&#10;Dh/vK/PcPPjrYQqz0exzbe3lRWbuQCWa018YfvAFHSph2ocju6h6C/JI+r3i3eR5BmpvYb1cGdBV&#10;qf/TV99QSwMEFAAAAAgAh07iQKaNIFzZAQAAjwMAAA4AAABkcnMvZTJvRG9jLnhtbK1TS27bMBDd&#10;F8gdCO5jfewkimA5QGukm6ItkPQANEVZBMRPh7Ql9wDtDbrqpvucy+fIkJKTNt1k0Q01nHl6M29m&#10;uLwZVEf2Apw0uqLZLKVEaG5qqbcV/XJ/e15Q4jzTNeuMFhU9CEdvVmdvlr0tRW5a09UCCJJoV/a2&#10;oq33tkwSx1uhmJsZKzQGGwOKebzCNqmB9ciuuiRP08ukN1BbMFw4h971GKQTI7yG0DSN5GJt+E4J&#10;7UdWEB3zKMm10jq6itU2jeD+U9M44UlXUVTq44lJ0N6EM1ktWbkFZlvJpxLYa0p4oUkxqTHpE9Wa&#10;eUZ2IP+hUpKDcabxM25UMgqJHUEVWfqiN3ctsyJqwVY7+9R09/9o+cf9ZyCyruj8ghLNFE78+PPH&#10;8dfD8fd3khVZ6FBvXYnAO4tQP7w1A+7Nye/QGYQPDajwRUkE43lRXKZXSHlA7HVWXF9NvRaDJxwB&#10;i3x+scA4R0A+z7JFjCfPRBacfy+MIsGoKOAoY4fZ/oPzWBRCT5CQV5tb2XVxnJ3+y4HA4EmCirHa&#10;YPlhM0zSNqY+oDJ8E5inNfCNkh43oqLu646BoIRpju6K+pP5zo8rtLMgty3+FdsRM+CcYm3TToVF&#10;+PMe63h+R6t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cDO949MAAAAFAQAADwAAAAAAAAABACAA&#10;AAAiAAAAZHJzL2Rvd25yZXYueG1sUEsBAhQAFAAAAAgAh07iQKaNIFzZAQAAjwMAAA4AAAAAAAAA&#10;AQAgAAAAIgEAAGRycy9lMm9Eb2MueG1sUEsFBgAAAAAGAAYAWQEAAG0FAAAAAA==&#10;">
                        <v:fill on="f" focussize="0,0"/>
                        <v:stroke on="f"/>
                        <v:imagedata o:title=""/>
                        <o:lock v:ext="edit" aspectratio="f"/>
                        <v:textbox>
                          <w:txbxContent>
                            <w:p w14:paraId="2ABB9C1E">
                              <w:pPr>
                                <w:spacing w:line="240" w:lineRule="exact"/>
                                <w:jc w:val="center"/>
                                <w:rPr>
                                  <w:rFonts w:hint="default" w:eastAsia="宋体"/>
                                  <w:lang w:val="en-US" w:eastAsia="zh-CN"/>
                                </w:rPr>
                              </w:pPr>
                              <w:r>
                                <w:rPr>
                                  <w:rFonts w:hint="eastAsia"/>
                                  <w:lang w:val="en-US" w:eastAsia="zh-CN"/>
                                </w:rPr>
                                <w:t>5.27</w:t>
                              </w:r>
                            </w:p>
                          </w:txbxContent>
                        </v:textbox>
                      </v:shape>
                      <w10:wrap type="none"/>
                      <w10:anchorlock/>
                    </v:group>
                  </w:pict>
                </mc:Fallback>
              </mc:AlternateContent>
            </w:r>
          </w:p>
          <w:p w14:paraId="337B3DBA">
            <w:pPr>
              <w:autoSpaceDE w:val="0"/>
              <w:autoSpaceDN w:val="0"/>
              <w:jc w:val="center"/>
              <w:rPr>
                <w:rFonts w:hint="eastAsia" w:eastAsia="宋体"/>
                <w:sz w:val="24"/>
                <w:lang w:eastAsia="zh-CN"/>
              </w:rPr>
            </w:pPr>
            <w:r>
              <w:rPr>
                <w:b/>
                <w:bCs/>
                <w:szCs w:val="21"/>
              </w:rPr>
              <w:t>图2-</w:t>
            </w:r>
            <w:r>
              <w:rPr>
                <w:rFonts w:hint="eastAsia"/>
                <w:b/>
                <w:bCs/>
                <w:szCs w:val="21"/>
                <w:lang w:val="en-US" w:eastAsia="zh-CN"/>
              </w:rPr>
              <w:t xml:space="preserve">1 </w:t>
            </w:r>
            <w:r>
              <w:rPr>
                <w:b/>
                <w:bCs/>
                <w:szCs w:val="21"/>
              </w:rPr>
              <w:t xml:space="preserve">  本项目</w:t>
            </w:r>
            <w:r>
              <w:rPr>
                <w:rFonts w:hint="eastAsia"/>
                <w:b/>
                <w:bCs/>
                <w:szCs w:val="21"/>
                <w:lang w:val="en-US" w:eastAsia="zh-CN"/>
              </w:rPr>
              <w:t>运营期</w:t>
            </w:r>
            <w:r>
              <w:rPr>
                <w:b/>
                <w:bCs/>
                <w:szCs w:val="21"/>
              </w:rPr>
              <w:t>水平衡图     单位：m</w:t>
            </w:r>
            <w:r>
              <w:rPr>
                <w:b/>
                <w:bCs/>
                <w:szCs w:val="21"/>
                <w:vertAlign w:val="superscript"/>
              </w:rPr>
              <w:t>3</w:t>
            </w:r>
            <w:r>
              <w:rPr>
                <w:b/>
                <w:bCs/>
                <w:szCs w:val="21"/>
              </w:rPr>
              <w:t>/</w:t>
            </w:r>
            <w:r>
              <w:rPr>
                <w:rFonts w:hint="eastAsia"/>
                <w:b/>
                <w:bCs/>
                <w:szCs w:val="21"/>
                <w:lang w:val="en-US" w:eastAsia="zh-CN"/>
              </w:rPr>
              <w:t>d</w:t>
            </w:r>
          </w:p>
          <w:p w14:paraId="155EA970">
            <w:pPr>
              <w:autoSpaceDE w:val="0"/>
              <w:autoSpaceDN w:val="0"/>
              <w:spacing w:line="360" w:lineRule="auto"/>
              <w:ind w:firstLine="482" w:firstLineChars="200"/>
              <w:rPr>
                <w:b/>
                <w:sz w:val="24"/>
                <w:szCs w:val="28"/>
              </w:rPr>
            </w:pPr>
            <w:r>
              <w:rPr>
                <w:rFonts w:hint="eastAsia"/>
                <w:b/>
                <w:sz w:val="24"/>
                <w:szCs w:val="28"/>
              </w:rPr>
              <w:t>7.2</w:t>
            </w:r>
            <w:r>
              <w:rPr>
                <w:b/>
                <w:sz w:val="24"/>
                <w:szCs w:val="28"/>
              </w:rPr>
              <w:t>供电</w:t>
            </w:r>
          </w:p>
          <w:p w14:paraId="63858452">
            <w:pPr>
              <w:autoSpaceDE w:val="0"/>
              <w:autoSpaceDN w:val="0"/>
              <w:spacing w:line="360" w:lineRule="auto"/>
              <w:ind w:firstLine="480" w:firstLineChars="200"/>
              <w:rPr>
                <w:bCs/>
                <w:sz w:val="24"/>
                <w:szCs w:val="28"/>
              </w:rPr>
            </w:pPr>
            <w:r>
              <w:rPr>
                <w:bCs/>
                <w:sz w:val="24"/>
                <w:szCs w:val="28"/>
              </w:rPr>
              <w:t>本项目用电由市政电网提供，项目不设备用发电机。</w:t>
            </w:r>
          </w:p>
          <w:p w14:paraId="68CD2C48">
            <w:pPr>
              <w:autoSpaceDE w:val="0"/>
              <w:autoSpaceDN w:val="0"/>
              <w:spacing w:line="360" w:lineRule="auto"/>
              <w:ind w:firstLine="482" w:firstLineChars="200"/>
              <w:rPr>
                <w:rFonts w:hint="eastAsia"/>
                <w:b/>
                <w:sz w:val="24"/>
                <w:szCs w:val="28"/>
              </w:rPr>
            </w:pPr>
            <w:r>
              <w:rPr>
                <w:rFonts w:hint="eastAsia"/>
                <w:b/>
                <w:sz w:val="24"/>
                <w:szCs w:val="28"/>
              </w:rPr>
              <w:t>7.3供气</w:t>
            </w:r>
          </w:p>
          <w:p w14:paraId="07F2E6C1">
            <w:pPr>
              <w:wordWrap w:val="0"/>
              <w:autoSpaceDE w:val="0"/>
              <w:autoSpaceDN w:val="0"/>
              <w:spacing w:line="360" w:lineRule="auto"/>
              <w:ind w:left="42" w:leftChars="20" w:right="42" w:rightChars="20" w:firstLine="480" w:firstLineChars="200"/>
              <w:rPr>
                <w:rFonts w:hint="eastAsia"/>
                <w:b/>
                <w:sz w:val="24"/>
                <w:szCs w:val="28"/>
              </w:rPr>
            </w:pPr>
            <w:r>
              <w:rPr>
                <w:bCs/>
                <w:sz w:val="24"/>
                <w:szCs w:val="28"/>
              </w:rPr>
              <w:t>本项目</w:t>
            </w:r>
            <w:r>
              <w:rPr>
                <w:rFonts w:hint="eastAsia"/>
                <w:bCs/>
                <w:sz w:val="24"/>
                <w:szCs w:val="28"/>
                <w:lang w:val="en-US" w:eastAsia="zh-CN"/>
              </w:rPr>
              <w:t>生产工艺过程使用天然气及员工食堂使用天然气均由市政天然气管网供应</w:t>
            </w:r>
            <w:r>
              <w:rPr>
                <w:bCs/>
                <w:sz w:val="24"/>
                <w:szCs w:val="28"/>
              </w:rPr>
              <w:t>。</w:t>
            </w:r>
          </w:p>
          <w:p w14:paraId="668AC91D">
            <w:pPr>
              <w:wordWrap w:val="0"/>
              <w:autoSpaceDE w:val="0"/>
              <w:autoSpaceDN w:val="0"/>
              <w:spacing w:line="360" w:lineRule="auto"/>
              <w:ind w:left="42" w:leftChars="20" w:right="42" w:rightChars="20" w:firstLine="482" w:firstLineChars="200"/>
              <w:rPr>
                <w:sz w:val="24"/>
                <w:highlight w:val="none"/>
              </w:rPr>
            </w:pPr>
            <w:r>
              <w:rPr>
                <w:rFonts w:hint="eastAsia"/>
                <w:b/>
                <w:sz w:val="24"/>
                <w:szCs w:val="28"/>
                <w:highlight w:val="none"/>
                <w:lang w:val="en-US" w:eastAsia="zh-CN"/>
              </w:rPr>
              <w:t>8</w:t>
            </w:r>
            <w:r>
              <w:rPr>
                <w:rFonts w:hint="eastAsia"/>
                <w:b/>
                <w:sz w:val="24"/>
                <w:szCs w:val="28"/>
                <w:highlight w:val="none"/>
              </w:rPr>
              <w:t>、项目依托公辅设施及环保工程可行性分析</w:t>
            </w:r>
          </w:p>
          <w:p w14:paraId="7DA6DB5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highlight w:val="none"/>
              </w:rPr>
              <w:t>本</w:t>
            </w:r>
            <w:r>
              <w:rPr>
                <w:rFonts w:hint="eastAsia" w:cs="Times New Roman"/>
                <w:color w:val="auto"/>
                <w:sz w:val="24"/>
                <w:highlight w:val="none"/>
                <w:lang w:eastAsia="zh-CN"/>
              </w:rPr>
              <w:t>次</w:t>
            </w:r>
            <w:r>
              <w:rPr>
                <w:rFonts w:hint="eastAsia" w:ascii="Times New Roman" w:hAnsi="Times New Roman" w:eastAsia="宋体" w:cs="Times New Roman"/>
                <w:color w:val="auto"/>
                <w:sz w:val="24"/>
                <w:highlight w:val="none"/>
                <w:lang w:val="en-US" w:eastAsia="zh-CN"/>
              </w:rPr>
              <w:t>工程在原项目基础上进行改</w:t>
            </w:r>
            <w:r>
              <w:rPr>
                <w:rFonts w:hint="eastAsia" w:cs="Times New Roman"/>
                <w:color w:val="auto"/>
                <w:sz w:val="24"/>
                <w:highlight w:val="none"/>
                <w:lang w:val="en-US" w:eastAsia="zh-CN"/>
              </w:rPr>
              <w:t>扩</w:t>
            </w:r>
            <w:r>
              <w:rPr>
                <w:rFonts w:hint="eastAsia" w:ascii="Times New Roman" w:hAnsi="Times New Roman" w:eastAsia="宋体" w:cs="Times New Roman"/>
                <w:color w:val="auto"/>
                <w:sz w:val="24"/>
                <w:highlight w:val="none"/>
                <w:lang w:val="en-US" w:eastAsia="zh-CN"/>
              </w:rPr>
              <w:t>建</w:t>
            </w:r>
            <w:r>
              <w:rPr>
                <w:rFonts w:hint="default" w:ascii="Times New Roman" w:hAnsi="Times New Roman" w:eastAsia="宋体" w:cs="Times New Roman"/>
                <w:color w:val="auto"/>
                <w:sz w:val="24"/>
                <w:highlight w:val="none"/>
              </w:rPr>
              <w:t>，部分设施依托</w:t>
            </w:r>
            <w:r>
              <w:rPr>
                <w:rFonts w:hint="eastAsia" w:ascii="Times New Roman" w:hAnsi="Times New Roman" w:eastAsia="宋体" w:cs="Times New Roman"/>
                <w:color w:val="auto"/>
                <w:sz w:val="24"/>
                <w:highlight w:val="none"/>
                <w:lang w:val="en-US" w:eastAsia="zh-CN"/>
              </w:rPr>
              <w:t>现有厂区已建</w:t>
            </w:r>
            <w:r>
              <w:rPr>
                <w:rFonts w:hint="default" w:ascii="Times New Roman" w:hAnsi="Times New Roman" w:eastAsia="宋体" w:cs="Times New Roman"/>
                <w:color w:val="auto"/>
                <w:sz w:val="24"/>
                <w:highlight w:val="none"/>
              </w:rPr>
              <w:t>设施，主要依托情况及依托可行性见下表所示：</w:t>
            </w:r>
          </w:p>
          <w:p w14:paraId="358F4293">
            <w:pPr>
              <w:numPr>
                <w:ilvl w:val="0"/>
                <w:numId w:val="4"/>
              </w:numPr>
              <w:tabs>
                <w:tab w:val="left" w:pos="0"/>
              </w:tabs>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项目公辅设施依托情况一览表</w:t>
            </w:r>
          </w:p>
          <w:tbl>
            <w:tblPr>
              <w:tblStyle w:val="26"/>
              <w:tblW w:w="798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70"/>
              <w:gridCol w:w="1154"/>
              <w:gridCol w:w="2798"/>
              <w:gridCol w:w="3565"/>
            </w:tblGrid>
            <w:tr w14:paraId="3BAAF48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624" w:type="dxa"/>
                  <w:gridSpan w:val="2"/>
                  <w:tcBorders>
                    <w:tl2br w:val="nil"/>
                    <w:tr2bl w:val="nil"/>
                  </w:tcBorders>
                  <w:noWrap w:val="0"/>
                  <w:vAlign w:val="center"/>
                </w:tcPr>
                <w:p w14:paraId="5ACCFFE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依托项目</w:t>
                  </w:r>
                </w:p>
              </w:tc>
              <w:tc>
                <w:tcPr>
                  <w:tcW w:w="2798" w:type="dxa"/>
                  <w:tcBorders>
                    <w:tl2br w:val="nil"/>
                    <w:tr2bl w:val="nil"/>
                  </w:tcBorders>
                  <w:noWrap w:val="0"/>
                  <w:vAlign w:val="center"/>
                </w:tcPr>
                <w:p w14:paraId="6B34CB9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项目区域现有</w:t>
                  </w:r>
                  <w:r>
                    <w:rPr>
                      <w:rFonts w:hint="default" w:ascii="Times New Roman" w:hAnsi="Times New Roman" w:eastAsia="宋体" w:cs="Times New Roman"/>
                      <w:color w:val="auto"/>
                      <w:sz w:val="21"/>
                      <w:szCs w:val="21"/>
                    </w:rPr>
                    <w:t>已建情况</w:t>
                  </w:r>
                </w:p>
              </w:tc>
              <w:tc>
                <w:tcPr>
                  <w:tcW w:w="3565" w:type="dxa"/>
                  <w:tcBorders>
                    <w:tl2br w:val="nil"/>
                    <w:tr2bl w:val="nil"/>
                  </w:tcBorders>
                  <w:noWrap w:val="0"/>
                  <w:vAlign w:val="center"/>
                </w:tcPr>
                <w:p w14:paraId="3AC6997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w:t>
                  </w:r>
                  <w:r>
                    <w:rPr>
                      <w:rFonts w:hint="default" w:ascii="Times New Roman" w:hAnsi="Times New Roman" w:eastAsia="宋体" w:cs="Times New Roman"/>
                      <w:color w:val="auto"/>
                      <w:sz w:val="21"/>
                      <w:szCs w:val="21"/>
                      <w:lang w:val="en-US" w:eastAsia="zh-CN"/>
                    </w:rPr>
                    <w:t>可行</w:t>
                  </w:r>
                  <w:r>
                    <w:rPr>
                      <w:rFonts w:hint="default" w:ascii="Times New Roman" w:hAnsi="Times New Roman" w:eastAsia="宋体" w:cs="Times New Roman"/>
                      <w:color w:val="auto"/>
                      <w:sz w:val="21"/>
                      <w:szCs w:val="21"/>
                    </w:rPr>
                    <w:t>性分析</w:t>
                  </w:r>
                </w:p>
              </w:tc>
            </w:tr>
            <w:tr w14:paraId="3886B63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70" w:type="dxa"/>
                  <w:vMerge w:val="restart"/>
                  <w:tcBorders>
                    <w:tl2br w:val="nil"/>
                    <w:tr2bl w:val="nil"/>
                  </w:tcBorders>
                  <w:noWrap w:val="0"/>
                  <w:vAlign w:val="center"/>
                </w:tcPr>
                <w:p w14:paraId="3BEA042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1154" w:type="dxa"/>
                  <w:vMerge w:val="restart"/>
                  <w:tcBorders>
                    <w:tl2br w:val="nil"/>
                    <w:tr2bl w:val="nil"/>
                  </w:tcBorders>
                  <w:noWrap w:val="0"/>
                  <w:vAlign w:val="center"/>
                </w:tcPr>
                <w:p w14:paraId="02BC93F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废水治理</w:t>
                  </w:r>
                </w:p>
              </w:tc>
              <w:tc>
                <w:tcPr>
                  <w:tcW w:w="2798" w:type="dxa"/>
                  <w:tcBorders>
                    <w:tl2br w:val="nil"/>
                    <w:tr2bl w:val="nil"/>
                  </w:tcBorders>
                  <w:noWrap w:val="0"/>
                  <w:vAlign w:val="center"/>
                </w:tcPr>
                <w:p w14:paraId="1E7A5AC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原项目厂区已建1座</w:t>
                  </w:r>
                  <w:r>
                    <w:rPr>
                      <w:rFonts w:hint="eastAsia" w:cs="Times New Roman"/>
                      <w:color w:val="auto"/>
                      <w:sz w:val="21"/>
                      <w:szCs w:val="21"/>
                      <w:lang w:val="en-US" w:eastAsia="zh-CN"/>
                    </w:rPr>
                    <w:t>化粪池</w:t>
                  </w:r>
                  <w:r>
                    <w:rPr>
                      <w:rFonts w:hint="eastAsia" w:ascii="Times New Roman" w:hAnsi="Times New Roman" w:eastAsia="宋体" w:cs="Times New Roman"/>
                      <w:color w:val="auto"/>
                      <w:sz w:val="21"/>
                      <w:szCs w:val="21"/>
                      <w:lang w:val="en-US" w:eastAsia="zh-CN"/>
                    </w:rPr>
                    <w:t>（有效容积为</w:t>
                  </w:r>
                  <w:r>
                    <w:rPr>
                      <w:rFonts w:hint="eastAsia" w:cs="Times New Roman"/>
                      <w:color w:val="auto"/>
                      <w:sz w:val="21"/>
                      <w:szCs w:val="21"/>
                      <w:lang w:val="en-US" w:eastAsia="zh-CN"/>
                    </w:rPr>
                    <w:t>20</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），厂区内已建</w:t>
                  </w:r>
                  <w:r>
                    <w:rPr>
                      <w:rFonts w:hint="eastAsia" w:cs="Times New Roman"/>
                      <w:color w:val="auto"/>
                      <w:sz w:val="21"/>
                      <w:szCs w:val="21"/>
                      <w:vertAlign w:val="baseline"/>
                      <w:lang w:val="en-US" w:eastAsia="zh-CN"/>
                    </w:rPr>
                    <w:t>化粪池</w:t>
                  </w:r>
                  <w:r>
                    <w:rPr>
                      <w:rFonts w:hint="eastAsia" w:ascii="Times New Roman" w:hAnsi="Times New Roman" w:eastAsia="宋体" w:cs="Times New Roman"/>
                      <w:color w:val="auto"/>
                      <w:sz w:val="21"/>
                      <w:szCs w:val="21"/>
                      <w:vertAlign w:val="baseline"/>
                      <w:lang w:val="en-US" w:eastAsia="zh-CN"/>
                    </w:rPr>
                    <w:t>仅接纳本</w:t>
                  </w:r>
                  <w:r>
                    <w:rPr>
                      <w:rFonts w:hint="eastAsia" w:cs="Times New Roman"/>
                      <w:color w:val="auto"/>
                      <w:sz w:val="21"/>
                      <w:szCs w:val="21"/>
                      <w:vertAlign w:val="baseline"/>
                      <w:lang w:val="en-US" w:eastAsia="zh-CN"/>
                    </w:rPr>
                    <w:t>厂区</w:t>
                  </w:r>
                  <w:r>
                    <w:rPr>
                      <w:rFonts w:hint="eastAsia" w:ascii="Times New Roman" w:hAnsi="Times New Roman" w:eastAsia="宋体" w:cs="Times New Roman"/>
                      <w:color w:val="auto"/>
                      <w:sz w:val="21"/>
                      <w:szCs w:val="21"/>
                      <w:vertAlign w:val="baseline"/>
                      <w:lang w:val="en-US" w:eastAsia="zh-CN"/>
                    </w:rPr>
                    <w:t>生活污水和食堂废水</w:t>
                  </w:r>
                  <w:r>
                    <w:rPr>
                      <w:rFonts w:hint="eastAsia" w:ascii="Times New Roman" w:hAnsi="Times New Roman" w:eastAsia="宋体" w:cs="Times New Roman"/>
                      <w:color w:val="auto"/>
                      <w:sz w:val="21"/>
                      <w:szCs w:val="21"/>
                      <w:lang w:val="en-US" w:eastAsia="zh-CN"/>
                    </w:rPr>
                    <w:t>。</w:t>
                  </w:r>
                </w:p>
              </w:tc>
              <w:tc>
                <w:tcPr>
                  <w:tcW w:w="3565" w:type="dxa"/>
                  <w:tcBorders>
                    <w:tl2br w:val="nil"/>
                    <w:tr2bl w:val="nil"/>
                  </w:tcBorders>
                  <w:noWrap w:val="0"/>
                  <w:vAlign w:val="center"/>
                </w:tcPr>
                <w:p w14:paraId="62EE3E6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根据工程分析，本项目</w:t>
                  </w:r>
                  <w:r>
                    <w:rPr>
                      <w:rFonts w:hint="eastAsia" w:cs="Times New Roman"/>
                      <w:color w:val="auto"/>
                      <w:sz w:val="21"/>
                      <w:szCs w:val="21"/>
                      <w:lang w:val="en-US" w:eastAsia="zh-CN"/>
                    </w:rPr>
                    <w:t>改扩建完成后全厂</w:t>
                  </w:r>
                  <w:r>
                    <w:rPr>
                      <w:rFonts w:hint="default" w:ascii="Times New Roman" w:hAnsi="Times New Roman" w:eastAsia="宋体" w:cs="Times New Roman"/>
                      <w:color w:val="auto"/>
                      <w:sz w:val="21"/>
                      <w:szCs w:val="21"/>
                    </w:rPr>
                    <w:t>生活污水</w:t>
                  </w:r>
                  <w:r>
                    <w:rPr>
                      <w:rFonts w:hint="eastAsia" w:cs="Times New Roman"/>
                      <w:color w:val="auto"/>
                      <w:sz w:val="21"/>
                      <w:szCs w:val="21"/>
                      <w:lang w:eastAsia="zh-CN"/>
                    </w:rPr>
                    <w:t>（</w:t>
                  </w:r>
                  <w:r>
                    <w:rPr>
                      <w:rFonts w:hint="eastAsia" w:cs="Times New Roman"/>
                      <w:color w:val="auto"/>
                      <w:sz w:val="21"/>
                      <w:szCs w:val="21"/>
                      <w:lang w:val="en-US" w:eastAsia="zh-CN"/>
                    </w:rPr>
                    <w:t>含食堂废水</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产生量共计</w:t>
                  </w:r>
                  <w:r>
                    <w:rPr>
                      <w:rFonts w:hint="eastAsia" w:cs="Times New Roman"/>
                      <w:color w:val="auto"/>
                      <w:sz w:val="21"/>
                      <w:szCs w:val="21"/>
                      <w:lang w:val="en-US" w:eastAsia="zh-CN"/>
                    </w:rPr>
                    <w:t>4.08</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r>
                    <w:rPr>
                      <w:rFonts w:hint="eastAsia" w:cs="Times New Roman"/>
                      <w:color w:val="auto"/>
                      <w:sz w:val="21"/>
                      <w:szCs w:val="21"/>
                      <w:lang w:val="en-US" w:eastAsia="zh-CN"/>
                    </w:rPr>
                    <w:t>废水停留时间按12小时考虑，</w:t>
                  </w:r>
                  <w:r>
                    <w:rPr>
                      <w:rFonts w:hint="eastAsia" w:ascii="Times New Roman" w:hAnsi="Times New Roman" w:eastAsia="宋体" w:cs="Times New Roman"/>
                      <w:color w:val="auto"/>
                      <w:sz w:val="21"/>
                      <w:szCs w:val="21"/>
                      <w:lang w:val="en-US" w:eastAsia="zh-CN"/>
                    </w:rPr>
                    <w:t>处理</w:t>
                  </w:r>
                  <w:r>
                    <w:rPr>
                      <w:rFonts w:hint="eastAsia" w:cs="Times New Roman"/>
                      <w:color w:val="auto"/>
                      <w:sz w:val="21"/>
                      <w:szCs w:val="21"/>
                      <w:lang w:val="en-US" w:eastAsia="zh-CN"/>
                    </w:rPr>
                    <w:t>全厂</w:t>
                  </w:r>
                  <w:r>
                    <w:rPr>
                      <w:rFonts w:hint="eastAsia" w:ascii="Times New Roman" w:hAnsi="Times New Roman" w:eastAsia="宋体" w:cs="Times New Roman"/>
                      <w:color w:val="auto"/>
                      <w:sz w:val="21"/>
                      <w:szCs w:val="21"/>
                      <w:lang w:val="en-US" w:eastAsia="zh-CN"/>
                    </w:rPr>
                    <w:t>生活污水</w:t>
                  </w:r>
                  <w:r>
                    <w:rPr>
                      <w:rFonts w:hint="eastAsia" w:cs="Times New Roman"/>
                      <w:color w:val="auto"/>
                      <w:sz w:val="21"/>
                      <w:szCs w:val="21"/>
                      <w:lang w:val="en-US" w:eastAsia="zh-CN"/>
                    </w:rPr>
                    <w:t>化粪池</w:t>
                  </w:r>
                  <w:r>
                    <w:rPr>
                      <w:rFonts w:hint="eastAsia" w:ascii="Times New Roman" w:hAnsi="Times New Roman" w:eastAsia="宋体" w:cs="Times New Roman"/>
                      <w:color w:val="auto"/>
                      <w:sz w:val="21"/>
                      <w:szCs w:val="21"/>
                      <w:lang w:val="en-US" w:eastAsia="zh-CN"/>
                    </w:rPr>
                    <w:t>容积为</w:t>
                  </w:r>
                  <w:r>
                    <w:rPr>
                      <w:rFonts w:hint="eastAsia" w:cs="Times New Roman"/>
                      <w:color w:val="auto"/>
                      <w:sz w:val="21"/>
                      <w:szCs w:val="21"/>
                      <w:lang w:val="en-US" w:eastAsia="zh-CN"/>
                    </w:rPr>
                    <w:t>2.04</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小于厂区</w:t>
                  </w:r>
                  <w:r>
                    <w:rPr>
                      <w:rFonts w:hint="eastAsia" w:ascii="Times New Roman" w:hAnsi="Times New Roman" w:eastAsia="宋体" w:cs="Times New Roman"/>
                      <w:color w:val="auto"/>
                      <w:sz w:val="21"/>
                      <w:szCs w:val="21"/>
                      <w:lang w:val="en-US" w:eastAsia="zh-CN"/>
                    </w:rPr>
                    <w:t>内</w:t>
                  </w:r>
                  <w:r>
                    <w:rPr>
                      <w:rFonts w:hint="default" w:ascii="Times New Roman" w:hAnsi="Times New Roman" w:eastAsia="宋体" w:cs="Times New Roman"/>
                      <w:color w:val="auto"/>
                      <w:sz w:val="21"/>
                      <w:szCs w:val="21"/>
                    </w:rPr>
                    <w:t>已建</w:t>
                  </w:r>
                  <w:r>
                    <w:rPr>
                      <w:rFonts w:hint="eastAsia" w:cs="Times New Roman"/>
                      <w:color w:val="auto"/>
                      <w:sz w:val="21"/>
                      <w:szCs w:val="21"/>
                      <w:lang w:val="en-US" w:eastAsia="zh-CN"/>
                    </w:rPr>
                    <w:t>化粪池</w:t>
                  </w:r>
                  <w:r>
                    <w:rPr>
                      <w:rFonts w:hint="eastAsia" w:ascii="Times New Roman" w:hAnsi="Times New Roman" w:eastAsia="宋体" w:cs="Times New Roman"/>
                      <w:color w:val="auto"/>
                      <w:sz w:val="21"/>
                      <w:szCs w:val="21"/>
                      <w:lang w:val="en-US" w:eastAsia="zh-CN"/>
                    </w:rPr>
                    <w:t>处理</w:t>
                  </w:r>
                  <w:r>
                    <w:rPr>
                      <w:rFonts w:hint="default" w:ascii="Times New Roman" w:hAnsi="Times New Roman" w:eastAsia="宋体" w:cs="Times New Roman"/>
                      <w:color w:val="auto"/>
                      <w:sz w:val="21"/>
                      <w:szCs w:val="21"/>
                    </w:rPr>
                    <w:t>容量，能够满足本</w:t>
                  </w:r>
                  <w:r>
                    <w:rPr>
                      <w:rFonts w:hint="eastAsia" w:cs="Times New Roman"/>
                      <w:color w:val="auto"/>
                      <w:sz w:val="21"/>
                      <w:szCs w:val="21"/>
                      <w:lang w:val="en-US" w:eastAsia="zh-CN"/>
                    </w:rPr>
                    <w:t>次改扩建后全厂</w:t>
                  </w:r>
                  <w:r>
                    <w:rPr>
                      <w:rFonts w:hint="eastAsia" w:ascii="Times New Roman" w:hAnsi="Times New Roman" w:eastAsia="宋体" w:cs="Times New Roman"/>
                      <w:color w:val="auto"/>
                      <w:sz w:val="21"/>
                      <w:szCs w:val="21"/>
                      <w:lang w:val="en-US" w:eastAsia="zh-CN"/>
                    </w:rPr>
                    <w:t>生活污水</w:t>
                  </w:r>
                  <w:r>
                    <w:rPr>
                      <w:rFonts w:hint="default" w:ascii="Times New Roman" w:hAnsi="Times New Roman" w:eastAsia="宋体" w:cs="Times New Roman"/>
                      <w:color w:val="auto"/>
                      <w:sz w:val="21"/>
                      <w:szCs w:val="21"/>
                    </w:rPr>
                    <w:t>处理能力。</w:t>
                  </w:r>
                </w:p>
              </w:tc>
            </w:tr>
            <w:tr w14:paraId="1B5E139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70" w:type="dxa"/>
                  <w:vMerge w:val="continue"/>
                  <w:tcBorders>
                    <w:tl2br w:val="nil"/>
                    <w:tr2bl w:val="nil"/>
                  </w:tcBorders>
                  <w:noWrap w:val="0"/>
                  <w:vAlign w:val="center"/>
                </w:tcPr>
                <w:p w14:paraId="55E9F20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p>
              </w:tc>
              <w:tc>
                <w:tcPr>
                  <w:tcW w:w="1154" w:type="dxa"/>
                  <w:vMerge w:val="continue"/>
                  <w:tcBorders>
                    <w:tl2br w:val="nil"/>
                    <w:tr2bl w:val="nil"/>
                  </w:tcBorders>
                  <w:noWrap w:val="0"/>
                  <w:vAlign w:val="center"/>
                </w:tcPr>
                <w:p w14:paraId="23F349D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p>
              </w:tc>
              <w:tc>
                <w:tcPr>
                  <w:tcW w:w="2798" w:type="dxa"/>
                  <w:tcBorders>
                    <w:tl2br w:val="nil"/>
                    <w:tr2bl w:val="nil"/>
                  </w:tcBorders>
                  <w:noWrap w:val="0"/>
                  <w:vAlign w:val="center"/>
                </w:tcPr>
                <w:p w14:paraId="45B553B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原项目厂区内已建1座三级沉淀池（</w:t>
                  </w:r>
                  <w:r>
                    <w:rPr>
                      <w:rFonts w:hint="eastAsia" w:ascii="Times New Roman" w:hAnsi="Times New Roman" w:eastAsia="宋体" w:cs="Times New Roman"/>
                      <w:color w:val="auto"/>
                      <w:sz w:val="21"/>
                      <w:szCs w:val="21"/>
                      <w:lang w:val="en-US" w:eastAsia="zh-CN"/>
                    </w:rPr>
                    <w:t>有效容积为</w:t>
                  </w:r>
                  <w:r>
                    <w:rPr>
                      <w:rFonts w:hint="eastAsia" w:cs="Times New Roman"/>
                      <w:color w:val="auto"/>
                      <w:sz w:val="21"/>
                      <w:szCs w:val="21"/>
                      <w:lang w:val="en-US" w:eastAsia="zh-CN"/>
                    </w:rPr>
                    <w:t>30</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vertAlign w:val="baseline"/>
                      <w:lang w:val="en-US" w:eastAsia="zh-CN"/>
                    </w:rPr>
                    <w:t>厂区内已建</w:t>
                  </w:r>
                  <w:r>
                    <w:rPr>
                      <w:rFonts w:hint="eastAsia" w:cs="Times New Roman"/>
                      <w:color w:val="auto"/>
                      <w:sz w:val="21"/>
                      <w:szCs w:val="21"/>
                      <w:vertAlign w:val="baseline"/>
                      <w:lang w:val="en-US" w:eastAsia="zh-CN"/>
                    </w:rPr>
                    <w:t>三级沉淀池</w:t>
                  </w:r>
                  <w:r>
                    <w:rPr>
                      <w:rFonts w:hint="eastAsia" w:ascii="Times New Roman" w:hAnsi="Times New Roman" w:eastAsia="宋体" w:cs="Times New Roman"/>
                      <w:color w:val="auto"/>
                      <w:sz w:val="21"/>
                      <w:szCs w:val="21"/>
                      <w:vertAlign w:val="baseline"/>
                      <w:lang w:val="en-US" w:eastAsia="zh-CN"/>
                    </w:rPr>
                    <w:t>仅接纳本</w:t>
                  </w:r>
                  <w:r>
                    <w:rPr>
                      <w:rFonts w:hint="eastAsia" w:cs="Times New Roman"/>
                      <w:color w:val="auto"/>
                      <w:sz w:val="21"/>
                      <w:szCs w:val="21"/>
                      <w:vertAlign w:val="baseline"/>
                      <w:lang w:val="en-US" w:eastAsia="zh-CN"/>
                    </w:rPr>
                    <w:t>厂区生产废水</w:t>
                  </w:r>
                  <w:r>
                    <w:rPr>
                      <w:rFonts w:hint="eastAsia" w:ascii="Times New Roman" w:hAnsi="Times New Roman" w:eastAsia="宋体" w:cs="Times New Roman"/>
                      <w:color w:val="auto"/>
                      <w:sz w:val="21"/>
                      <w:szCs w:val="21"/>
                      <w:lang w:val="en-US" w:eastAsia="zh-CN"/>
                    </w:rPr>
                    <w:t>。</w:t>
                  </w:r>
                </w:p>
              </w:tc>
              <w:tc>
                <w:tcPr>
                  <w:tcW w:w="3565" w:type="dxa"/>
                  <w:tcBorders>
                    <w:tl2br w:val="nil"/>
                    <w:tr2bl w:val="nil"/>
                  </w:tcBorders>
                  <w:noWrap w:val="0"/>
                  <w:vAlign w:val="center"/>
                </w:tcPr>
                <w:p w14:paraId="7D365EC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根据工程分析，本项目</w:t>
                  </w:r>
                  <w:r>
                    <w:rPr>
                      <w:rFonts w:hint="eastAsia" w:cs="Times New Roman"/>
                      <w:color w:val="auto"/>
                      <w:sz w:val="21"/>
                      <w:szCs w:val="21"/>
                      <w:lang w:val="en-US" w:eastAsia="zh-CN"/>
                    </w:rPr>
                    <w:t>改扩建完成后全厂生产废水</w:t>
                  </w:r>
                  <w:r>
                    <w:rPr>
                      <w:rFonts w:hint="default" w:ascii="Times New Roman" w:hAnsi="Times New Roman" w:eastAsia="宋体" w:cs="Times New Roman"/>
                      <w:color w:val="auto"/>
                      <w:sz w:val="21"/>
                      <w:szCs w:val="21"/>
                    </w:rPr>
                    <w:t>产生量共计</w:t>
                  </w:r>
                  <w:r>
                    <w:rPr>
                      <w:rFonts w:hint="eastAsia" w:cs="Times New Roman"/>
                      <w:color w:val="auto"/>
                      <w:sz w:val="21"/>
                      <w:szCs w:val="21"/>
                      <w:lang w:val="en-US" w:eastAsia="zh-CN"/>
                    </w:rPr>
                    <w:t>5.355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r>
                    <w:rPr>
                      <w:rFonts w:hint="eastAsia" w:cs="Times New Roman"/>
                      <w:color w:val="auto"/>
                      <w:sz w:val="21"/>
                      <w:szCs w:val="21"/>
                      <w:lang w:val="en-US" w:eastAsia="zh-CN"/>
                    </w:rPr>
                    <w:t>废水停留时间按12小时考虑，</w:t>
                  </w:r>
                  <w:r>
                    <w:rPr>
                      <w:rFonts w:hint="eastAsia" w:ascii="Times New Roman" w:hAnsi="Times New Roman" w:eastAsia="宋体" w:cs="Times New Roman"/>
                      <w:color w:val="auto"/>
                      <w:sz w:val="21"/>
                      <w:szCs w:val="21"/>
                      <w:lang w:val="en-US" w:eastAsia="zh-CN"/>
                    </w:rPr>
                    <w:t>处理</w:t>
                  </w:r>
                  <w:r>
                    <w:rPr>
                      <w:rFonts w:hint="eastAsia" w:cs="Times New Roman"/>
                      <w:color w:val="auto"/>
                      <w:sz w:val="21"/>
                      <w:szCs w:val="21"/>
                      <w:lang w:val="en-US" w:eastAsia="zh-CN"/>
                    </w:rPr>
                    <w:t>全厂生产废水三级沉淀池</w:t>
                  </w:r>
                  <w:r>
                    <w:rPr>
                      <w:rFonts w:hint="eastAsia" w:ascii="Times New Roman" w:hAnsi="Times New Roman" w:eastAsia="宋体" w:cs="Times New Roman"/>
                      <w:color w:val="auto"/>
                      <w:sz w:val="21"/>
                      <w:szCs w:val="21"/>
                      <w:lang w:val="en-US" w:eastAsia="zh-CN"/>
                    </w:rPr>
                    <w:t>容积为</w:t>
                  </w:r>
                  <w:r>
                    <w:rPr>
                      <w:rFonts w:hint="eastAsia" w:cs="Times New Roman"/>
                      <w:color w:val="auto"/>
                      <w:sz w:val="21"/>
                      <w:szCs w:val="21"/>
                      <w:lang w:val="en-US" w:eastAsia="zh-CN"/>
                    </w:rPr>
                    <w:t>2.7</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小于厂区</w:t>
                  </w:r>
                  <w:r>
                    <w:rPr>
                      <w:rFonts w:hint="eastAsia" w:ascii="Times New Roman" w:hAnsi="Times New Roman" w:eastAsia="宋体" w:cs="Times New Roman"/>
                      <w:color w:val="auto"/>
                      <w:sz w:val="21"/>
                      <w:szCs w:val="21"/>
                      <w:lang w:val="en-US" w:eastAsia="zh-CN"/>
                    </w:rPr>
                    <w:t>内</w:t>
                  </w:r>
                  <w:r>
                    <w:rPr>
                      <w:rFonts w:hint="default" w:ascii="Times New Roman" w:hAnsi="Times New Roman" w:eastAsia="宋体" w:cs="Times New Roman"/>
                      <w:color w:val="auto"/>
                      <w:sz w:val="21"/>
                      <w:szCs w:val="21"/>
                    </w:rPr>
                    <w:t>已建</w:t>
                  </w:r>
                  <w:r>
                    <w:rPr>
                      <w:rFonts w:hint="eastAsia" w:cs="Times New Roman"/>
                      <w:color w:val="auto"/>
                      <w:sz w:val="21"/>
                      <w:szCs w:val="21"/>
                      <w:lang w:val="en-US" w:eastAsia="zh-CN"/>
                    </w:rPr>
                    <w:t>三级沉淀池</w:t>
                  </w:r>
                  <w:r>
                    <w:rPr>
                      <w:rFonts w:hint="eastAsia" w:ascii="Times New Roman" w:hAnsi="Times New Roman" w:eastAsia="宋体" w:cs="Times New Roman"/>
                      <w:color w:val="auto"/>
                      <w:sz w:val="21"/>
                      <w:szCs w:val="21"/>
                      <w:lang w:val="en-US" w:eastAsia="zh-CN"/>
                    </w:rPr>
                    <w:t>处理</w:t>
                  </w:r>
                  <w:r>
                    <w:rPr>
                      <w:rFonts w:hint="default" w:ascii="Times New Roman" w:hAnsi="Times New Roman" w:eastAsia="宋体" w:cs="Times New Roman"/>
                      <w:color w:val="auto"/>
                      <w:sz w:val="21"/>
                      <w:szCs w:val="21"/>
                    </w:rPr>
                    <w:t>容量，能够满足本</w:t>
                  </w:r>
                  <w:r>
                    <w:rPr>
                      <w:rFonts w:hint="eastAsia" w:cs="Times New Roman"/>
                      <w:color w:val="auto"/>
                      <w:sz w:val="21"/>
                      <w:szCs w:val="21"/>
                      <w:lang w:val="en-US" w:eastAsia="zh-CN"/>
                    </w:rPr>
                    <w:t>次改扩建后全厂生产废水</w:t>
                  </w:r>
                  <w:r>
                    <w:rPr>
                      <w:rFonts w:hint="default" w:ascii="Times New Roman" w:hAnsi="Times New Roman" w:eastAsia="宋体" w:cs="Times New Roman"/>
                      <w:color w:val="auto"/>
                      <w:sz w:val="21"/>
                      <w:szCs w:val="21"/>
                    </w:rPr>
                    <w:t>处理能力。</w:t>
                  </w:r>
                </w:p>
              </w:tc>
            </w:tr>
            <w:tr w14:paraId="54B5869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5" w:hRule="atLeast"/>
                <w:jc w:val="center"/>
              </w:trPr>
              <w:tc>
                <w:tcPr>
                  <w:tcW w:w="470" w:type="dxa"/>
                  <w:vMerge w:val="continue"/>
                  <w:tcBorders>
                    <w:tl2br w:val="nil"/>
                    <w:tr2bl w:val="nil"/>
                  </w:tcBorders>
                  <w:noWrap w:val="0"/>
                  <w:vAlign w:val="center"/>
                </w:tcPr>
                <w:p w14:paraId="5BBED1C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p>
              </w:tc>
              <w:tc>
                <w:tcPr>
                  <w:tcW w:w="1154" w:type="dxa"/>
                  <w:tcBorders>
                    <w:tl2br w:val="nil"/>
                    <w:tr2bl w:val="nil"/>
                  </w:tcBorders>
                  <w:noWrap w:val="0"/>
                  <w:vAlign w:val="center"/>
                </w:tcPr>
                <w:p w14:paraId="0D63BFE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废气治理</w:t>
                  </w:r>
                </w:p>
              </w:tc>
              <w:tc>
                <w:tcPr>
                  <w:tcW w:w="2798" w:type="dxa"/>
                  <w:tcBorders>
                    <w:tl2br w:val="nil"/>
                    <w:tr2bl w:val="nil"/>
                  </w:tcBorders>
                  <w:noWrap w:val="0"/>
                  <w:vAlign w:val="center"/>
                </w:tcPr>
                <w:p w14:paraId="4EF37DB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原项目已设置1</w:t>
                  </w:r>
                  <w:r>
                    <w:rPr>
                      <w:rFonts w:hint="eastAsia" w:cs="Times New Roman"/>
                      <w:color w:val="auto"/>
                      <w:sz w:val="21"/>
                      <w:szCs w:val="21"/>
                      <w:highlight w:val="none"/>
                      <w:lang w:val="en-US" w:eastAsia="zh-CN"/>
                    </w:rPr>
                    <w:t>套高温布袋除尘器+22m高排气筒处理输送粉尘、烘干粉尘、提升粉尘、筛分粉尘、烘干系统天然气燃烧废气。</w:t>
                  </w:r>
                </w:p>
              </w:tc>
              <w:tc>
                <w:tcPr>
                  <w:tcW w:w="3565" w:type="dxa"/>
                  <w:tcBorders>
                    <w:tl2br w:val="nil"/>
                    <w:tr2bl w:val="nil"/>
                  </w:tcBorders>
                  <w:noWrap w:val="0"/>
                  <w:vAlign w:val="center"/>
                </w:tcPr>
                <w:p w14:paraId="586B71D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根据工程分析，本</w:t>
                  </w:r>
                  <w:r>
                    <w:rPr>
                      <w:rFonts w:hint="eastAsia" w:cs="Times New Roman"/>
                      <w:color w:val="auto"/>
                      <w:sz w:val="21"/>
                      <w:szCs w:val="21"/>
                      <w:highlight w:val="none"/>
                      <w:lang w:val="en-US" w:eastAsia="zh-CN"/>
                    </w:rPr>
                    <w:t>次改扩建后输送粉尘、烘干粉尘、提升粉尘、筛分粉尘、烘干系统天然气燃烧废气收集、处理</w:t>
                  </w:r>
                  <w:r>
                    <w:rPr>
                      <w:rFonts w:hint="eastAsia" w:ascii="Times New Roman" w:hAnsi="Times New Roman" w:eastAsia="宋体" w:cs="Times New Roman"/>
                      <w:color w:val="auto"/>
                      <w:sz w:val="21"/>
                      <w:szCs w:val="21"/>
                      <w:highlight w:val="none"/>
                      <w:lang w:val="en-US" w:eastAsia="zh-CN"/>
                    </w:rPr>
                    <w:t>依托原项目已建高温布袋除尘器+22m高排气筒可行</w:t>
                  </w:r>
                  <w:r>
                    <w:rPr>
                      <w:rFonts w:hint="eastAsia" w:cs="Times New Roman"/>
                      <w:color w:val="auto"/>
                      <w:sz w:val="21"/>
                      <w:szCs w:val="21"/>
                      <w:highlight w:val="none"/>
                      <w:lang w:val="en-US" w:eastAsia="zh-CN"/>
                    </w:rPr>
                    <w:t>。</w:t>
                  </w:r>
                </w:p>
              </w:tc>
            </w:tr>
            <w:tr w14:paraId="5D2F387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70" w:type="dxa"/>
                  <w:vMerge w:val="continue"/>
                  <w:tcBorders>
                    <w:tl2br w:val="nil"/>
                    <w:tr2bl w:val="nil"/>
                  </w:tcBorders>
                  <w:noWrap w:val="0"/>
                  <w:vAlign w:val="center"/>
                </w:tcPr>
                <w:p w14:paraId="358F2DA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p>
              </w:tc>
              <w:tc>
                <w:tcPr>
                  <w:tcW w:w="1154" w:type="dxa"/>
                  <w:tcBorders>
                    <w:tl2br w:val="nil"/>
                    <w:tr2bl w:val="nil"/>
                  </w:tcBorders>
                  <w:noWrap w:val="0"/>
                  <w:vAlign w:val="center"/>
                </w:tcPr>
                <w:p w14:paraId="494BFAE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固废暂存</w:t>
                  </w:r>
                </w:p>
              </w:tc>
              <w:tc>
                <w:tcPr>
                  <w:tcW w:w="2798" w:type="dxa"/>
                  <w:tcBorders>
                    <w:tl2br w:val="nil"/>
                    <w:tr2bl w:val="nil"/>
                  </w:tcBorders>
                  <w:noWrap w:val="0"/>
                  <w:vAlign w:val="center"/>
                </w:tcPr>
                <w:p w14:paraId="6EB60E0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原项目</w:t>
                  </w:r>
                  <w:r>
                    <w:rPr>
                      <w:rFonts w:hint="eastAsia"/>
                      <w:szCs w:val="21"/>
                      <w:lang w:val="en-US" w:eastAsia="zh-CN"/>
                    </w:rPr>
                    <w:t>厂区西侧已建1间10</w:t>
                  </w:r>
                  <w:r>
                    <w:rPr>
                      <w:rFonts w:hint="eastAsia"/>
                      <w:szCs w:val="21"/>
                    </w:rPr>
                    <w:t>m</w:t>
                  </w:r>
                  <w:r>
                    <w:rPr>
                      <w:rFonts w:hint="eastAsia"/>
                      <w:szCs w:val="21"/>
                      <w:vertAlign w:val="superscript"/>
                      <w:lang w:val="en-US" w:eastAsia="zh-CN"/>
                    </w:rPr>
                    <w:t>2</w:t>
                  </w:r>
                  <w:r>
                    <w:rPr>
                      <w:rFonts w:hint="eastAsia"/>
                      <w:szCs w:val="21"/>
                    </w:rPr>
                    <w:t>的危险废物暂存间</w:t>
                  </w:r>
                  <w:r>
                    <w:rPr>
                      <w:rFonts w:hint="eastAsia"/>
                      <w:szCs w:val="21"/>
                      <w:lang w:eastAsia="zh-CN"/>
                    </w:rPr>
                    <w:t>，</w:t>
                  </w:r>
                  <w:r>
                    <w:rPr>
                      <w:rFonts w:hint="eastAsia"/>
                      <w:szCs w:val="21"/>
                      <w:lang w:val="en-US" w:eastAsia="zh-CN"/>
                    </w:rPr>
                    <w:t>用于危险废物的暂存。</w:t>
                  </w:r>
                </w:p>
              </w:tc>
              <w:tc>
                <w:tcPr>
                  <w:tcW w:w="3565" w:type="dxa"/>
                  <w:tcBorders>
                    <w:tl2br w:val="nil"/>
                    <w:tr2bl w:val="nil"/>
                  </w:tcBorders>
                  <w:noWrap w:val="0"/>
                  <w:vAlign w:val="center"/>
                </w:tcPr>
                <w:p w14:paraId="4FFD99E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lang w:val="en-US" w:eastAsia="zh-CN"/>
                    </w:rPr>
                    <w:t>本项目改扩建完成后，危险废物依托原项目已建的危废暂存间进行分类收集暂存，能够</w:t>
                  </w:r>
                  <w:r>
                    <w:rPr>
                      <w:rFonts w:hint="default" w:ascii="Times New Roman" w:hAnsi="Times New Roman" w:eastAsia="宋体" w:cs="Times New Roman"/>
                      <w:color w:val="auto"/>
                      <w:sz w:val="21"/>
                      <w:szCs w:val="21"/>
                    </w:rPr>
                    <w:t>满足本项目需求</w:t>
                  </w:r>
                  <w:r>
                    <w:rPr>
                      <w:rFonts w:hint="eastAsia" w:cs="Times New Roman"/>
                      <w:color w:val="auto"/>
                      <w:sz w:val="21"/>
                      <w:szCs w:val="21"/>
                      <w:lang w:eastAsia="zh-CN"/>
                    </w:rPr>
                    <w:t>。</w:t>
                  </w:r>
                  <w:r>
                    <w:rPr>
                      <w:rFonts w:hint="eastAsia" w:cs="Times New Roman"/>
                      <w:color w:val="auto"/>
                      <w:sz w:val="21"/>
                      <w:szCs w:val="21"/>
                      <w:lang w:val="en-US" w:eastAsia="zh-CN"/>
                    </w:rPr>
                    <w:t>但危废暂存间需进行整改，地面及墙裙进行重点防渗处理，并设置标识标牌。</w:t>
                  </w:r>
                </w:p>
              </w:tc>
            </w:tr>
            <w:tr w14:paraId="33A8908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70" w:type="dxa"/>
                  <w:vMerge w:val="restart"/>
                  <w:tcBorders>
                    <w:tl2br w:val="nil"/>
                    <w:tr2bl w:val="nil"/>
                  </w:tcBorders>
                  <w:noWrap w:val="0"/>
                  <w:vAlign w:val="center"/>
                </w:tcPr>
                <w:p w14:paraId="27B80AC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公辅设施</w:t>
                  </w:r>
                </w:p>
              </w:tc>
              <w:tc>
                <w:tcPr>
                  <w:tcW w:w="1154" w:type="dxa"/>
                  <w:tcBorders>
                    <w:tl2br w:val="nil"/>
                    <w:tr2bl w:val="nil"/>
                  </w:tcBorders>
                  <w:noWrap w:val="0"/>
                  <w:vAlign w:val="center"/>
                </w:tcPr>
                <w:p w14:paraId="2500289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水、电</w:t>
                  </w:r>
                  <w:r>
                    <w:rPr>
                      <w:rFonts w:hint="default" w:ascii="Times New Roman" w:hAnsi="Times New Roman" w:eastAsia="宋体" w:cs="Times New Roman"/>
                      <w:color w:val="auto"/>
                      <w:sz w:val="21"/>
                      <w:szCs w:val="21"/>
                      <w:lang w:eastAsia="zh-CN"/>
                    </w:rPr>
                    <w:t>、气</w:t>
                  </w:r>
                  <w:r>
                    <w:rPr>
                      <w:rFonts w:hint="default" w:ascii="Times New Roman" w:hAnsi="Times New Roman" w:eastAsia="宋体" w:cs="Times New Roman"/>
                      <w:color w:val="auto"/>
                      <w:sz w:val="21"/>
                      <w:szCs w:val="21"/>
                    </w:rPr>
                    <w:t>等市政设施</w:t>
                  </w:r>
                </w:p>
              </w:tc>
              <w:tc>
                <w:tcPr>
                  <w:tcW w:w="2798" w:type="dxa"/>
                  <w:tcBorders>
                    <w:tl2br w:val="nil"/>
                    <w:tr2bl w:val="nil"/>
                  </w:tcBorders>
                  <w:noWrap w:val="0"/>
                  <w:vAlign w:val="center"/>
                </w:tcPr>
                <w:p w14:paraId="6D27B00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现有用水、用电</w:t>
                  </w:r>
                  <w:r>
                    <w:rPr>
                      <w:rFonts w:hint="default" w:ascii="Times New Roman" w:hAnsi="Times New Roman" w:eastAsia="宋体" w:cs="Times New Roman"/>
                      <w:color w:val="auto"/>
                      <w:sz w:val="21"/>
                      <w:szCs w:val="21"/>
                      <w:lang w:eastAsia="zh-CN"/>
                    </w:rPr>
                    <w:t>、用气</w:t>
                  </w:r>
                  <w:r>
                    <w:rPr>
                      <w:rFonts w:hint="default" w:ascii="Times New Roman" w:hAnsi="Times New Roman" w:eastAsia="宋体" w:cs="Times New Roman"/>
                      <w:color w:val="auto"/>
                      <w:sz w:val="21"/>
                      <w:szCs w:val="21"/>
                    </w:rPr>
                    <w:t>均采用市政自来水厂</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市政电网</w:t>
                  </w:r>
                  <w:r>
                    <w:rPr>
                      <w:rFonts w:hint="default" w:ascii="Times New Roman" w:hAnsi="Times New Roman" w:eastAsia="宋体" w:cs="Times New Roman"/>
                      <w:color w:val="auto"/>
                      <w:sz w:val="21"/>
                      <w:szCs w:val="21"/>
                      <w:lang w:eastAsia="zh-CN"/>
                    </w:rPr>
                    <w:t>和市政天然气管网</w:t>
                  </w:r>
                  <w:r>
                    <w:rPr>
                      <w:rFonts w:hint="default" w:ascii="Times New Roman" w:hAnsi="Times New Roman" w:eastAsia="宋体" w:cs="Times New Roman"/>
                      <w:color w:val="auto"/>
                      <w:sz w:val="21"/>
                      <w:szCs w:val="21"/>
                    </w:rPr>
                    <w:t>供应，配套设施完善。</w:t>
                  </w:r>
                </w:p>
              </w:tc>
              <w:tc>
                <w:tcPr>
                  <w:tcW w:w="3565" w:type="dxa"/>
                  <w:tcBorders>
                    <w:tl2br w:val="nil"/>
                    <w:tr2bl w:val="nil"/>
                  </w:tcBorders>
                  <w:noWrap w:val="0"/>
                  <w:vAlign w:val="center"/>
                </w:tcPr>
                <w:p w14:paraId="2F74635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本项目基础设施依托现有项目进行建设可行</w:t>
                  </w:r>
                </w:p>
              </w:tc>
            </w:tr>
            <w:tr w14:paraId="6B27713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487" w:hRule="atLeast"/>
                <w:jc w:val="center"/>
              </w:trPr>
              <w:tc>
                <w:tcPr>
                  <w:tcW w:w="470" w:type="dxa"/>
                  <w:vMerge w:val="continue"/>
                  <w:tcBorders>
                    <w:tl2br w:val="nil"/>
                    <w:tr2bl w:val="nil"/>
                  </w:tcBorders>
                  <w:noWrap w:val="0"/>
                  <w:vAlign w:val="center"/>
                </w:tcPr>
                <w:p w14:paraId="17EDC90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p>
              </w:tc>
              <w:tc>
                <w:tcPr>
                  <w:tcW w:w="1154" w:type="dxa"/>
                  <w:tcBorders>
                    <w:tl2br w:val="nil"/>
                    <w:tr2bl w:val="nil"/>
                  </w:tcBorders>
                  <w:noWrap w:val="0"/>
                  <w:vAlign w:val="center"/>
                </w:tcPr>
                <w:p w14:paraId="081DF2A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道路</w:t>
                  </w:r>
                </w:p>
              </w:tc>
              <w:tc>
                <w:tcPr>
                  <w:tcW w:w="2798" w:type="dxa"/>
                  <w:tcBorders>
                    <w:tl2br w:val="nil"/>
                    <w:tr2bl w:val="nil"/>
                  </w:tcBorders>
                  <w:noWrap w:val="0"/>
                  <w:vAlign w:val="center"/>
                </w:tcPr>
                <w:p w14:paraId="4DE7794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根据现场调查，原</w:t>
                  </w:r>
                  <w:r>
                    <w:rPr>
                      <w:rFonts w:hint="default" w:ascii="Times New Roman" w:hAnsi="Times New Roman" w:eastAsia="宋体" w:cs="Times New Roman"/>
                      <w:color w:val="auto"/>
                      <w:sz w:val="21"/>
                      <w:szCs w:val="21"/>
                    </w:rPr>
                    <w:t>项目</w:t>
                  </w:r>
                  <w:r>
                    <w:rPr>
                      <w:rFonts w:hint="default" w:ascii="Times New Roman" w:hAnsi="Times New Roman" w:eastAsia="宋体" w:cs="Times New Roman"/>
                      <w:bCs/>
                      <w:color w:val="auto"/>
                      <w:sz w:val="21"/>
                      <w:szCs w:val="21"/>
                    </w:rPr>
                    <w:t>厂区内道路已完善，且厂区出入口紧邻</w:t>
                  </w:r>
                  <w:r>
                    <w:rPr>
                      <w:rFonts w:hint="eastAsia" w:cs="Times New Roman"/>
                      <w:bCs/>
                      <w:color w:val="auto"/>
                      <w:sz w:val="21"/>
                      <w:szCs w:val="21"/>
                      <w:lang w:val="en-US" w:eastAsia="zh-CN"/>
                    </w:rPr>
                    <w:t>园区道路</w:t>
                  </w:r>
                  <w:r>
                    <w:rPr>
                      <w:rFonts w:hint="default" w:ascii="Times New Roman" w:hAnsi="Times New Roman" w:eastAsia="宋体" w:cs="Times New Roman"/>
                      <w:bCs/>
                      <w:color w:val="auto"/>
                      <w:sz w:val="21"/>
                      <w:szCs w:val="21"/>
                    </w:rPr>
                    <w:t>。</w:t>
                  </w:r>
                </w:p>
              </w:tc>
              <w:tc>
                <w:tcPr>
                  <w:tcW w:w="3565" w:type="dxa"/>
                  <w:tcBorders>
                    <w:tl2br w:val="nil"/>
                    <w:tr2bl w:val="nil"/>
                  </w:tcBorders>
                  <w:noWrap w:val="0"/>
                  <w:vAlign w:val="center"/>
                </w:tcPr>
                <w:p w14:paraId="07AC72B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能满足本项目需求</w:t>
                  </w:r>
                </w:p>
              </w:tc>
            </w:tr>
            <w:tr w14:paraId="32CFBAA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70" w:type="dxa"/>
                  <w:vMerge w:val="continue"/>
                  <w:tcBorders>
                    <w:tl2br w:val="nil"/>
                    <w:tr2bl w:val="nil"/>
                  </w:tcBorders>
                  <w:noWrap w:val="0"/>
                  <w:vAlign w:val="center"/>
                </w:tcPr>
                <w:p w14:paraId="66A70B0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21"/>
                      <w:szCs w:val="21"/>
                    </w:rPr>
                  </w:pPr>
                </w:p>
              </w:tc>
              <w:tc>
                <w:tcPr>
                  <w:tcW w:w="1154" w:type="dxa"/>
                  <w:tcBorders>
                    <w:tl2br w:val="nil"/>
                    <w:tr2bl w:val="nil"/>
                  </w:tcBorders>
                  <w:noWrap w:val="0"/>
                  <w:vAlign w:val="center"/>
                </w:tcPr>
                <w:p w14:paraId="4FD631B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消防系统</w:t>
                  </w:r>
                </w:p>
              </w:tc>
              <w:tc>
                <w:tcPr>
                  <w:tcW w:w="2798" w:type="dxa"/>
                  <w:tcBorders>
                    <w:tl2br w:val="nil"/>
                    <w:tr2bl w:val="nil"/>
                  </w:tcBorders>
                  <w:noWrap w:val="0"/>
                  <w:vAlign w:val="center"/>
                </w:tcPr>
                <w:p w14:paraId="0184B02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根据现场调查，原项目厂区已建设</w:t>
                  </w:r>
                  <w:r>
                    <w:rPr>
                      <w:rFonts w:hint="default" w:ascii="Times New Roman" w:hAnsi="Times New Roman" w:eastAsia="宋体" w:cs="Times New Roman"/>
                      <w:color w:val="auto"/>
                      <w:sz w:val="21"/>
                      <w:szCs w:val="21"/>
                    </w:rPr>
                    <w:t>包括配置室内、外消防设施以及火灾报警控制器、消防联动控制设备、消防紧急广播等设备</w:t>
                  </w:r>
                  <w:r>
                    <w:rPr>
                      <w:rFonts w:hint="eastAsia" w:ascii="Times New Roman" w:hAnsi="Times New Roman" w:eastAsia="宋体" w:cs="Times New Roman"/>
                      <w:color w:val="auto"/>
                      <w:sz w:val="21"/>
                      <w:szCs w:val="21"/>
                      <w:lang w:eastAsia="zh-CN"/>
                    </w:rPr>
                    <w:t>。</w:t>
                  </w:r>
                </w:p>
              </w:tc>
              <w:tc>
                <w:tcPr>
                  <w:tcW w:w="3565" w:type="dxa"/>
                  <w:tcBorders>
                    <w:tl2br w:val="nil"/>
                    <w:tr2bl w:val="nil"/>
                  </w:tcBorders>
                  <w:noWrap w:val="0"/>
                  <w:vAlign w:val="center"/>
                </w:tcPr>
                <w:p w14:paraId="2B7210C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能够满足本项目需求</w:t>
                  </w:r>
                </w:p>
              </w:tc>
            </w:tr>
          </w:tbl>
          <w:p w14:paraId="712B2771">
            <w:pPr>
              <w:jc w:val="center"/>
              <w:rPr>
                <w:rFonts w:hint="default" w:ascii="Times New Roman" w:hAnsi="Times New Roman" w:eastAsia="宋体" w:cs="Times New Roman"/>
                <w:color w:val="auto"/>
                <w:szCs w:val="21"/>
              </w:rPr>
            </w:pPr>
          </w:p>
          <w:p w14:paraId="20FB80EB">
            <w:pPr>
              <w:wordWrap w:val="0"/>
              <w:spacing w:line="360" w:lineRule="auto"/>
              <w:ind w:left="42" w:leftChars="20" w:right="42" w:rightChars="20" w:firstLine="480" w:firstLineChars="200"/>
              <w:rPr>
                <w:sz w:val="24"/>
              </w:rPr>
            </w:pPr>
            <w:r>
              <w:rPr>
                <w:rFonts w:hint="default" w:ascii="Times New Roman" w:hAnsi="Times New Roman" w:eastAsia="宋体" w:cs="Times New Roman"/>
                <w:color w:val="auto"/>
                <w:sz w:val="24"/>
              </w:rPr>
              <w:t>以上分析表明，本项目依托项目所在区域现有已建公辅设施是可行的</w:t>
            </w:r>
            <w:r>
              <w:rPr>
                <w:rFonts w:hint="default" w:ascii="Times New Roman" w:hAnsi="Times New Roman" w:eastAsia="宋体" w:cs="Times New Roman"/>
                <w:color w:val="auto"/>
                <w:sz w:val="24"/>
                <w:lang w:eastAsia="zh-CN"/>
              </w:rPr>
              <w:t>。</w:t>
            </w:r>
          </w:p>
          <w:p w14:paraId="0F60A070">
            <w:pPr>
              <w:wordWrap w:val="0"/>
              <w:autoSpaceDE w:val="0"/>
              <w:autoSpaceDN w:val="0"/>
              <w:spacing w:line="360" w:lineRule="auto"/>
              <w:ind w:left="42" w:leftChars="20" w:right="42" w:rightChars="20" w:firstLine="482" w:firstLineChars="200"/>
              <w:rPr>
                <w:b/>
                <w:sz w:val="24"/>
                <w:szCs w:val="28"/>
                <w:highlight w:val="none"/>
              </w:rPr>
            </w:pPr>
            <w:r>
              <w:rPr>
                <w:rFonts w:hint="eastAsia"/>
                <w:b/>
                <w:sz w:val="24"/>
                <w:szCs w:val="28"/>
                <w:highlight w:val="none"/>
                <w:lang w:val="en-US" w:eastAsia="zh-CN"/>
              </w:rPr>
              <w:t>9</w:t>
            </w:r>
            <w:r>
              <w:rPr>
                <w:rFonts w:hint="eastAsia"/>
                <w:b/>
                <w:sz w:val="24"/>
                <w:szCs w:val="28"/>
                <w:highlight w:val="none"/>
              </w:rPr>
              <w:t>、</w:t>
            </w:r>
            <w:r>
              <w:rPr>
                <w:b/>
                <w:sz w:val="24"/>
                <w:szCs w:val="28"/>
                <w:highlight w:val="none"/>
              </w:rPr>
              <w:t>总平布置合理性分析</w:t>
            </w:r>
          </w:p>
          <w:p w14:paraId="706F67F0">
            <w:pPr>
              <w:wordWrap w:val="0"/>
              <w:spacing w:line="360" w:lineRule="auto"/>
              <w:ind w:left="42" w:leftChars="20" w:right="42" w:rightChars="20" w:firstLine="480" w:firstLineChars="200"/>
              <w:rPr>
                <w:rFonts w:hint="eastAsia"/>
                <w:kern w:val="0"/>
                <w:sz w:val="24"/>
                <w:highlight w:val="none"/>
              </w:rPr>
            </w:pPr>
            <w:r>
              <w:rPr>
                <w:rFonts w:hint="eastAsia"/>
                <w:kern w:val="0"/>
                <w:sz w:val="24"/>
                <w:highlight w:val="none"/>
              </w:rPr>
              <w:t>本项目</w:t>
            </w:r>
            <w:r>
              <w:rPr>
                <w:rFonts w:hint="eastAsia"/>
                <w:kern w:val="0"/>
                <w:sz w:val="24"/>
                <w:highlight w:val="none"/>
                <w:lang w:val="en-US" w:eastAsia="zh-CN"/>
              </w:rPr>
              <w:t>位于四川省达州市通川区东岳镇有力村九组</w:t>
            </w:r>
            <w:r>
              <w:rPr>
                <w:rFonts w:hint="eastAsia"/>
                <w:kern w:val="0"/>
                <w:sz w:val="24"/>
                <w:highlight w:val="none"/>
                <w:lang w:eastAsia="zh-CN"/>
              </w:rPr>
              <w:t>，</w:t>
            </w:r>
            <w:r>
              <w:rPr>
                <w:rFonts w:hint="eastAsia"/>
                <w:kern w:val="0"/>
                <w:sz w:val="24"/>
                <w:highlight w:val="none"/>
                <w:lang w:val="en-US" w:eastAsia="zh-CN"/>
              </w:rPr>
              <w:t>在原项目基础上进行改扩建，不新增占地</w:t>
            </w:r>
            <w:r>
              <w:rPr>
                <w:rFonts w:hint="eastAsia"/>
                <w:kern w:val="0"/>
                <w:sz w:val="24"/>
                <w:highlight w:val="none"/>
              </w:rPr>
              <w:t>，项目设置</w:t>
            </w:r>
            <w:r>
              <w:rPr>
                <w:rFonts w:hint="eastAsia"/>
                <w:kern w:val="0"/>
                <w:sz w:val="24"/>
                <w:highlight w:val="none"/>
                <w:lang w:val="en-US" w:eastAsia="zh-CN"/>
              </w:rPr>
              <w:t>三个生产车间（煤粉生产车间、再生料预处理车间及沥青混凝土搅拌楼）</w:t>
            </w:r>
            <w:r>
              <w:rPr>
                <w:rFonts w:hint="eastAsia"/>
                <w:kern w:val="0"/>
                <w:sz w:val="24"/>
                <w:highlight w:val="none"/>
              </w:rPr>
              <w:t>，</w:t>
            </w:r>
            <w:r>
              <w:rPr>
                <w:rFonts w:hint="eastAsia"/>
                <w:kern w:val="0"/>
                <w:sz w:val="24"/>
                <w:highlight w:val="none"/>
                <w:lang w:val="en-US" w:eastAsia="zh-CN"/>
              </w:rPr>
              <w:t>项目各生产工序使用的</w:t>
            </w:r>
            <w:r>
              <w:rPr>
                <w:rFonts w:hint="eastAsia"/>
                <w:kern w:val="0"/>
                <w:sz w:val="24"/>
                <w:highlight w:val="none"/>
              </w:rPr>
              <w:t>原材料</w:t>
            </w:r>
            <w:r>
              <w:rPr>
                <w:rFonts w:hint="eastAsia"/>
                <w:kern w:val="0"/>
                <w:sz w:val="24"/>
                <w:highlight w:val="none"/>
                <w:lang w:val="en-US" w:eastAsia="zh-CN"/>
              </w:rPr>
              <w:t>分别存放于生产车间旁的料仓内，便于取用，避免原材料的重复搬运，</w:t>
            </w:r>
            <w:r>
              <w:rPr>
                <w:rFonts w:hint="eastAsia"/>
                <w:kern w:val="0"/>
                <w:sz w:val="24"/>
                <w:highlight w:val="none"/>
              </w:rPr>
              <w:t>项目</w:t>
            </w:r>
            <w:r>
              <w:rPr>
                <w:rFonts w:hint="eastAsia"/>
                <w:kern w:val="0"/>
                <w:sz w:val="24"/>
                <w:highlight w:val="none"/>
                <w:lang w:val="en-US" w:eastAsia="zh-CN"/>
              </w:rPr>
              <w:t>各生产车间均</w:t>
            </w:r>
            <w:r>
              <w:rPr>
                <w:rFonts w:hint="eastAsia"/>
                <w:kern w:val="0"/>
                <w:sz w:val="24"/>
                <w:highlight w:val="none"/>
              </w:rPr>
              <w:t>设置进出口，</w:t>
            </w:r>
            <w:r>
              <w:rPr>
                <w:rFonts w:hint="eastAsia"/>
                <w:kern w:val="0"/>
                <w:sz w:val="24"/>
                <w:highlight w:val="none"/>
                <w:lang w:val="en-US" w:eastAsia="zh-CN"/>
              </w:rPr>
              <w:t>车间与车间之间设置物流通道，</w:t>
            </w:r>
            <w:r>
              <w:rPr>
                <w:rFonts w:hint="eastAsia"/>
                <w:kern w:val="0"/>
                <w:sz w:val="24"/>
                <w:highlight w:val="none"/>
              </w:rPr>
              <w:t>方便原材料以及产品的运输，项目废气治理装置及废气排气筒</w:t>
            </w:r>
            <w:r>
              <w:rPr>
                <w:rFonts w:hint="eastAsia"/>
                <w:kern w:val="0"/>
                <w:sz w:val="24"/>
                <w:highlight w:val="none"/>
                <w:lang w:val="en-US" w:eastAsia="zh-CN"/>
              </w:rPr>
              <w:t>靠近产污单元布置，避免厂区内废气收集管道的交叉</w:t>
            </w:r>
            <w:r>
              <w:rPr>
                <w:rFonts w:hint="eastAsia"/>
                <w:kern w:val="0"/>
                <w:sz w:val="24"/>
                <w:highlight w:val="none"/>
              </w:rPr>
              <w:t>。项目</w:t>
            </w:r>
            <w:r>
              <w:rPr>
                <w:rFonts w:hint="eastAsia"/>
                <w:kern w:val="0"/>
                <w:sz w:val="24"/>
                <w:highlight w:val="none"/>
                <w:lang w:val="en-US" w:eastAsia="zh-CN"/>
              </w:rPr>
              <w:t>生产车间</w:t>
            </w:r>
            <w:r>
              <w:rPr>
                <w:rFonts w:hint="eastAsia"/>
                <w:kern w:val="0"/>
                <w:sz w:val="24"/>
                <w:highlight w:val="none"/>
              </w:rPr>
              <w:t>及生活办公</w:t>
            </w:r>
            <w:r>
              <w:rPr>
                <w:rFonts w:hint="eastAsia"/>
                <w:kern w:val="0"/>
                <w:sz w:val="24"/>
                <w:highlight w:val="none"/>
                <w:lang w:val="en-US" w:eastAsia="zh-CN"/>
              </w:rPr>
              <w:t>生活</w:t>
            </w:r>
            <w:r>
              <w:rPr>
                <w:rFonts w:hint="eastAsia"/>
                <w:kern w:val="0"/>
                <w:sz w:val="24"/>
                <w:highlight w:val="none"/>
              </w:rPr>
              <w:t>区分开布置，生产车间</w:t>
            </w:r>
            <w:r>
              <w:rPr>
                <w:rFonts w:hint="eastAsia"/>
                <w:kern w:val="0"/>
                <w:sz w:val="24"/>
                <w:highlight w:val="none"/>
                <w:lang w:val="en-US" w:eastAsia="zh-CN"/>
              </w:rPr>
              <w:t>内生产设备集中布置，主要位于车间中部</w:t>
            </w:r>
            <w:r>
              <w:rPr>
                <w:rFonts w:hint="eastAsia"/>
                <w:kern w:val="0"/>
                <w:sz w:val="24"/>
                <w:highlight w:val="none"/>
              </w:rPr>
              <w:t>，最大限度</w:t>
            </w:r>
            <w:r>
              <w:rPr>
                <w:rFonts w:hint="eastAsia"/>
                <w:kern w:val="0"/>
                <w:sz w:val="24"/>
                <w:highlight w:val="none"/>
                <w:lang w:val="en-US" w:eastAsia="zh-CN"/>
              </w:rPr>
              <w:t>降低运营过程产生的</w:t>
            </w:r>
            <w:r>
              <w:rPr>
                <w:rFonts w:hint="eastAsia"/>
                <w:kern w:val="0"/>
                <w:sz w:val="24"/>
                <w:highlight w:val="none"/>
              </w:rPr>
              <w:t>废气、噪声对</w:t>
            </w:r>
            <w:r>
              <w:rPr>
                <w:rFonts w:hint="eastAsia"/>
                <w:kern w:val="0"/>
                <w:sz w:val="24"/>
                <w:highlight w:val="none"/>
                <w:lang w:val="en-US" w:eastAsia="zh-CN"/>
              </w:rPr>
              <w:t>厂界四周外</w:t>
            </w:r>
            <w:r>
              <w:rPr>
                <w:rFonts w:hint="eastAsia"/>
                <w:kern w:val="0"/>
                <w:sz w:val="24"/>
                <w:highlight w:val="none"/>
              </w:rPr>
              <w:t>环境的影响，分区合理。</w:t>
            </w:r>
          </w:p>
          <w:p w14:paraId="5B272E6C">
            <w:pPr>
              <w:wordWrap w:val="0"/>
              <w:spacing w:line="360" w:lineRule="auto"/>
              <w:ind w:left="42" w:leftChars="20" w:right="42" w:rightChars="20" w:firstLine="480" w:firstLineChars="200"/>
              <w:rPr>
                <w:rFonts w:hint="eastAsia"/>
                <w:kern w:val="0"/>
                <w:sz w:val="24"/>
                <w:highlight w:val="none"/>
              </w:rPr>
            </w:pPr>
            <w:r>
              <w:rPr>
                <w:rFonts w:hint="eastAsia"/>
                <w:kern w:val="0"/>
                <w:sz w:val="24"/>
                <w:highlight w:val="none"/>
              </w:rPr>
              <w:t>本项目将主要噪声源放置在生产厂房内部，厂房采用封闭结构，减小对周边环境的噪声影响。项目主要污染源以及排气筒设置</w:t>
            </w:r>
            <w:r>
              <w:rPr>
                <w:rFonts w:hint="eastAsia"/>
                <w:kern w:val="0"/>
                <w:sz w:val="24"/>
                <w:highlight w:val="none"/>
                <w:lang w:val="en-US" w:eastAsia="zh-CN"/>
              </w:rPr>
              <w:t>于厂区中部</w:t>
            </w:r>
            <w:r>
              <w:rPr>
                <w:rFonts w:hint="eastAsia"/>
                <w:kern w:val="0"/>
                <w:sz w:val="24"/>
                <w:highlight w:val="none"/>
              </w:rPr>
              <w:t>，对周边环境影响较小。</w:t>
            </w:r>
          </w:p>
          <w:p w14:paraId="7E15BE6D">
            <w:pPr>
              <w:wordWrap w:val="0"/>
              <w:spacing w:line="360" w:lineRule="auto"/>
              <w:ind w:left="42" w:leftChars="20" w:right="42" w:rightChars="20" w:firstLine="480" w:firstLineChars="200"/>
              <w:rPr>
                <w:rFonts w:hint="eastAsia"/>
                <w:kern w:val="0"/>
                <w:sz w:val="24"/>
              </w:rPr>
            </w:pPr>
            <w:r>
              <w:rPr>
                <w:rFonts w:hint="eastAsia"/>
                <w:kern w:val="0"/>
                <w:sz w:val="24"/>
                <w:highlight w:val="none"/>
              </w:rPr>
              <w:t>综上分析，项目各功能分区明确、间距合理，避免了相互干扰，也满足功能分区要求及办公要求，利用和布局合理，功能分区明确，组织协作良好，评价认为，本项目总图布置基本合理。</w:t>
            </w:r>
          </w:p>
        </w:tc>
      </w:tr>
      <w:tr w14:paraId="119414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 w:type="dxa"/>
            <w:bottom w:w="0" w:type="dxa"/>
            <w:right w:w="1" w:type="dxa"/>
          </w:tblCellMar>
        </w:tblPrEx>
        <w:trPr>
          <w:trHeight w:val="166" w:hRule="atLeast"/>
          <w:jc w:val="center"/>
        </w:trPr>
        <w:tc>
          <w:tcPr>
            <w:tcW w:w="764" w:type="dxa"/>
            <w:noWrap w:val="0"/>
            <w:vAlign w:val="center"/>
          </w:tcPr>
          <w:p w14:paraId="4CEAB5EF">
            <w:pPr>
              <w:wordWrap w:val="0"/>
              <w:adjustRightInd w:val="0"/>
              <w:jc w:val="center"/>
              <w:rPr>
                <w:b/>
                <w:sz w:val="24"/>
              </w:rPr>
            </w:pPr>
            <w:r>
              <w:rPr>
                <w:b/>
                <w:sz w:val="24"/>
              </w:rPr>
              <w:t>工艺流程和产排污环节</w:t>
            </w:r>
          </w:p>
        </w:tc>
        <w:tc>
          <w:tcPr>
            <w:tcW w:w="8141" w:type="dxa"/>
            <w:noWrap w:val="0"/>
            <w:vAlign w:val="top"/>
          </w:tcPr>
          <w:p w14:paraId="16FC4E79">
            <w:pPr>
              <w:spacing w:line="360" w:lineRule="auto"/>
              <w:rPr>
                <w:b/>
                <w:sz w:val="24"/>
              </w:rPr>
            </w:pPr>
            <w:r>
              <w:rPr>
                <w:b/>
                <w:sz w:val="24"/>
              </w:rPr>
              <w:t>一、工艺流程简述（图示）</w:t>
            </w:r>
          </w:p>
          <w:p w14:paraId="26E7ABA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1、施工期的工艺流程</w:t>
            </w:r>
          </w:p>
          <w:p w14:paraId="04BCDE8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1.1施工期工艺流程</w:t>
            </w:r>
          </w:p>
          <w:p w14:paraId="22BE0E46">
            <w:pPr>
              <w:spacing w:line="360" w:lineRule="auto"/>
              <w:ind w:firstLine="482"/>
              <w:rPr>
                <w:rFonts w:hint="eastAsia"/>
                <w:sz w:val="24"/>
              </w:rPr>
            </w:pPr>
            <w:r>
              <w:rPr>
                <w:rFonts w:hint="eastAsia" w:ascii="Times New Roman" w:hAnsi="Times New Roman" w:eastAsia="宋体" w:cs="Times New Roman"/>
                <w:b w:val="0"/>
                <w:bCs w:val="0"/>
                <w:sz w:val="24"/>
                <w:szCs w:val="24"/>
                <w:lang w:val="en-US" w:eastAsia="zh-CN"/>
              </w:rPr>
              <w:t>本次工程在原项目基础上进行改扩建</w:t>
            </w:r>
            <w:r>
              <w:rPr>
                <w:rFonts w:hint="default" w:ascii="Times New Roman" w:hAnsi="Times New Roman" w:eastAsia="宋体" w:cs="Times New Roman"/>
                <w:b w:val="0"/>
                <w:bCs w:val="0"/>
                <w:sz w:val="24"/>
                <w:szCs w:val="24"/>
              </w:rPr>
              <w:t>，</w:t>
            </w:r>
            <w:r>
              <w:rPr>
                <w:rFonts w:hint="eastAsia" w:ascii="Times New Roman" w:hAnsi="Times New Roman" w:eastAsia="宋体" w:cs="Times New Roman"/>
                <w:b w:val="0"/>
                <w:bCs w:val="0"/>
                <w:sz w:val="24"/>
                <w:szCs w:val="24"/>
                <w:lang w:val="en-US" w:eastAsia="zh-CN"/>
              </w:rPr>
              <w:t>不新增占地，</w:t>
            </w:r>
            <w:r>
              <w:rPr>
                <w:rFonts w:hint="default" w:ascii="Times New Roman" w:hAnsi="Times New Roman" w:eastAsia="宋体" w:cs="Times New Roman"/>
                <w:sz w:val="24"/>
                <w:szCs w:val="24"/>
              </w:rPr>
              <w:t>项目施工期</w:t>
            </w:r>
            <w:r>
              <w:rPr>
                <w:rFonts w:hint="eastAsia" w:cs="Times New Roman"/>
                <w:sz w:val="24"/>
                <w:szCs w:val="24"/>
                <w:lang w:val="en-US" w:eastAsia="zh-CN"/>
              </w:rPr>
              <w:t>主要</w:t>
            </w:r>
            <w:r>
              <w:rPr>
                <w:rFonts w:hint="default" w:ascii="Times New Roman" w:hAnsi="Times New Roman" w:eastAsia="宋体" w:cs="Times New Roman"/>
                <w:sz w:val="24"/>
                <w:szCs w:val="24"/>
              </w:rPr>
              <w:t>对</w:t>
            </w:r>
            <w:r>
              <w:rPr>
                <w:rFonts w:hint="eastAsia" w:ascii="Times New Roman" w:hAnsi="Times New Roman" w:eastAsia="宋体" w:cs="Times New Roman"/>
                <w:sz w:val="24"/>
                <w:szCs w:val="24"/>
                <w:lang w:val="en-US" w:eastAsia="zh-CN"/>
              </w:rPr>
              <w:t>现有</w:t>
            </w:r>
            <w:r>
              <w:rPr>
                <w:rFonts w:hint="eastAsia" w:cs="Times New Roman"/>
                <w:sz w:val="24"/>
                <w:szCs w:val="24"/>
                <w:lang w:val="en-US" w:eastAsia="zh-CN"/>
              </w:rPr>
              <w:t>沥青混凝土搅拌楼</w:t>
            </w:r>
            <w:r>
              <w:rPr>
                <w:rFonts w:hint="default" w:ascii="Times New Roman" w:hAnsi="Times New Roman" w:eastAsia="宋体" w:cs="Times New Roman"/>
                <w:sz w:val="24"/>
                <w:szCs w:val="24"/>
              </w:rPr>
              <w:t>进行改造和设备安装</w:t>
            </w:r>
            <w:r>
              <w:rPr>
                <w:rFonts w:hint="eastAsia" w:cs="Times New Roman"/>
                <w:sz w:val="24"/>
                <w:szCs w:val="24"/>
                <w:lang w:eastAsia="zh-CN"/>
              </w:rPr>
              <w:t>、</w:t>
            </w:r>
            <w:r>
              <w:rPr>
                <w:rFonts w:hint="eastAsia" w:cs="Times New Roman"/>
                <w:sz w:val="24"/>
                <w:szCs w:val="24"/>
                <w:lang w:val="en-US" w:eastAsia="zh-CN"/>
              </w:rPr>
              <w:t>新建煤粉生产车间</w:t>
            </w:r>
            <w:r>
              <w:rPr>
                <w:rFonts w:hint="default" w:ascii="Times New Roman" w:hAnsi="Times New Roman" w:eastAsia="宋体" w:cs="Times New Roman"/>
                <w:sz w:val="24"/>
                <w:szCs w:val="24"/>
              </w:rPr>
              <w:t>。</w:t>
            </w:r>
            <w:r>
              <w:rPr>
                <w:rFonts w:hint="eastAsia"/>
                <w:sz w:val="24"/>
              </w:rPr>
              <w:t>本项目施工期间的基础工程、主体工程、装饰工程、设备安装、工程验收等工序将产生噪声、扬尘、固体废弃物、少量污水和废气污染物，其排放量随工期和施工强度不同而有所变化。施工期的工艺流程及产污情况图示见框图2-2：</w:t>
            </w:r>
          </w:p>
          <w:p w14:paraId="043A9CA9">
            <w:pPr>
              <w:jc w:val="center"/>
              <w:rPr>
                <w:rFonts w:hint="eastAsia"/>
                <w:b/>
                <w:bCs/>
              </w:rPr>
            </w:pPr>
            <w:r>
              <w:rPr>
                <w:rFonts w:hint="eastAsia"/>
                <w:b/>
                <w:bCs/>
              </w:rPr>
              <w:drawing>
                <wp:inline distT="0" distB="0" distL="114300" distR="114300">
                  <wp:extent cx="4860925" cy="1482725"/>
                  <wp:effectExtent l="0" t="0" r="15875" b="3175"/>
                  <wp:docPr id="36" name="图片 1" descr="QQ截图2022100814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QQ截图20221008145329"/>
                          <pic:cNvPicPr>
                            <a:picLocks noChangeAspect="1"/>
                          </pic:cNvPicPr>
                        </pic:nvPicPr>
                        <pic:blipFill>
                          <a:blip r:embed="rId10"/>
                          <a:stretch>
                            <a:fillRect/>
                          </a:stretch>
                        </pic:blipFill>
                        <pic:spPr>
                          <a:xfrm>
                            <a:off x="0" y="0"/>
                            <a:ext cx="4860925" cy="1482725"/>
                          </a:xfrm>
                          <a:prstGeom prst="rect">
                            <a:avLst/>
                          </a:prstGeom>
                          <a:noFill/>
                          <a:ln>
                            <a:noFill/>
                          </a:ln>
                        </pic:spPr>
                      </pic:pic>
                    </a:graphicData>
                  </a:graphic>
                </wp:inline>
              </w:drawing>
            </w:r>
          </w:p>
          <w:p w14:paraId="5116B894">
            <w:pPr>
              <w:jc w:val="center"/>
            </w:pPr>
            <w:r>
              <w:rPr>
                <w:b/>
                <w:bCs/>
              </w:rPr>
              <w:t>图</w:t>
            </w:r>
            <w:r>
              <w:rPr>
                <w:rFonts w:hint="eastAsia"/>
                <w:b/>
                <w:bCs/>
              </w:rPr>
              <w:t>2-2</w:t>
            </w:r>
            <w:r>
              <w:rPr>
                <w:b/>
                <w:bCs/>
              </w:rPr>
              <w:t xml:space="preserve">  </w:t>
            </w:r>
            <w:r>
              <w:rPr>
                <w:rFonts w:hint="eastAsia"/>
                <w:b/>
                <w:bCs/>
              </w:rPr>
              <w:t xml:space="preserve"> </w:t>
            </w:r>
            <w:r>
              <w:rPr>
                <w:b/>
                <w:bCs/>
              </w:rPr>
              <w:t>施工期工艺流程及产污位置示意图</w:t>
            </w:r>
          </w:p>
          <w:p w14:paraId="1D1FC662">
            <w:pPr>
              <w:spacing w:line="360" w:lineRule="auto"/>
              <w:ind w:firstLine="472" w:firstLineChars="196"/>
              <w:outlineLvl w:val="1"/>
              <w:rPr>
                <w:rFonts w:hint="eastAsia" w:eastAsia="宋体"/>
                <w:b/>
                <w:bCs/>
                <w:sz w:val="24"/>
                <w:lang w:eastAsia="zh-CN"/>
              </w:rPr>
            </w:pPr>
            <w:r>
              <w:rPr>
                <w:rFonts w:hint="eastAsia"/>
                <w:b/>
                <w:bCs/>
                <w:sz w:val="24"/>
                <w:lang w:val="en-US" w:eastAsia="zh-CN"/>
              </w:rPr>
              <w:t>1.2</w:t>
            </w:r>
            <w:r>
              <w:rPr>
                <w:rFonts w:hint="eastAsia"/>
                <w:b/>
                <w:bCs/>
                <w:sz w:val="24"/>
              </w:rPr>
              <w:t>施工期</w:t>
            </w:r>
            <w:r>
              <w:rPr>
                <w:rFonts w:hint="eastAsia"/>
                <w:b/>
                <w:bCs/>
                <w:sz w:val="24"/>
                <w:lang w:val="en-US" w:eastAsia="zh-CN"/>
              </w:rPr>
              <w:t>产污环节</w:t>
            </w:r>
          </w:p>
          <w:p w14:paraId="61928A3D">
            <w:pPr>
              <w:spacing w:line="360" w:lineRule="auto"/>
              <w:ind w:firstLine="470" w:firstLineChars="196"/>
              <w:outlineLvl w:val="1"/>
              <w:rPr>
                <w:rFonts w:hint="eastAsia"/>
                <w:b w:val="0"/>
                <w:bCs w:val="0"/>
                <w:sz w:val="24"/>
              </w:rPr>
            </w:pPr>
            <w:r>
              <w:rPr>
                <w:rFonts w:hint="eastAsia"/>
                <w:b w:val="0"/>
                <w:bCs w:val="0"/>
                <w:sz w:val="24"/>
              </w:rPr>
              <w:t>废气：主要为施工扬尘、施工机械尾气；</w:t>
            </w:r>
          </w:p>
          <w:p w14:paraId="28EF5DBB">
            <w:pPr>
              <w:spacing w:line="360" w:lineRule="auto"/>
              <w:ind w:firstLine="470" w:firstLineChars="196"/>
              <w:outlineLvl w:val="1"/>
              <w:rPr>
                <w:rFonts w:hint="eastAsia"/>
                <w:b w:val="0"/>
                <w:bCs w:val="0"/>
                <w:sz w:val="24"/>
              </w:rPr>
            </w:pPr>
            <w:r>
              <w:rPr>
                <w:rFonts w:hint="eastAsia"/>
                <w:b w:val="0"/>
                <w:bCs w:val="0"/>
                <w:sz w:val="24"/>
              </w:rPr>
              <w:t>废水：主要为施工人员生活污水和施工废水；</w:t>
            </w:r>
          </w:p>
          <w:p w14:paraId="01DA0A44">
            <w:pPr>
              <w:spacing w:line="360" w:lineRule="auto"/>
              <w:ind w:firstLine="470" w:firstLineChars="196"/>
              <w:outlineLvl w:val="1"/>
              <w:rPr>
                <w:rFonts w:hint="eastAsia"/>
                <w:b w:val="0"/>
                <w:bCs w:val="0"/>
                <w:sz w:val="24"/>
              </w:rPr>
            </w:pPr>
            <w:r>
              <w:rPr>
                <w:rFonts w:hint="eastAsia"/>
                <w:b w:val="0"/>
                <w:bCs w:val="0"/>
                <w:sz w:val="24"/>
              </w:rPr>
              <w:t>噪声：主要为施工机械噪声、运输车辆噪声；</w:t>
            </w:r>
          </w:p>
          <w:p w14:paraId="31BAB130">
            <w:pPr>
              <w:spacing w:line="360" w:lineRule="auto"/>
              <w:ind w:firstLine="470" w:firstLineChars="196"/>
              <w:outlineLvl w:val="1"/>
              <w:rPr>
                <w:b w:val="0"/>
                <w:bCs w:val="0"/>
                <w:sz w:val="24"/>
              </w:rPr>
            </w:pPr>
            <w:r>
              <w:rPr>
                <w:rFonts w:hint="eastAsia"/>
                <w:b w:val="0"/>
                <w:bCs w:val="0"/>
                <w:sz w:val="24"/>
              </w:rPr>
              <w:t>固废：主要为</w:t>
            </w:r>
            <w:r>
              <w:rPr>
                <w:rFonts w:hint="eastAsia"/>
                <w:b w:val="0"/>
                <w:bCs w:val="0"/>
                <w:sz w:val="24"/>
                <w:lang w:val="en-US" w:eastAsia="zh-CN"/>
              </w:rPr>
              <w:t>拆除老旧设备、</w:t>
            </w:r>
            <w:r>
              <w:rPr>
                <w:rFonts w:hint="eastAsia"/>
                <w:b w:val="0"/>
                <w:bCs w:val="0"/>
                <w:sz w:val="24"/>
              </w:rPr>
              <w:t>施工过程产生的土石方、建筑垃圾及施工人员产生的生活垃圾。</w:t>
            </w:r>
          </w:p>
          <w:p w14:paraId="0DC76CA5">
            <w:pPr>
              <w:spacing w:line="360" w:lineRule="auto"/>
              <w:ind w:firstLine="472" w:firstLineChars="196"/>
              <w:outlineLvl w:val="1"/>
              <w:rPr>
                <w:b/>
                <w:bCs/>
                <w:sz w:val="24"/>
              </w:rPr>
            </w:pPr>
            <w:r>
              <w:rPr>
                <w:b/>
                <w:bCs/>
                <w:sz w:val="24"/>
              </w:rPr>
              <w:t>2、营运期的工艺流程</w:t>
            </w:r>
          </w:p>
          <w:p w14:paraId="0B8CA73C">
            <w:pPr>
              <w:keepNext w:val="0"/>
              <w:keepLines w:val="0"/>
              <w:pageBreakBefore w:val="0"/>
              <w:widowControl w:val="0"/>
              <w:kinsoku/>
              <w:wordWrap w:val="0"/>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eastAsia" w:cs="Times New Roman"/>
                <w:sz w:val="24"/>
                <w:szCs w:val="24"/>
                <w:lang w:val="en-US" w:eastAsia="zh-CN"/>
              </w:rPr>
              <w:t>由于原项目已安装的日工4000型全自动间歇式环保型沥青混凝土搅拌设备生产效率不能满足年产普通沥青混凝土30万吨/年的生产能力，生产设备在用电、天然气等方面的消耗过高，是的单位产品成本过高，且原项目安装设备未配备再生烘干系统，无法进行热再生沥青混凝土生产，</w:t>
            </w:r>
            <w:r>
              <w:rPr>
                <w:rFonts w:hint="default" w:ascii="Times New Roman" w:hAnsi="Times New Roman" w:eastAsia="宋体" w:cs="Times New Roman"/>
                <w:sz w:val="24"/>
                <w:szCs w:val="24"/>
              </w:rPr>
              <w:t>本次</w:t>
            </w:r>
            <w:r>
              <w:rPr>
                <w:rFonts w:hint="eastAsia" w:cs="Times New Roman"/>
                <w:sz w:val="24"/>
                <w:szCs w:val="24"/>
                <w:lang w:val="en-US" w:eastAsia="zh-CN"/>
              </w:rPr>
              <w:t>改扩建</w:t>
            </w:r>
            <w:r>
              <w:rPr>
                <w:rFonts w:hint="default" w:ascii="Times New Roman" w:hAnsi="Times New Roman" w:eastAsia="宋体" w:cs="Times New Roman"/>
                <w:sz w:val="24"/>
                <w:szCs w:val="24"/>
              </w:rPr>
              <w:t>通过淘汰</w:t>
            </w:r>
            <w:r>
              <w:rPr>
                <w:rFonts w:hint="eastAsia" w:cs="Times New Roman"/>
                <w:sz w:val="24"/>
                <w:szCs w:val="24"/>
                <w:lang w:val="en-US" w:eastAsia="zh-CN"/>
              </w:rPr>
              <w:t>原有日工4000型全自动间歇式环保型沥青混凝土搅拌设备</w:t>
            </w:r>
            <w:r>
              <w:rPr>
                <w:rFonts w:hint="eastAsia" w:cs="Times New Roman"/>
                <w:sz w:val="24"/>
                <w:szCs w:val="24"/>
                <w:lang w:eastAsia="zh-CN"/>
              </w:rPr>
              <w:t>，</w:t>
            </w:r>
            <w:r>
              <w:rPr>
                <w:rFonts w:hint="default" w:ascii="Times New Roman" w:hAnsi="Times New Roman" w:eastAsia="宋体" w:cs="Times New Roman"/>
                <w:sz w:val="24"/>
                <w:szCs w:val="24"/>
              </w:rPr>
              <w:t>新增</w:t>
            </w:r>
            <w:r>
              <w:rPr>
                <w:rFonts w:hint="eastAsia" w:cs="Times New Roman"/>
                <w:sz w:val="24"/>
                <w:szCs w:val="24"/>
                <w:lang w:val="en-US" w:eastAsia="zh-CN"/>
              </w:rPr>
              <w:t>1套DGR4000环保型整体式沥青搅拌设备</w:t>
            </w:r>
            <w:r>
              <w:rPr>
                <w:rFonts w:hint="default" w:ascii="Times New Roman" w:hAnsi="Times New Roman" w:eastAsia="宋体" w:cs="Times New Roman"/>
                <w:sz w:val="24"/>
                <w:szCs w:val="24"/>
              </w:rPr>
              <w:t>对现有</w:t>
            </w:r>
            <w:r>
              <w:rPr>
                <w:rFonts w:hint="eastAsia" w:cs="Times New Roman"/>
                <w:sz w:val="24"/>
                <w:szCs w:val="24"/>
                <w:lang w:val="en-US" w:eastAsia="zh-CN"/>
              </w:rPr>
              <w:t>沥青混凝土</w:t>
            </w:r>
            <w:r>
              <w:rPr>
                <w:rFonts w:hint="default" w:ascii="Times New Roman" w:hAnsi="Times New Roman" w:eastAsia="宋体" w:cs="Times New Roman"/>
                <w:sz w:val="24"/>
                <w:szCs w:val="24"/>
              </w:rPr>
              <w:t>生产线进行改造，</w:t>
            </w:r>
            <w:r>
              <w:rPr>
                <w:rFonts w:hint="eastAsia" w:cs="Times New Roman"/>
                <w:sz w:val="24"/>
                <w:szCs w:val="24"/>
                <w:lang w:val="en-US" w:eastAsia="zh-CN"/>
              </w:rPr>
              <w:t>满足普通沥青混凝土和热再生沥青混凝土生产，同时</w:t>
            </w:r>
            <w:r>
              <w:rPr>
                <w:rFonts w:hint="eastAsia" w:ascii="Times New Roman" w:hAnsi="Times New Roman" w:eastAsia="宋体" w:cs="Times New Roman"/>
                <w:sz w:val="24"/>
                <w:szCs w:val="24"/>
                <w:lang w:val="en-US" w:eastAsia="zh-CN"/>
              </w:rPr>
              <w:t>新增</w:t>
            </w:r>
            <w:r>
              <w:rPr>
                <w:rFonts w:hint="eastAsia" w:cs="Times New Roman"/>
                <w:sz w:val="24"/>
                <w:szCs w:val="24"/>
                <w:lang w:val="en-US" w:eastAsia="zh-CN"/>
              </w:rPr>
              <w:t>1条煤粉</w:t>
            </w:r>
            <w:r>
              <w:rPr>
                <w:rFonts w:hint="eastAsia" w:ascii="Times New Roman" w:hAnsi="Times New Roman" w:eastAsia="宋体" w:cs="Times New Roman"/>
                <w:sz w:val="24"/>
                <w:szCs w:val="24"/>
                <w:lang w:val="en-US" w:eastAsia="zh-CN"/>
              </w:rPr>
              <w:t>生产线</w:t>
            </w:r>
            <w:r>
              <w:rPr>
                <w:rFonts w:hint="eastAsia" w:cs="Times New Roman"/>
                <w:sz w:val="24"/>
                <w:szCs w:val="24"/>
                <w:lang w:val="en-US" w:eastAsia="zh-CN"/>
              </w:rPr>
              <w:t>和1条乳化沥青生产线</w:t>
            </w:r>
            <w:r>
              <w:rPr>
                <w:rFonts w:hint="eastAsia" w:ascii="Times New Roman" w:hAnsi="Times New Roman" w:eastAsia="宋体" w:cs="Times New Roman"/>
                <w:sz w:val="24"/>
                <w:szCs w:val="24"/>
                <w:lang w:val="en-US" w:eastAsia="zh-CN"/>
              </w:rPr>
              <w:t>，本次</w:t>
            </w:r>
            <w:r>
              <w:rPr>
                <w:rFonts w:hint="eastAsia" w:cs="Times New Roman"/>
                <w:sz w:val="24"/>
                <w:szCs w:val="24"/>
                <w:lang w:val="en-US" w:eastAsia="zh-CN"/>
              </w:rPr>
              <w:t>改扩建</w:t>
            </w:r>
            <w:r>
              <w:rPr>
                <w:rFonts w:hint="eastAsia" w:ascii="Times New Roman" w:hAnsi="Times New Roman" w:eastAsia="宋体" w:cs="Times New Roman"/>
                <w:sz w:val="24"/>
                <w:szCs w:val="24"/>
                <w:lang w:val="en-US" w:eastAsia="zh-CN"/>
              </w:rPr>
              <w:t>完成后全厂产品方案为</w:t>
            </w:r>
            <w:r>
              <w:rPr>
                <w:rFonts w:hint="eastAsia" w:cs="Times New Roman"/>
                <w:sz w:val="24"/>
                <w:szCs w:val="24"/>
                <w:lang w:val="en-US" w:eastAsia="zh-CN"/>
              </w:rPr>
              <w:t>普通沥青混凝土、热再生沥青混凝土、乳化沥青</w:t>
            </w:r>
            <w:r>
              <w:rPr>
                <w:rFonts w:hint="eastAsia" w:ascii="Times New Roman" w:hAnsi="Times New Roman" w:eastAsia="宋体" w:cs="Times New Roman"/>
                <w:sz w:val="24"/>
                <w:szCs w:val="24"/>
                <w:lang w:val="en-US" w:eastAsia="zh-CN"/>
              </w:rPr>
              <w:t>和</w:t>
            </w:r>
            <w:r>
              <w:rPr>
                <w:rFonts w:hint="eastAsia" w:cs="Times New Roman"/>
                <w:sz w:val="24"/>
                <w:szCs w:val="24"/>
                <w:lang w:val="en-US" w:eastAsia="zh-CN"/>
              </w:rPr>
              <w:t>煤粉</w:t>
            </w:r>
            <w:r>
              <w:rPr>
                <w:rFonts w:hint="default" w:ascii="Times New Roman" w:hAnsi="Times New Roman" w:eastAsia="宋体" w:cs="Times New Roman"/>
                <w:sz w:val="24"/>
                <w:szCs w:val="24"/>
              </w:rPr>
              <w:t>，其中</w:t>
            </w:r>
            <w:r>
              <w:rPr>
                <w:rFonts w:hint="eastAsia" w:cs="Times New Roman"/>
                <w:sz w:val="24"/>
                <w:szCs w:val="24"/>
                <w:lang w:val="en-US" w:eastAsia="zh-CN"/>
              </w:rPr>
              <w:t>普通</w:t>
            </w:r>
            <w:r>
              <w:rPr>
                <w:rFonts w:hint="default" w:ascii="Times New Roman" w:hAnsi="Times New Roman" w:eastAsia="宋体" w:cs="Times New Roman"/>
                <w:sz w:val="24"/>
                <w:szCs w:val="24"/>
              </w:rPr>
              <w:t>沥青混凝土、</w:t>
            </w:r>
            <w:r>
              <w:rPr>
                <w:rFonts w:hint="eastAsia" w:cs="Times New Roman"/>
                <w:sz w:val="24"/>
                <w:szCs w:val="24"/>
                <w:lang w:val="en-US" w:eastAsia="zh-CN"/>
              </w:rPr>
              <w:t>热</w:t>
            </w:r>
            <w:r>
              <w:rPr>
                <w:rFonts w:hint="default" w:ascii="Times New Roman" w:hAnsi="Times New Roman" w:eastAsia="宋体" w:cs="Times New Roman"/>
                <w:sz w:val="24"/>
                <w:szCs w:val="24"/>
              </w:rPr>
              <w:t>再生沥青混凝土均使用DGR4000环保型整体式沥青搅拌设备进行生产。项目回收的再生料（公路施工废弃道路沥青混凝土表层）首先经破碎、筛分等工序后，再进入</w:t>
            </w:r>
            <w:r>
              <w:rPr>
                <w:rFonts w:hint="eastAsia" w:cs="Times New Roman"/>
                <w:sz w:val="24"/>
                <w:szCs w:val="24"/>
                <w:lang w:val="en-US" w:eastAsia="zh-CN"/>
              </w:rPr>
              <w:t>热再生</w:t>
            </w:r>
            <w:r>
              <w:rPr>
                <w:rFonts w:hint="default" w:ascii="Times New Roman" w:hAnsi="Times New Roman" w:eastAsia="宋体" w:cs="Times New Roman"/>
                <w:sz w:val="24"/>
                <w:szCs w:val="24"/>
              </w:rPr>
              <w:t>沥青混凝土生产线</w:t>
            </w:r>
            <w:r>
              <w:rPr>
                <w:rFonts w:hint="eastAsia" w:cs="Times New Roman"/>
                <w:sz w:val="24"/>
                <w:szCs w:val="24"/>
                <w:lang w:val="en-US" w:eastAsia="zh-CN"/>
              </w:rPr>
              <w:t>，普通沥青混凝土生产线和热再生沥青混凝土生产线共用一套沥青储存、加热系统。具体工艺流程如下：</w:t>
            </w:r>
          </w:p>
          <w:p w14:paraId="3A06E67A">
            <w:pPr>
              <w:keepNext w:val="0"/>
              <w:keepLines w:val="0"/>
              <w:pageBreakBefore w:val="0"/>
              <w:widowControl w:val="0"/>
              <w:kinsoku/>
              <w:wordWrap w:val="0"/>
              <w:overflowPunct/>
              <w:topLinePunct w:val="0"/>
              <w:autoSpaceDE w:val="0"/>
              <w:autoSpaceDN w:val="0"/>
              <w:bidi w:val="0"/>
              <w:adjustRightInd/>
              <w:snapToGrid/>
              <w:spacing w:line="360" w:lineRule="auto"/>
              <w:ind w:firstLine="48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2.1</w:t>
            </w:r>
            <w:r>
              <w:rPr>
                <w:rFonts w:hint="eastAsia" w:cs="Times New Roman"/>
                <w:b/>
                <w:bCs/>
                <w:sz w:val="24"/>
                <w:szCs w:val="24"/>
                <w:lang w:val="en-US" w:eastAsia="zh-CN"/>
              </w:rPr>
              <w:t>普通</w:t>
            </w:r>
            <w:r>
              <w:rPr>
                <w:rFonts w:hint="default" w:ascii="Times New Roman" w:hAnsi="Times New Roman" w:eastAsia="宋体" w:cs="Times New Roman"/>
                <w:b/>
                <w:bCs/>
                <w:sz w:val="24"/>
                <w:szCs w:val="24"/>
              </w:rPr>
              <w:t>沥青混凝土工艺流程及产污环节</w:t>
            </w:r>
          </w:p>
          <w:p w14:paraId="5D5F7F58">
            <w:pPr>
              <w:keepNext w:val="0"/>
              <w:keepLines w:val="0"/>
              <w:pageBreakBefore w:val="0"/>
              <w:widowControl w:val="0"/>
              <w:kinsoku/>
              <w:wordWrap w:val="0"/>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使用的沥青拌合站为DGR4000环保型整体式沥青搅拌设备，除冷料输送设备及出料口外，骨料烘干与提升设备、筛分系统、搅拌楼设备为全封闭设计，提升机、烘干滚筒、振动筛均设有集气管道进入除尘系统，沥青废气经过密闭管道输送，采用</w:t>
            </w:r>
            <w:r>
              <w:rPr>
                <w:rFonts w:hint="eastAsia" w:cs="Times New Roman"/>
                <w:sz w:val="24"/>
                <w:szCs w:val="24"/>
                <w:lang w:eastAsia="zh-CN"/>
              </w:rPr>
              <w:t>“喷淋+干式过滤+活性炭吸附脱附+催化燃烧装置”</w:t>
            </w:r>
            <w:r>
              <w:rPr>
                <w:rFonts w:hint="default" w:ascii="Times New Roman" w:hAnsi="Times New Roman" w:eastAsia="宋体" w:cs="Times New Roman"/>
                <w:sz w:val="24"/>
                <w:szCs w:val="24"/>
              </w:rPr>
              <w:t>处理后通过排气筒达标排放。</w:t>
            </w:r>
          </w:p>
          <w:p w14:paraId="75E26288">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drawing>
                <wp:inline distT="0" distB="0" distL="114300" distR="114300">
                  <wp:extent cx="5158105" cy="4650740"/>
                  <wp:effectExtent l="0" t="0" r="4445" b="1651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11"/>
                          <a:stretch>
                            <a:fillRect/>
                          </a:stretch>
                        </pic:blipFill>
                        <pic:spPr>
                          <a:xfrm>
                            <a:off x="0" y="0"/>
                            <a:ext cx="5158105" cy="4650740"/>
                          </a:xfrm>
                          <a:prstGeom prst="rect">
                            <a:avLst/>
                          </a:prstGeom>
                          <a:noFill/>
                          <a:ln>
                            <a:noFill/>
                          </a:ln>
                        </pic:spPr>
                      </pic:pic>
                    </a:graphicData>
                  </a:graphic>
                </wp:inline>
              </w:drawing>
            </w:r>
          </w:p>
          <w:p w14:paraId="7962DC88">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图2-3   DGR4000环保型整体式沥青搅拌设备</w:t>
            </w:r>
          </w:p>
          <w:p w14:paraId="2028518E">
            <w:pPr>
              <w:keepNext w:val="0"/>
              <w:keepLines w:val="0"/>
              <w:pageBreakBefore w:val="0"/>
              <w:widowControl w:val="0"/>
              <w:kinsoku/>
              <w:wordWrap w:val="0"/>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普通</w:t>
            </w:r>
            <w:r>
              <w:rPr>
                <w:rFonts w:hint="eastAsia" w:ascii="Times New Roman" w:hAnsi="Times New Roman" w:eastAsia="宋体" w:cs="Times New Roman"/>
                <w:sz w:val="24"/>
                <w:szCs w:val="24"/>
                <w:lang w:val="en-US" w:eastAsia="zh-CN"/>
              </w:rPr>
              <w:t>沥青混凝土工艺流程及产污环节如下图所示：</w:t>
            </w:r>
          </w:p>
          <w:p w14:paraId="256744FF">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drawing>
                <wp:inline distT="0" distB="0" distL="114300" distR="114300">
                  <wp:extent cx="5150485" cy="5109845"/>
                  <wp:effectExtent l="0" t="0" r="12065" b="14605"/>
                  <wp:docPr id="38" name="图片 38" descr="普通沥青生产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普通沥青生产工艺"/>
                          <pic:cNvPicPr>
                            <a:picLocks noChangeAspect="1"/>
                          </pic:cNvPicPr>
                        </pic:nvPicPr>
                        <pic:blipFill>
                          <a:blip r:embed="rId12"/>
                          <a:stretch>
                            <a:fillRect/>
                          </a:stretch>
                        </pic:blipFill>
                        <pic:spPr>
                          <a:xfrm>
                            <a:off x="0" y="0"/>
                            <a:ext cx="5150485" cy="5109845"/>
                          </a:xfrm>
                          <a:prstGeom prst="rect">
                            <a:avLst/>
                          </a:prstGeom>
                        </pic:spPr>
                      </pic:pic>
                    </a:graphicData>
                  </a:graphic>
                </wp:inline>
              </w:drawing>
            </w:r>
          </w:p>
          <w:p w14:paraId="621CDBB9">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图2-4   普通沥青混凝土工艺流程及产污环节图</w:t>
            </w:r>
          </w:p>
          <w:p w14:paraId="3D74E15F">
            <w:pPr>
              <w:keepNext w:val="0"/>
              <w:keepLines w:val="0"/>
              <w:pageBreakBefore w:val="0"/>
              <w:widowControl w:val="0"/>
              <w:kinsoku/>
              <w:wordWrap w:val="0"/>
              <w:overflowPunct/>
              <w:topLinePunct w:val="0"/>
              <w:autoSpaceDE w:val="0"/>
              <w:autoSpaceDN w:val="0"/>
              <w:bidi w:val="0"/>
              <w:adjustRightInd/>
              <w:snapToGrid/>
              <w:spacing w:line="360" w:lineRule="auto"/>
              <w:ind w:firstLine="482"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（1）运输卸料：</w:t>
            </w:r>
            <w:r>
              <w:rPr>
                <w:rFonts w:hint="eastAsia" w:ascii="Times New Roman" w:hAnsi="Times New Roman" w:eastAsia="宋体" w:cs="Times New Roman"/>
                <w:sz w:val="24"/>
                <w:szCs w:val="24"/>
                <w:lang w:val="en-US" w:eastAsia="zh-CN"/>
              </w:rPr>
              <w:t>外购的成品碎石、机砂进厂后分类堆放在</w:t>
            </w:r>
            <w:r>
              <w:rPr>
                <w:rFonts w:hint="eastAsia" w:cs="Times New Roman"/>
                <w:sz w:val="24"/>
                <w:szCs w:val="24"/>
                <w:lang w:val="en-US" w:eastAsia="zh-CN"/>
              </w:rPr>
              <w:t>砂石骨料仓</w:t>
            </w:r>
            <w:r>
              <w:rPr>
                <w:rFonts w:hint="eastAsia" w:ascii="Times New Roman" w:hAnsi="Times New Roman" w:eastAsia="宋体" w:cs="Times New Roman"/>
                <w:sz w:val="24"/>
                <w:szCs w:val="24"/>
                <w:lang w:val="en-US" w:eastAsia="zh-CN"/>
              </w:rPr>
              <w:t>中。</w:t>
            </w:r>
            <w:r>
              <w:rPr>
                <w:rFonts w:hint="eastAsia" w:ascii="Times New Roman" w:hAnsi="Times New Roman" w:eastAsia="宋体" w:cs="Times New Roman"/>
                <w:sz w:val="24"/>
                <w:szCs w:val="24"/>
                <w:u w:val="single"/>
                <w:lang w:val="en-US" w:eastAsia="zh-CN"/>
              </w:rPr>
              <w:t>该工序产生装卸扬尘。</w:t>
            </w:r>
          </w:p>
          <w:p w14:paraId="2E0CB774">
            <w:pPr>
              <w:keepNext w:val="0"/>
              <w:keepLines w:val="0"/>
              <w:pageBreakBefore w:val="0"/>
              <w:widowControl w:val="0"/>
              <w:kinsoku/>
              <w:wordWrap w:val="0"/>
              <w:overflowPunct/>
              <w:topLinePunct w:val="0"/>
              <w:autoSpaceDE w:val="0"/>
              <w:autoSpaceDN w:val="0"/>
              <w:bidi w:val="0"/>
              <w:adjustRightInd/>
              <w:snapToGrid/>
              <w:spacing w:line="360" w:lineRule="auto"/>
              <w:ind w:firstLine="482"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（2）投料：</w:t>
            </w:r>
            <w:r>
              <w:rPr>
                <w:rFonts w:hint="eastAsia" w:ascii="Times New Roman" w:hAnsi="Times New Roman" w:eastAsia="宋体" w:cs="Times New Roman"/>
                <w:sz w:val="24"/>
                <w:szCs w:val="24"/>
                <w:lang w:val="en-US" w:eastAsia="zh-CN"/>
              </w:rPr>
              <w:t>使用厂内装载机将碎石、机砂投入DGR4000环保型整体式沥青搅拌设备的原生料冷料斗中。</w:t>
            </w:r>
            <w:r>
              <w:rPr>
                <w:rFonts w:hint="eastAsia" w:ascii="Times New Roman" w:hAnsi="Times New Roman" w:eastAsia="宋体" w:cs="Times New Roman"/>
                <w:sz w:val="24"/>
                <w:szCs w:val="24"/>
                <w:u w:val="single"/>
                <w:lang w:val="en-US" w:eastAsia="zh-CN"/>
              </w:rPr>
              <w:t>该工序产生投料粉尘、设备噪声。</w:t>
            </w:r>
          </w:p>
          <w:p w14:paraId="2BF3BBCB">
            <w:pPr>
              <w:keepNext w:val="0"/>
              <w:keepLines w:val="0"/>
              <w:pageBreakBefore w:val="0"/>
              <w:widowControl w:val="0"/>
              <w:kinsoku/>
              <w:wordWrap w:val="0"/>
              <w:overflowPunct/>
              <w:topLinePunct w:val="0"/>
              <w:autoSpaceDE w:val="0"/>
              <w:autoSpaceDN w:val="0"/>
              <w:bidi w:val="0"/>
              <w:adjustRightInd/>
              <w:snapToGrid/>
              <w:spacing w:line="360" w:lineRule="auto"/>
              <w:ind w:firstLine="482"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皮带运输、烘干、提升、筛分、热骨料暂存、计量、搅拌等工序均由DGR4000环保型整体式沥青搅拌设备各生产系统进行，具体流程如下：</w:t>
            </w:r>
          </w:p>
          <w:p w14:paraId="4F4430E4">
            <w:pPr>
              <w:keepNext w:val="0"/>
              <w:keepLines w:val="0"/>
              <w:pageBreakBefore w:val="0"/>
              <w:widowControl w:val="0"/>
              <w:kinsoku/>
              <w:wordWrap w:val="0"/>
              <w:overflowPunct/>
              <w:topLinePunct w:val="0"/>
              <w:autoSpaceDE w:val="0"/>
              <w:autoSpaceDN w:val="0"/>
              <w:bidi w:val="0"/>
              <w:adjustRightInd/>
              <w:snapToGrid/>
              <w:spacing w:line="360" w:lineRule="auto"/>
              <w:ind w:firstLine="482"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（3）皮带运输、烘干、提升</w:t>
            </w:r>
          </w:p>
          <w:p w14:paraId="7FB85743">
            <w:pPr>
              <w:keepNext w:val="0"/>
              <w:keepLines w:val="0"/>
              <w:pageBreakBefore w:val="0"/>
              <w:widowControl w:val="0"/>
              <w:kinsoku/>
              <w:wordWrap w:val="0"/>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为使沥青混合料产品不至于因过快冷却而带来运输上的不便，骨料（碎石、机砂）在上沥青前要经过热处理。直接外购的原生骨料无需进行破碎，可直接投入生产线。骨料（碎石、机砂）由密闭皮带机送入原生料烘干滚筒，通过燃烧器燃烧天然气产生热气对骨料（碎石、机砂）直接进行加热烘干，烘干滚筒不停转动，以使骨料（碎石、机砂）受热均匀。骨料（碎石、机砂）加热完成后，通过热骨料提升机进入筛分系统。</w:t>
            </w:r>
            <w:r>
              <w:rPr>
                <w:rFonts w:hint="eastAsia" w:ascii="Times New Roman" w:hAnsi="Times New Roman" w:eastAsia="宋体" w:cs="Times New Roman"/>
                <w:sz w:val="24"/>
                <w:szCs w:val="24"/>
                <w:u w:val="single"/>
                <w:lang w:val="en-US" w:eastAsia="zh-CN"/>
              </w:rPr>
              <w:t>该工序产生皮带</w:t>
            </w:r>
            <w:r>
              <w:rPr>
                <w:rFonts w:hint="eastAsia" w:cs="Times New Roman"/>
                <w:sz w:val="24"/>
                <w:szCs w:val="24"/>
                <w:u w:val="single"/>
                <w:lang w:val="en-US" w:eastAsia="zh-CN"/>
              </w:rPr>
              <w:t>输送粉尘</w:t>
            </w:r>
            <w:r>
              <w:rPr>
                <w:rFonts w:hint="eastAsia" w:ascii="Times New Roman" w:hAnsi="Times New Roman" w:eastAsia="宋体" w:cs="Times New Roman"/>
                <w:sz w:val="24"/>
                <w:szCs w:val="24"/>
                <w:u w:val="single"/>
                <w:lang w:val="en-US" w:eastAsia="zh-CN"/>
              </w:rPr>
              <w:t>、烘干粉尘、骨料烘干天然气燃烧废气、提升粉尘、设备噪声。</w:t>
            </w:r>
          </w:p>
          <w:p w14:paraId="12C9B4B6">
            <w:pPr>
              <w:keepNext w:val="0"/>
              <w:keepLines w:val="0"/>
              <w:pageBreakBefore w:val="0"/>
              <w:widowControl w:val="0"/>
              <w:kinsoku/>
              <w:wordWrap w:val="0"/>
              <w:overflowPunct/>
              <w:topLinePunct w:val="0"/>
              <w:autoSpaceDE w:val="0"/>
              <w:autoSpaceDN w:val="0"/>
              <w:bidi w:val="0"/>
              <w:adjustRightInd/>
              <w:snapToGrid/>
              <w:spacing w:line="360" w:lineRule="auto"/>
              <w:ind w:firstLine="482"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（4）筛分</w:t>
            </w:r>
          </w:p>
          <w:p w14:paraId="225E6BDD">
            <w:pPr>
              <w:keepNext w:val="0"/>
              <w:keepLines w:val="0"/>
              <w:pageBreakBefore w:val="0"/>
              <w:widowControl w:val="0"/>
              <w:kinsoku/>
              <w:wordWrap w:val="0"/>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骨料（碎石、机砂）加热完成后，通过热骨料提升机进入筛分系统。振动筛通过带孔的筛面按粒子的大小、比重把粒度大小不同筛分为4个不同规格的骨料（0-4.75mm、4.75-9.5mm、9.5-19mm、19-31.5mm），不合规格的骨料（&gt;31.5mm）被分离暂存后由专门出口排出，由骨料供应商回收。筛分完成的热骨料按照不同粒径分别储存在振动筛下方集料仓。</w:t>
            </w:r>
            <w:r>
              <w:rPr>
                <w:rFonts w:hint="eastAsia" w:ascii="Times New Roman" w:hAnsi="Times New Roman" w:eastAsia="宋体" w:cs="Times New Roman"/>
                <w:sz w:val="24"/>
                <w:szCs w:val="24"/>
                <w:u w:val="single"/>
                <w:lang w:val="en-US" w:eastAsia="zh-CN"/>
              </w:rPr>
              <w:t>该工序产生筛分粉尘、筛分废料、设备噪声。</w:t>
            </w:r>
          </w:p>
          <w:p w14:paraId="22881646">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drawing>
                <wp:inline distT="0" distB="0" distL="114300" distR="114300">
                  <wp:extent cx="3174365" cy="2422525"/>
                  <wp:effectExtent l="0" t="0" r="6985" b="1587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13"/>
                          <a:stretch>
                            <a:fillRect/>
                          </a:stretch>
                        </pic:blipFill>
                        <pic:spPr>
                          <a:xfrm>
                            <a:off x="0" y="0"/>
                            <a:ext cx="3174365" cy="2422525"/>
                          </a:xfrm>
                          <a:prstGeom prst="rect">
                            <a:avLst/>
                          </a:prstGeom>
                          <a:noFill/>
                          <a:ln>
                            <a:noFill/>
                          </a:ln>
                        </pic:spPr>
                      </pic:pic>
                    </a:graphicData>
                  </a:graphic>
                </wp:inline>
              </w:drawing>
            </w:r>
          </w:p>
          <w:p w14:paraId="64712587">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 xml:space="preserve">图2-5 </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筛分系统及热骨料仓示意图</w:t>
            </w:r>
          </w:p>
          <w:p w14:paraId="54792402">
            <w:pPr>
              <w:keepNext w:val="0"/>
              <w:keepLines w:val="0"/>
              <w:pageBreakBefore w:val="0"/>
              <w:widowControl w:val="0"/>
              <w:kinsoku/>
              <w:wordWrap w:val="0"/>
              <w:overflowPunct/>
              <w:topLinePunct w:val="0"/>
              <w:autoSpaceDE w:val="0"/>
              <w:autoSpaceDN w:val="0"/>
              <w:bidi w:val="0"/>
              <w:adjustRightInd/>
              <w:snapToGrid/>
              <w:spacing w:line="360" w:lineRule="auto"/>
              <w:ind w:firstLine="482"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（5）计量、搅拌</w:t>
            </w:r>
          </w:p>
          <w:p w14:paraId="68800DF3">
            <w:pPr>
              <w:keepNext w:val="0"/>
              <w:keepLines w:val="0"/>
              <w:pageBreakBefore w:val="0"/>
              <w:widowControl w:val="0"/>
              <w:kinsoku/>
              <w:wordWrap w:val="0"/>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热骨料仓中的骨料（碎石、机砂）经底部计量系统计量后进入搅拌缸内，粉料从密闭料仓经管道输送至计量装置，经计量后有密闭管道输送进入搅拌缸内，搅拌缸内与经沥青泵输送的热沥青拌合均匀后才制备成为成品。搅拌过程中采用电加热，整个过程都在密闭系统中进行。搅拌缸定期清理会产生少量的拌合残渣。</w:t>
            </w:r>
            <w:r>
              <w:rPr>
                <w:rFonts w:hint="eastAsia" w:ascii="Times New Roman" w:hAnsi="Times New Roman" w:eastAsia="宋体" w:cs="Times New Roman"/>
                <w:sz w:val="24"/>
                <w:szCs w:val="24"/>
                <w:u w:val="single"/>
                <w:lang w:val="en-US" w:eastAsia="zh-CN"/>
              </w:rPr>
              <w:t>该工序产生搅拌废气、拌合残渣、设备噪声。</w:t>
            </w:r>
          </w:p>
          <w:p w14:paraId="60953698">
            <w:pPr>
              <w:keepNext w:val="0"/>
              <w:keepLines w:val="0"/>
              <w:pageBreakBefore w:val="0"/>
              <w:widowControl w:val="0"/>
              <w:kinsoku/>
              <w:wordWrap w:val="0"/>
              <w:overflowPunct/>
              <w:topLinePunct w:val="0"/>
              <w:autoSpaceDE w:val="0"/>
              <w:autoSpaceDN w:val="0"/>
              <w:bidi w:val="0"/>
              <w:adjustRightInd/>
              <w:snapToGrid/>
              <w:spacing w:line="360" w:lineRule="auto"/>
              <w:ind w:firstLine="482"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（6）沥青储存、加热：</w:t>
            </w:r>
            <w:r>
              <w:rPr>
                <w:rFonts w:hint="eastAsia" w:ascii="Times New Roman" w:hAnsi="Times New Roman" w:eastAsia="宋体" w:cs="Times New Roman"/>
                <w:sz w:val="24"/>
                <w:szCs w:val="24"/>
                <w:lang w:val="en-US" w:eastAsia="zh-CN"/>
              </w:rPr>
              <w:t>外购的沥青在沥青罐内储存，使用导热油炉将沥青储罐中的沥青保持在</w:t>
            </w:r>
            <w:r>
              <w:rPr>
                <w:rFonts w:hint="eastAsia" w:cs="Times New Roman"/>
                <w:sz w:val="24"/>
                <w:szCs w:val="24"/>
                <w:lang w:val="en-US" w:eastAsia="zh-CN"/>
              </w:rPr>
              <w:t>150-180</w:t>
            </w:r>
            <w:r>
              <w:rPr>
                <w:rFonts w:hint="eastAsia" w:ascii="Times New Roman" w:hAnsi="Times New Roman" w:eastAsia="宋体" w:cs="Times New Roman"/>
                <w:sz w:val="24"/>
                <w:szCs w:val="24"/>
                <w:lang w:val="en-US" w:eastAsia="zh-CN"/>
              </w:rPr>
              <w:t>℃左右，导热油炉采用天然气为燃料，通过燃烧器燃烧后加热导热油对沥青间接加热。</w:t>
            </w:r>
            <w:r>
              <w:rPr>
                <w:rFonts w:hint="eastAsia" w:ascii="Times New Roman" w:hAnsi="Times New Roman" w:eastAsia="宋体" w:cs="Times New Roman"/>
                <w:b w:val="0"/>
                <w:bCs w:val="0"/>
                <w:sz w:val="24"/>
                <w:szCs w:val="24"/>
                <w:u w:val="single"/>
                <w:lang w:val="en-US" w:eastAsia="zh-CN"/>
              </w:rPr>
              <w:t>该工序产生沥青加热废气、天然气燃烧废气、设备噪声。</w:t>
            </w:r>
          </w:p>
          <w:p w14:paraId="4E94B5E5">
            <w:pPr>
              <w:keepNext w:val="0"/>
              <w:keepLines w:val="0"/>
              <w:pageBreakBefore w:val="0"/>
              <w:widowControl w:val="0"/>
              <w:kinsoku/>
              <w:wordWrap w:val="0"/>
              <w:overflowPunct/>
              <w:topLinePunct w:val="0"/>
              <w:autoSpaceDE w:val="0"/>
              <w:autoSpaceDN w:val="0"/>
              <w:bidi w:val="0"/>
              <w:adjustRightInd/>
              <w:snapToGrid/>
              <w:spacing w:line="360" w:lineRule="auto"/>
              <w:ind w:firstLine="482"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（7）计量投料：</w:t>
            </w:r>
            <w:r>
              <w:rPr>
                <w:rFonts w:hint="eastAsia" w:ascii="Times New Roman" w:hAnsi="Times New Roman" w:eastAsia="宋体" w:cs="Times New Roman"/>
                <w:sz w:val="24"/>
                <w:szCs w:val="24"/>
                <w:lang w:val="en-US" w:eastAsia="zh-CN"/>
              </w:rPr>
              <w:t>沥青由沥青泵输至沥青计量器，按一定的配比计量后通过专门管道送入搅拌缸内与骨料、粉料混合。外购的粉料泵入粉料仓，经计量后投入搅拌器，粉料从粉料筒仓进入搅拌器，整个在密闭条件下进行，基本无粉尘产生。</w:t>
            </w:r>
            <w:r>
              <w:rPr>
                <w:rFonts w:hint="eastAsia" w:ascii="Times New Roman" w:hAnsi="Times New Roman" w:eastAsia="宋体" w:cs="Times New Roman"/>
                <w:sz w:val="24"/>
                <w:szCs w:val="24"/>
                <w:u w:val="single"/>
                <w:lang w:val="en-US" w:eastAsia="zh-CN"/>
              </w:rPr>
              <w:t>该工序产生粉料筒仓粉尘。</w:t>
            </w:r>
          </w:p>
          <w:p w14:paraId="4F896065">
            <w:pPr>
              <w:keepNext w:val="0"/>
              <w:keepLines w:val="0"/>
              <w:pageBreakBefore w:val="0"/>
              <w:widowControl w:val="0"/>
              <w:kinsoku/>
              <w:wordWrap w:val="0"/>
              <w:overflowPunct/>
              <w:topLinePunct w:val="0"/>
              <w:autoSpaceDE w:val="0"/>
              <w:autoSpaceDN w:val="0"/>
              <w:bidi w:val="0"/>
              <w:adjustRightInd/>
              <w:snapToGrid/>
              <w:spacing w:line="360" w:lineRule="auto"/>
              <w:ind w:firstLine="482"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（8）卸料：</w:t>
            </w:r>
            <w:r>
              <w:rPr>
                <w:rFonts w:hint="eastAsia" w:ascii="Times New Roman" w:hAnsi="Times New Roman" w:eastAsia="宋体" w:cs="Times New Roman"/>
                <w:sz w:val="24"/>
                <w:szCs w:val="24"/>
                <w:lang w:val="en-US" w:eastAsia="zh-CN"/>
              </w:rPr>
              <w:t>搅拌好的沥青混凝土从搅拌缸的下方的卸料口卸出，搅拌缸下方安放运输车辆，卸出的沥青混凝土直接进入车辆货箱内，装入运输车直接送往施工现场，不在厂内储存。卸料口下面的运输通道采用封闭处理负压收集（当车辆进入后及时封闭车辆出入口，尽量减少横向风对收集效率的影响）</w:t>
            </w:r>
            <w:r>
              <w:rPr>
                <w:rFonts w:hint="eastAsia" w:cs="Times New Roman"/>
                <w:sz w:val="24"/>
                <w:szCs w:val="24"/>
                <w:lang w:val="en-US" w:eastAsia="zh-CN"/>
              </w:rPr>
              <w:t>。</w:t>
            </w:r>
            <w:r>
              <w:rPr>
                <w:rFonts w:hint="eastAsia" w:ascii="Times New Roman" w:hAnsi="Times New Roman" w:eastAsia="宋体" w:cs="Times New Roman"/>
                <w:sz w:val="24"/>
                <w:szCs w:val="24"/>
                <w:u w:val="single"/>
                <w:lang w:val="en-US" w:eastAsia="zh-CN"/>
              </w:rPr>
              <w:t>该工序产生卸料废气。</w:t>
            </w:r>
          </w:p>
          <w:p w14:paraId="2FEDFAEA">
            <w:pPr>
              <w:keepNext w:val="0"/>
              <w:keepLines w:val="0"/>
              <w:pageBreakBefore w:val="0"/>
              <w:widowControl w:val="0"/>
              <w:kinsoku/>
              <w:wordWrap w:val="0"/>
              <w:overflowPunct/>
              <w:topLinePunct w:val="0"/>
              <w:autoSpaceDE w:val="0"/>
              <w:autoSpaceDN w:val="0"/>
              <w:bidi w:val="0"/>
              <w:adjustRightInd/>
              <w:snapToGrid/>
              <w:spacing w:line="360" w:lineRule="auto"/>
              <w:ind w:firstLine="482"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2.2</w:t>
            </w:r>
            <w:r>
              <w:rPr>
                <w:rFonts w:hint="eastAsia" w:cs="Times New Roman"/>
                <w:b/>
                <w:bCs/>
                <w:sz w:val="24"/>
                <w:szCs w:val="24"/>
                <w:lang w:val="en-US" w:eastAsia="zh-CN"/>
              </w:rPr>
              <w:t>热</w:t>
            </w:r>
            <w:r>
              <w:rPr>
                <w:rFonts w:hint="eastAsia" w:ascii="Times New Roman" w:hAnsi="Times New Roman" w:eastAsia="宋体" w:cs="Times New Roman"/>
                <w:b/>
                <w:bCs/>
                <w:sz w:val="24"/>
                <w:szCs w:val="24"/>
                <w:lang w:val="en-US" w:eastAsia="zh-CN"/>
              </w:rPr>
              <w:t>再生沥青混凝土工艺流程及产污环节</w:t>
            </w:r>
          </w:p>
          <w:p w14:paraId="57C18484">
            <w:pPr>
              <w:keepNext w:val="0"/>
              <w:keepLines w:val="0"/>
              <w:pageBreakBefore w:val="0"/>
              <w:widowControl w:val="0"/>
              <w:kinsoku/>
              <w:wordWrap w:val="0"/>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本项目回收的再生料（公路施工废弃道路沥青混凝土表层）首先经破碎、筛分等工序后，加入新料后制成</w:t>
            </w:r>
            <w:r>
              <w:rPr>
                <w:rFonts w:hint="eastAsia" w:cs="Times New Roman"/>
                <w:sz w:val="24"/>
                <w:szCs w:val="24"/>
                <w:lang w:val="en-US" w:eastAsia="zh-CN"/>
              </w:rPr>
              <w:t>热</w:t>
            </w:r>
            <w:r>
              <w:rPr>
                <w:rFonts w:hint="eastAsia" w:ascii="Times New Roman" w:hAnsi="Times New Roman" w:eastAsia="宋体" w:cs="Times New Roman"/>
                <w:sz w:val="24"/>
                <w:szCs w:val="24"/>
                <w:lang w:val="en-US" w:eastAsia="zh-CN"/>
              </w:rPr>
              <w:t>再生沥青混凝土，具体工艺流程如下：</w:t>
            </w:r>
          </w:p>
          <w:p w14:paraId="2C239FEA">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sz w:val="21"/>
              </w:rPr>
              <mc:AlternateContent>
                <mc:Choice Requires="wpc">
                  <w:drawing>
                    <wp:inline distT="0" distB="0" distL="114300" distR="114300">
                      <wp:extent cx="5160010" cy="7273290"/>
                      <wp:effectExtent l="0" t="0" r="0" b="0"/>
                      <wp:docPr id="5" name="画布 5"/>
                      <wp:cNvGraphicFramePr/>
                      <a:graphic xmlns:a="http://schemas.openxmlformats.org/drawingml/2006/main">
                        <a:graphicData uri="http://schemas.microsoft.com/office/word/2010/wordprocessingCanvas">
                          <wpc:wpc>
                            <wpc:bg/>
                            <wpc:whole/>
                            <wps:wsp>
                              <wps:cNvPr id="8" name="文本框 8"/>
                              <wps:cNvSpPr txBox="1"/>
                              <wps:spPr>
                                <a:xfrm>
                                  <a:off x="1609090" y="0"/>
                                  <a:ext cx="1173480" cy="230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C9349A">
                                    <w:pPr>
                                      <w:spacing w:line="240" w:lineRule="exact"/>
                                      <w:jc w:val="center"/>
                                      <w:rPr>
                                        <w:rFonts w:hint="default" w:ascii="Times New Roman" w:hAnsi="Times New Roman" w:eastAsia="宋体" w:cs="Times New Roman"/>
                                        <w:sz w:val="15"/>
                                        <w:szCs w:val="18"/>
                                        <w:lang w:val="en-US" w:eastAsia="zh-CN"/>
                                      </w:rPr>
                                    </w:pPr>
                                    <w:r>
                                      <w:rPr>
                                        <w:rFonts w:hint="default" w:ascii="Times New Roman" w:hAnsi="Times New Roman" w:cs="Times New Roman"/>
                                        <w:sz w:val="15"/>
                                        <w:szCs w:val="18"/>
                                        <w:lang w:val="en-US" w:eastAsia="zh-CN"/>
                                      </w:rPr>
                                      <w:t>再生料（沥青混凝土层）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文本框 9"/>
                              <wps:cNvSpPr txBox="1"/>
                              <wps:spPr>
                                <a:xfrm>
                                  <a:off x="1902460" y="351155"/>
                                  <a:ext cx="586105" cy="2457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A22AB2E">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运输卸料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直接箭头连接符 10"/>
                              <wps:cNvCnPr>
                                <a:stCxn id="8" idx="2"/>
                                <a:endCxn id="9" idx="0"/>
                              </wps:cNvCnPr>
                              <wps:spPr>
                                <a:xfrm>
                                  <a:off x="2195830" y="230505"/>
                                  <a:ext cx="0" cy="120650"/>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11" name="文本框 11"/>
                              <wps:cNvSpPr txBox="1"/>
                              <wps:spPr>
                                <a:xfrm>
                                  <a:off x="1772920" y="5541010"/>
                                  <a:ext cx="487045" cy="393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9BC69D">
                                    <w:pPr>
                                      <w:spacing w:line="240" w:lineRule="exact"/>
                                      <w:jc w:val="center"/>
                                      <w:rPr>
                                        <w:rFonts w:hint="default" w:ascii="Times New Roman" w:hAnsi="Times New Roman" w:eastAsia="宋体" w:cs="Times New Roman"/>
                                        <w:sz w:val="15"/>
                                        <w:szCs w:val="18"/>
                                        <w:lang w:val="en-US" w:eastAsia="zh-CN"/>
                                      </w:rPr>
                                    </w:pPr>
                                    <w:r>
                                      <w:rPr>
                                        <w:rFonts w:hint="default" w:ascii="Times New Roman" w:hAnsi="Times New Roman" w:cs="Times New Roman"/>
                                        <w:sz w:val="15"/>
                                        <w:szCs w:val="18"/>
                                        <w:lang w:val="en-US" w:eastAsia="zh-CN"/>
                                      </w:rPr>
                                      <w:t>沥青</w:t>
                                    </w:r>
                                    <w:r>
                                      <w:rPr>
                                        <w:rFonts w:hint="eastAsia" w:cs="Times New Roman"/>
                                        <w:sz w:val="15"/>
                                        <w:szCs w:val="18"/>
                                        <w:lang w:val="en-US" w:eastAsia="zh-CN"/>
                                      </w:rPr>
                                      <w:t>加热废气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文本框 12"/>
                              <wps:cNvSpPr txBox="1"/>
                              <wps:spPr>
                                <a:xfrm>
                                  <a:off x="842010" y="5459730"/>
                                  <a:ext cx="499745" cy="230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569611">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导热油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 name="文本框 101"/>
                              <wps:cNvSpPr txBox="1"/>
                              <wps:spPr>
                                <a:xfrm>
                                  <a:off x="0" y="5026660"/>
                                  <a:ext cx="227965" cy="5949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C25B7A">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天然气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文本框 110"/>
                              <wps:cNvSpPr txBox="1"/>
                              <wps:spPr>
                                <a:xfrm>
                                  <a:off x="2516505" y="655320"/>
                                  <a:ext cx="650875" cy="404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F9621F">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投料粉尘、设备噪声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 name="文本框 112"/>
                              <wps:cNvSpPr txBox="1"/>
                              <wps:spPr>
                                <a:xfrm>
                                  <a:off x="2629535" y="360680"/>
                                  <a:ext cx="586105" cy="230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BB7836">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装卸扬尘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0" name="直接箭头连接符 120"/>
                              <wps:cNvCnPr>
                                <a:stCxn id="9" idx="2"/>
                                <a:endCxn id="136" idx="0"/>
                              </wps:cNvCnPr>
                              <wps:spPr>
                                <a:xfrm>
                                  <a:off x="2195830" y="596900"/>
                                  <a:ext cx="1905" cy="138430"/>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121" name="直接箭头连接符 121"/>
                              <wps:cNvCnPr>
                                <a:stCxn id="140" idx="2"/>
                                <a:endCxn id="139" idx="0"/>
                              </wps:cNvCnPr>
                              <wps:spPr>
                                <a:xfrm>
                                  <a:off x="1464945" y="5307330"/>
                                  <a:ext cx="3175" cy="307975"/>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122" name="直接箭头连接符 122"/>
                              <wps:cNvCnPr>
                                <a:stCxn id="139" idx="2"/>
                                <a:endCxn id="137" idx="0"/>
                              </wps:cNvCnPr>
                              <wps:spPr>
                                <a:xfrm flipH="1">
                                  <a:off x="1461770" y="5861050"/>
                                  <a:ext cx="6350" cy="222250"/>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123" name="直接箭头连接符 123"/>
                              <wps:cNvCnPr>
                                <a:stCxn id="136" idx="3"/>
                                <a:endCxn id="110" idx="1"/>
                              </wps:cNvCnPr>
                              <wps:spPr>
                                <a:xfrm flipV="1">
                                  <a:off x="2391410" y="857885"/>
                                  <a:ext cx="125095" cy="635"/>
                                </a:xfrm>
                                <a:prstGeom prst="straightConnector1">
                                  <a:avLst/>
                                </a:prstGeom>
                                <a:ln w="3175">
                                  <a:solidFill>
                                    <a:schemeClr val="tx1"/>
                                  </a:solidFill>
                                  <a:prstDash val="dashDot"/>
                                  <a:tailEnd type="triangle" w="sm" len="sm"/>
                                </a:ln>
                              </wps:spPr>
                              <wps:style>
                                <a:lnRef idx="2">
                                  <a:schemeClr val="accent1"/>
                                </a:lnRef>
                                <a:fillRef idx="0">
                                  <a:srgbClr val="FFFFFF"/>
                                </a:fillRef>
                                <a:effectRef idx="0">
                                  <a:srgbClr val="FFFFFF"/>
                                </a:effectRef>
                                <a:fontRef idx="minor">
                                  <a:schemeClr val="tx1"/>
                                </a:fontRef>
                              </wps:style>
                              <wps:bodyPr/>
                            </wps:wsp>
                            <wps:wsp>
                              <wps:cNvPr id="124" name="直接箭头连接符 124"/>
                              <wps:cNvCnPr/>
                              <wps:spPr>
                                <a:xfrm>
                                  <a:off x="867410" y="5803265"/>
                                  <a:ext cx="394335" cy="5715"/>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125" name="直接箭头连接符 125"/>
                              <wps:cNvCnPr>
                                <a:stCxn id="157" idx="2"/>
                                <a:endCxn id="138" idx="0"/>
                              </wps:cNvCnPr>
                              <wps:spPr>
                                <a:xfrm flipH="1">
                                  <a:off x="577850" y="5441315"/>
                                  <a:ext cx="1270" cy="168275"/>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126" name="直接箭头连接符 126"/>
                              <wps:cNvCnPr>
                                <a:stCxn id="101" idx="3"/>
                                <a:endCxn id="157" idx="1"/>
                              </wps:cNvCnPr>
                              <wps:spPr>
                                <a:xfrm flipV="1">
                                  <a:off x="227965" y="5318760"/>
                                  <a:ext cx="144780" cy="5715"/>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127" name="直接箭头连接符 127"/>
                              <wps:cNvCnPr>
                                <a:stCxn id="9" idx="3"/>
                                <a:endCxn id="112" idx="1"/>
                              </wps:cNvCnPr>
                              <wps:spPr>
                                <a:xfrm>
                                  <a:off x="2488565" y="474345"/>
                                  <a:ext cx="140970" cy="1905"/>
                                </a:xfrm>
                                <a:prstGeom prst="straightConnector1">
                                  <a:avLst/>
                                </a:prstGeom>
                                <a:ln w="3175">
                                  <a:solidFill>
                                    <a:schemeClr val="tx1"/>
                                  </a:solidFill>
                                  <a:prstDash val="dashDot"/>
                                  <a:tailEnd type="triangle" w="sm" len="sm"/>
                                </a:ln>
                              </wps:spPr>
                              <wps:style>
                                <a:lnRef idx="2">
                                  <a:schemeClr val="accent1"/>
                                </a:lnRef>
                                <a:fillRef idx="0">
                                  <a:srgbClr val="FFFFFF"/>
                                </a:fillRef>
                                <a:effectRef idx="0">
                                  <a:srgbClr val="FFFFFF"/>
                                </a:effectRef>
                                <a:fontRef idx="minor">
                                  <a:schemeClr val="tx1"/>
                                </a:fontRef>
                              </wps:style>
                              <wps:bodyPr/>
                            </wps:wsp>
                            <wps:wsp>
                              <wps:cNvPr id="128" name="文本框 128"/>
                              <wps:cNvSpPr txBox="1"/>
                              <wps:spPr>
                                <a:xfrm>
                                  <a:off x="2011680" y="3703955"/>
                                  <a:ext cx="380365" cy="2457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6DA6A96">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提升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9" name="文本框 129"/>
                              <wps:cNvSpPr txBox="1"/>
                              <wps:spPr>
                                <a:xfrm>
                                  <a:off x="1990090" y="4554855"/>
                                  <a:ext cx="412750" cy="2457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BE836B9">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筛分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0" name="文本框 130"/>
                              <wps:cNvSpPr txBox="1"/>
                              <wps:spPr>
                                <a:xfrm>
                                  <a:off x="2008505" y="4145915"/>
                                  <a:ext cx="380365" cy="2457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0F22AC1">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烘干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1" name="文本框 131"/>
                              <wps:cNvSpPr txBox="1"/>
                              <wps:spPr>
                                <a:xfrm>
                                  <a:off x="1911350" y="3272790"/>
                                  <a:ext cx="586105" cy="2457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07B0B0E">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皮带输送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2" name="文本框 132"/>
                              <wps:cNvSpPr txBox="1"/>
                              <wps:spPr>
                                <a:xfrm>
                                  <a:off x="2013585" y="1698625"/>
                                  <a:ext cx="381000" cy="2457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B335840">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筛分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3" name="文本框 133"/>
                              <wps:cNvSpPr txBox="1"/>
                              <wps:spPr>
                                <a:xfrm>
                                  <a:off x="1998980" y="2824480"/>
                                  <a:ext cx="412750" cy="2457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3B73620">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投料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4" name="文本框 134"/>
                              <wps:cNvSpPr txBox="1"/>
                              <wps:spPr>
                                <a:xfrm>
                                  <a:off x="1911985" y="2408555"/>
                                  <a:ext cx="586105" cy="2457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D27349F">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堆场暂存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5" name="文本框 135"/>
                              <wps:cNvSpPr txBox="1"/>
                              <wps:spPr>
                                <a:xfrm>
                                  <a:off x="1999615" y="1155700"/>
                                  <a:ext cx="403860" cy="2457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C7586AF">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破碎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6" name="文本框 136"/>
                              <wps:cNvSpPr txBox="1"/>
                              <wps:spPr>
                                <a:xfrm>
                                  <a:off x="2003425" y="735330"/>
                                  <a:ext cx="387985" cy="2457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4809070">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投料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 name="文本框 137"/>
                              <wps:cNvSpPr txBox="1"/>
                              <wps:spPr>
                                <a:xfrm>
                                  <a:off x="1167130" y="6083300"/>
                                  <a:ext cx="588645" cy="2457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CE092A1">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计量投料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8" name="文本框 138"/>
                              <wps:cNvSpPr txBox="1"/>
                              <wps:spPr>
                                <a:xfrm>
                                  <a:off x="288290" y="5609590"/>
                                  <a:ext cx="579120" cy="2457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AB35B88">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导热油炉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9" name="文本框 139"/>
                              <wps:cNvSpPr txBox="1"/>
                              <wps:spPr>
                                <a:xfrm>
                                  <a:off x="1261745" y="5615305"/>
                                  <a:ext cx="412750" cy="2457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330C18B">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加热</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0" name="文本框 140"/>
                              <wps:cNvSpPr txBox="1"/>
                              <wps:spPr>
                                <a:xfrm>
                                  <a:off x="1132205" y="5061585"/>
                                  <a:ext cx="665480" cy="2457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62B5AF">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沥青罐储存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1" name="文本框 141"/>
                              <wps:cNvSpPr txBox="1"/>
                              <wps:spPr>
                                <a:xfrm>
                                  <a:off x="4205605" y="2945130"/>
                                  <a:ext cx="476250" cy="2457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3EBACEA">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燃烧器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3" name="文本框 143"/>
                              <wps:cNvSpPr txBox="1"/>
                              <wps:spPr>
                                <a:xfrm>
                                  <a:off x="3624580" y="4586605"/>
                                  <a:ext cx="412750" cy="2457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D10700D">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计量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4" name="文本框 144"/>
                              <wps:cNvSpPr txBox="1"/>
                              <wps:spPr>
                                <a:xfrm>
                                  <a:off x="3629025" y="3721735"/>
                                  <a:ext cx="412750" cy="2457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0477F1B">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筛分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5" name="文本框 145"/>
                              <wps:cNvSpPr txBox="1"/>
                              <wps:spPr>
                                <a:xfrm>
                                  <a:off x="3622675" y="6081395"/>
                                  <a:ext cx="412750" cy="2457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4655710">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搅拌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6" name="文本框 146"/>
                              <wps:cNvSpPr txBox="1"/>
                              <wps:spPr>
                                <a:xfrm>
                                  <a:off x="1991995" y="5083810"/>
                                  <a:ext cx="412750" cy="2457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302FD7C">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计量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7" name="文本框 147"/>
                              <wps:cNvSpPr txBox="1"/>
                              <wps:spPr>
                                <a:xfrm>
                                  <a:off x="3646805" y="3280410"/>
                                  <a:ext cx="380365" cy="2457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9BB5CAE">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烘干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8" name="文本框 148"/>
                              <wps:cNvSpPr txBox="1"/>
                              <wps:spPr>
                                <a:xfrm>
                                  <a:off x="3643630" y="2621280"/>
                                  <a:ext cx="380365" cy="2457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8364F5">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提升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9" name="文本框 149"/>
                              <wps:cNvSpPr txBox="1"/>
                              <wps:spPr>
                                <a:xfrm>
                                  <a:off x="3546475" y="2139950"/>
                                  <a:ext cx="586105" cy="2457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F09C801">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皮带输送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0" name="文本框 150"/>
                              <wps:cNvSpPr txBox="1"/>
                              <wps:spPr>
                                <a:xfrm>
                                  <a:off x="3637915" y="1697990"/>
                                  <a:ext cx="412750" cy="2457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526D356">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投料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1" name="文本框 151"/>
                              <wps:cNvSpPr txBox="1"/>
                              <wps:spPr>
                                <a:xfrm>
                                  <a:off x="3549015" y="1243330"/>
                                  <a:ext cx="586105" cy="2457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0D71545">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运输卸料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2" name="文本框 152"/>
                              <wps:cNvSpPr txBox="1"/>
                              <wps:spPr>
                                <a:xfrm>
                                  <a:off x="3507740" y="856615"/>
                                  <a:ext cx="674370" cy="230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2F533C">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骨料、机砂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3" name="文本框 153"/>
                              <wps:cNvSpPr txBox="1"/>
                              <wps:spPr>
                                <a:xfrm>
                                  <a:off x="1336040" y="2821940"/>
                                  <a:ext cx="476250" cy="245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3DE769">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装载机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4" name="文本框 154"/>
                              <wps:cNvSpPr txBox="1"/>
                              <wps:spPr>
                                <a:xfrm>
                                  <a:off x="1026795" y="1783080"/>
                                  <a:ext cx="514350" cy="2457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5CDB046">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振动筛</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5" name="文本框 155"/>
                              <wps:cNvSpPr txBox="1"/>
                              <wps:spPr>
                                <a:xfrm>
                                  <a:off x="1041400" y="1070610"/>
                                  <a:ext cx="480060" cy="2457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265EA7A">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鄂破机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6" name="文本框 156"/>
                              <wps:cNvSpPr txBox="1"/>
                              <wps:spPr>
                                <a:xfrm>
                                  <a:off x="1162685" y="2413000"/>
                                  <a:ext cx="487680" cy="245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FF7CCC">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输送带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7" name="文本框 157"/>
                              <wps:cNvSpPr txBox="1"/>
                              <wps:spPr>
                                <a:xfrm>
                                  <a:off x="372745" y="5195570"/>
                                  <a:ext cx="412750" cy="2457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73C233">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燃烧</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8" name="直接箭头连接符 158"/>
                              <wps:cNvCnPr>
                                <a:stCxn id="128" idx="2"/>
                                <a:endCxn id="130" idx="0"/>
                              </wps:cNvCnPr>
                              <wps:spPr>
                                <a:xfrm flipH="1">
                                  <a:off x="2199005" y="3949700"/>
                                  <a:ext cx="3175" cy="196215"/>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159" name="直接箭头连接符 159"/>
                              <wps:cNvCnPr>
                                <a:stCxn id="130" idx="2"/>
                                <a:endCxn id="129" idx="0"/>
                              </wps:cNvCnPr>
                              <wps:spPr>
                                <a:xfrm flipH="1">
                                  <a:off x="2196465" y="4391660"/>
                                  <a:ext cx="2540" cy="163195"/>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160" name="直接箭头连接符 160"/>
                              <wps:cNvCnPr>
                                <a:stCxn id="129" idx="2"/>
                                <a:endCxn id="146" idx="0"/>
                              </wps:cNvCnPr>
                              <wps:spPr>
                                <a:xfrm>
                                  <a:off x="2196465" y="4800600"/>
                                  <a:ext cx="1905" cy="283210"/>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161" name="直接箭头连接符 161"/>
                              <wps:cNvCnPr/>
                              <wps:spPr>
                                <a:xfrm flipH="1" flipV="1">
                                  <a:off x="867410" y="5688330"/>
                                  <a:ext cx="394335" cy="5715"/>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162" name="直接箭头连接符 162"/>
                              <wps:cNvCnPr>
                                <a:stCxn id="139" idx="3"/>
                                <a:endCxn id="11" idx="1"/>
                              </wps:cNvCnPr>
                              <wps:spPr>
                                <a:xfrm flipV="1">
                                  <a:off x="1674495" y="5737860"/>
                                  <a:ext cx="98425" cy="635"/>
                                </a:xfrm>
                                <a:prstGeom prst="straightConnector1">
                                  <a:avLst/>
                                </a:prstGeom>
                                <a:ln w="3175">
                                  <a:solidFill>
                                    <a:schemeClr val="tx1"/>
                                  </a:solidFill>
                                  <a:prstDash val="dashDot"/>
                                  <a:tailEnd type="triangle" w="sm" len="sm"/>
                                </a:ln>
                              </wps:spPr>
                              <wps:style>
                                <a:lnRef idx="2">
                                  <a:schemeClr val="accent1"/>
                                </a:lnRef>
                                <a:fillRef idx="0">
                                  <a:srgbClr val="FFFFFF"/>
                                </a:fillRef>
                                <a:effectRef idx="0">
                                  <a:srgbClr val="FFFFFF"/>
                                </a:effectRef>
                                <a:fontRef idx="minor">
                                  <a:schemeClr val="tx1"/>
                                </a:fontRef>
                              </wps:style>
                              <wps:bodyPr/>
                            </wps:wsp>
                            <wps:wsp>
                              <wps:cNvPr id="163" name="直接箭头连接符 163"/>
                              <wps:cNvCnPr>
                                <a:stCxn id="156" idx="3"/>
                                <a:endCxn id="134" idx="1"/>
                              </wps:cNvCnPr>
                              <wps:spPr>
                                <a:xfrm flipV="1">
                                  <a:off x="1650365" y="2531745"/>
                                  <a:ext cx="261620" cy="4445"/>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164" name="直接箭头连接符 164"/>
                              <wps:cNvCnPr/>
                              <wps:spPr>
                                <a:xfrm>
                                  <a:off x="1521460" y="1206500"/>
                                  <a:ext cx="478155" cy="2540"/>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165" name="直接箭头连接符 165"/>
                              <wps:cNvCnPr/>
                              <wps:spPr>
                                <a:xfrm>
                                  <a:off x="1541145" y="1912620"/>
                                  <a:ext cx="472440" cy="4445"/>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166" name="直接箭头连接符 166"/>
                              <wps:cNvCnPr>
                                <a:stCxn id="136" idx="2"/>
                                <a:endCxn id="135" idx="0"/>
                              </wps:cNvCnPr>
                              <wps:spPr>
                                <a:xfrm>
                                  <a:off x="2197735" y="981075"/>
                                  <a:ext cx="3810" cy="174625"/>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167" name="直接箭头连接符 167"/>
                              <wps:cNvCnPr>
                                <a:stCxn id="135" idx="2"/>
                                <a:endCxn id="132" idx="0"/>
                              </wps:cNvCnPr>
                              <wps:spPr>
                                <a:xfrm>
                                  <a:off x="2201545" y="1401445"/>
                                  <a:ext cx="2540" cy="297180"/>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168" name="直接箭头连接符 168"/>
                              <wps:cNvCnPr>
                                <a:stCxn id="132" idx="2"/>
                                <a:endCxn id="134" idx="0"/>
                              </wps:cNvCnPr>
                              <wps:spPr>
                                <a:xfrm>
                                  <a:off x="2204085" y="1944370"/>
                                  <a:ext cx="1270" cy="464185"/>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169" name="直接箭头连接符 169"/>
                              <wps:cNvCnPr>
                                <a:stCxn id="134" idx="2"/>
                                <a:endCxn id="133" idx="0"/>
                              </wps:cNvCnPr>
                              <wps:spPr>
                                <a:xfrm>
                                  <a:off x="2205355" y="2654300"/>
                                  <a:ext cx="0" cy="170180"/>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170" name="直接箭头连接符 170"/>
                              <wps:cNvCnPr>
                                <a:stCxn id="133" idx="2"/>
                                <a:endCxn id="131" idx="0"/>
                              </wps:cNvCnPr>
                              <wps:spPr>
                                <a:xfrm flipH="1">
                                  <a:off x="2204720" y="3070225"/>
                                  <a:ext cx="635" cy="202565"/>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171" name="直接箭头连接符 171"/>
                              <wps:cNvCnPr>
                                <a:stCxn id="131" idx="2"/>
                                <a:endCxn id="128" idx="0"/>
                              </wps:cNvCnPr>
                              <wps:spPr>
                                <a:xfrm flipH="1">
                                  <a:off x="2202180" y="3518535"/>
                                  <a:ext cx="2540" cy="185420"/>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172" name="文本框 172"/>
                              <wps:cNvSpPr txBox="1"/>
                              <wps:spPr>
                                <a:xfrm>
                                  <a:off x="2522220" y="1073150"/>
                                  <a:ext cx="650875" cy="404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2201AF">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破碎粉尘、设备噪声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8" name="直接箭头连接符 178"/>
                              <wps:cNvCnPr>
                                <a:stCxn id="128" idx="3"/>
                                <a:endCxn id="253" idx="1"/>
                              </wps:cNvCnPr>
                              <wps:spPr>
                                <a:xfrm flipV="1">
                                  <a:off x="2392045" y="3826510"/>
                                  <a:ext cx="210185" cy="635"/>
                                </a:xfrm>
                                <a:prstGeom prst="straightConnector1">
                                  <a:avLst/>
                                </a:prstGeom>
                                <a:ln w="3175">
                                  <a:solidFill>
                                    <a:schemeClr val="tx1"/>
                                  </a:solidFill>
                                  <a:prstDash val="dashDot"/>
                                  <a:tailEnd type="triangle" w="sm" len="sm"/>
                                </a:ln>
                              </wps:spPr>
                              <wps:style>
                                <a:lnRef idx="2">
                                  <a:schemeClr val="accent1"/>
                                </a:lnRef>
                                <a:fillRef idx="0">
                                  <a:srgbClr val="FFFFFF"/>
                                </a:fillRef>
                                <a:effectRef idx="0">
                                  <a:srgbClr val="FFFFFF"/>
                                </a:effectRef>
                                <a:fontRef idx="minor">
                                  <a:schemeClr val="tx1"/>
                                </a:fontRef>
                              </wps:style>
                              <wps:bodyPr/>
                            </wps:wsp>
                            <wps:wsp>
                              <wps:cNvPr id="179" name="直接箭头连接符 179"/>
                              <wps:cNvCnPr>
                                <a:stCxn id="148" idx="3"/>
                                <a:endCxn id="224" idx="1"/>
                              </wps:cNvCnPr>
                              <wps:spPr>
                                <a:xfrm flipV="1">
                                  <a:off x="4023995" y="2739390"/>
                                  <a:ext cx="314325" cy="5080"/>
                                </a:xfrm>
                                <a:prstGeom prst="straightConnector1">
                                  <a:avLst/>
                                </a:prstGeom>
                                <a:ln w="3175">
                                  <a:solidFill>
                                    <a:schemeClr val="tx1"/>
                                  </a:solidFill>
                                  <a:prstDash val="dashDot"/>
                                  <a:tailEnd type="triangle" w="sm" len="sm"/>
                                </a:ln>
                              </wps:spPr>
                              <wps:style>
                                <a:lnRef idx="2">
                                  <a:schemeClr val="accent1"/>
                                </a:lnRef>
                                <a:fillRef idx="0">
                                  <a:srgbClr val="FFFFFF"/>
                                </a:fillRef>
                                <a:effectRef idx="0">
                                  <a:srgbClr val="FFFFFF"/>
                                </a:effectRef>
                                <a:fontRef idx="minor">
                                  <a:schemeClr val="tx1"/>
                                </a:fontRef>
                              </wps:style>
                              <wps:bodyPr/>
                            </wps:wsp>
                            <wps:wsp>
                              <wps:cNvPr id="184" name="直接箭头连接符 184"/>
                              <wps:cNvCnPr>
                                <a:stCxn id="133" idx="3"/>
                                <a:endCxn id="226" idx="1"/>
                              </wps:cNvCnPr>
                              <wps:spPr>
                                <a:xfrm flipV="1">
                                  <a:off x="2411730" y="2943225"/>
                                  <a:ext cx="186055" cy="4445"/>
                                </a:xfrm>
                                <a:prstGeom prst="straightConnector1">
                                  <a:avLst/>
                                </a:prstGeom>
                                <a:ln w="3175">
                                  <a:solidFill>
                                    <a:schemeClr val="tx1"/>
                                  </a:solidFill>
                                  <a:prstDash val="dashDot"/>
                                  <a:tailEnd type="triangle" w="sm" len="sm"/>
                                </a:ln>
                              </wps:spPr>
                              <wps:style>
                                <a:lnRef idx="2">
                                  <a:schemeClr val="accent1"/>
                                </a:lnRef>
                                <a:fillRef idx="0">
                                  <a:srgbClr val="FFFFFF"/>
                                </a:fillRef>
                                <a:effectRef idx="0">
                                  <a:srgbClr val="FFFFFF"/>
                                </a:effectRef>
                                <a:fontRef idx="minor">
                                  <a:schemeClr val="tx1"/>
                                </a:fontRef>
                              </wps:style>
                              <wps:bodyPr/>
                            </wps:wsp>
                            <wps:wsp>
                              <wps:cNvPr id="187" name="直接箭头连接符 187"/>
                              <wps:cNvCnPr>
                                <a:stCxn id="134" idx="3"/>
                                <a:endCxn id="220" idx="1"/>
                              </wps:cNvCnPr>
                              <wps:spPr>
                                <a:xfrm flipV="1">
                                  <a:off x="2498090" y="2527935"/>
                                  <a:ext cx="133985" cy="3810"/>
                                </a:xfrm>
                                <a:prstGeom prst="straightConnector1">
                                  <a:avLst/>
                                </a:prstGeom>
                                <a:ln w="3175">
                                  <a:solidFill>
                                    <a:schemeClr val="tx1"/>
                                  </a:solidFill>
                                  <a:prstDash val="dashDot"/>
                                  <a:tailEnd type="triangle" w="sm" len="sm"/>
                                </a:ln>
                              </wps:spPr>
                              <wps:style>
                                <a:lnRef idx="2">
                                  <a:schemeClr val="accent1"/>
                                </a:lnRef>
                                <a:fillRef idx="0">
                                  <a:srgbClr val="FFFFFF"/>
                                </a:fillRef>
                                <a:effectRef idx="0">
                                  <a:srgbClr val="FFFFFF"/>
                                </a:effectRef>
                                <a:fontRef idx="minor">
                                  <a:schemeClr val="tx1"/>
                                </a:fontRef>
                              </wps:style>
                              <wps:bodyPr/>
                            </wps:wsp>
                            <wps:wsp>
                              <wps:cNvPr id="188" name="直接箭头连接符 188"/>
                              <wps:cNvCnPr>
                                <a:stCxn id="132" idx="3"/>
                                <a:endCxn id="222" idx="1"/>
                              </wps:cNvCnPr>
                              <wps:spPr>
                                <a:xfrm flipV="1">
                                  <a:off x="2394585" y="1817370"/>
                                  <a:ext cx="99060" cy="4445"/>
                                </a:xfrm>
                                <a:prstGeom prst="straightConnector1">
                                  <a:avLst/>
                                </a:prstGeom>
                                <a:ln w="3175">
                                  <a:solidFill>
                                    <a:schemeClr val="tx1"/>
                                  </a:solidFill>
                                  <a:prstDash val="dashDot"/>
                                  <a:tailEnd type="triangle" w="sm" len="sm"/>
                                </a:ln>
                              </wps:spPr>
                              <wps:style>
                                <a:lnRef idx="2">
                                  <a:schemeClr val="accent1"/>
                                </a:lnRef>
                                <a:fillRef idx="0">
                                  <a:srgbClr val="FFFFFF"/>
                                </a:fillRef>
                                <a:effectRef idx="0">
                                  <a:srgbClr val="FFFFFF"/>
                                </a:effectRef>
                                <a:fontRef idx="minor">
                                  <a:schemeClr val="tx1"/>
                                </a:fontRef>
                              </wps:style>
                              <wps:bodyPr/>
                            </wps:wsp>
                            <wps:wsp>
                              <wps:cNvPr id="189" name="直接箭头连接符 189"/>
                              <wps:cNvCnPr>
                                <a:stCxn id="147" idx="3"/>
                                <a:endCxn id="225" idx="1"/>
                              </wps:cNvCnPr>
                              <wps:spPr>
                                <a:xfrm flipV="1">
                                  <a:off x="4027170" y="3402965"/>
                                  <a:ext cx="228600" cy="635"/>
                                </a:xfrm>
                                <a:prstGeom prst="straightConnector1">
                                  <a:avLst/>
                                </a:prstGeom>
                                <a:ln w="3175">
                                  <a:solidFill>
                                    <a:schemeClr val="tx1"/>
                                  </a:solidFill>
                                  <a:prstDash val="dashDot"/>
                                  <a:tailEnd type="triangle" w="sm" len="sm"/>
                                </a:ln>
                              </wps:spPr>
                              <wps:style>
                                <a:lnRef idx="2">
                                  <a:schemeClr val="accent1"/>
                                </a:lnRef>
                                <a:fillRef idx="0">
                                  <a:srgbClr val="FFFFFF"/>
                                </a:fillRef>
                                <a:effectRef idx="0">
                                  <a:srgbClr val="FFFFFF"/>
                                </a:effectRef>
                                <a:fontRef idx="minor">
                                  <a:schemeClr val="tx1"/>
                                </a:fontRef>
                              </wps:style>
                              <wps:bodyPr/>
                            </wps:wsp>
                            <wps:wsp>
                              <wps:cNvPr id="190" name="直接箭头连接符 190"/>
                              <wps:cNvCnPr>
                                <a:stCxn id="135" idx="3"/>
                                <a:endCxn id="172" idx="1"/>
                              </wps:cNvCnPr>
                              <wps:spPr>
                                <a:xfrm flipV="1">
                                  <a:off x="2403475" y="1275715"/>
                                  <a:ext cx="118745" cy="3175"/>
                                </a:xfrm>
                                <a:prstGeom prst="straightConnector1">
                                  <a:avLst/>
                                </a:prstGeom>
                                <a:ln w="3175">
                                  <a:solidFill>
                                    <a:schemeClr val="tx1"/>
                                  </a:solidFill>
                                  <a:prstDash val="dashDot"/>
                                  <a:tailEnd type="triangle" w="sm" len="sm"/>
                                </a:ln>
                              </wps:spPr>
                              <wps:style>
                                <a:lnRef idx="2">
                                  <a:schemeClr val="accent1"/>
                                </a:lnRef>
                                <a:fillRef idx="0">
                                  <a:srgbClr val="FFFFFF"/>
                                </a:fillRef>
                                <a:effectRef idx="0">
                                  <a:srgbClr val="FFFFFF"/>
                                </a:effectRef>
                                <a:fontRef idx="minor">
                                  <a:schemeClr val="tx1"/>
                                </a:fontRef>
                              </wps:style>
                              <wps:bodyPr/>
                            </wps:wsp>
                            <wps:wsp>
                              <wps:cNvPr id="191" name="肘形连接符 191"/>
                              <wps:cNvCnPr>
                                <a:stCxn id="132" idx="1"/>
                                <a:endCxn id="135" idx="1"/>
                              </wps:cNvCnPr>
                              <wps:spPr>
                                <a:xfrm rot="10800000">
                                  <a:off x="1999615" y="1278255"/>
                                  <a:ext cx="13970" cy="542925"/>
                                </a:xfrm>
                                <a:prstGeom prst="bentConnector3">
                                  <a:avLst>
                                    <a:gd name="adj1" fmla="val 1809090"/>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195" name="文本框 195"/>
                              <wps:cNvSpPr txBox="1"/>
                              <wps:spPr>
                                <a:xfrm>
                                  <a:off x="1223645" y="1370330"/>
                                  <a:ext cx="637540" cy="3797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C45E55">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不合格料＞25mm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8" name="文本框 198"/>
                              <wps:cNvSpPr txBox="1"/>
                              <wps:spPr>
                                <a:xfrm>
                                  <a:off x="1369060" y="1970405"/>
                                  <a:ext cx="908685" cy="3924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8FE769">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合格料0-13mm,13-25mm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3" name="直接箭头连接符 203"/>
                              <wps:cNvCnPr>
                                <a:stCxn id="150" idx="2"/>
                                <a:endCxn id="149" idx="0"/>
                              </wps:cNvCnPr>
                              <wps:spPr>
                                <a:xfrm flipH="1">
                                  <a:off x="3839845" y="1943735"/>
                                  <a:ext cx="4445" cy="196215"/>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205" name="直接箭头连接符 205"/>
                              <wps:cNvCnPr>
                                <a:stCxn id="144" idx="2"/>
                                <a:endCxn id="143" idx="0"/>
                              </wps:cNvCnPr>
                              <wps:spPr>
                                <a:xfrm flipH="1">
                                  <a:off x="3830955" y="3967480"/>
                                  <a:ext cx="4445" cy="619125"/>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206" name="直接箭头连接符 206"/>
                              <wps:cNvCnPr>
                                <a:stCxn id="147" idx="2"/>
                                <a:endCxn id="144" idx="0"/>
                              </wps:cNvCnPr>
                              <wps:spPr>
                                <a:xfrm flipH="1">
                                  <a:off x="3835400" y="3526155"/>
                                  <a:ext cx="1905" cy="195580"/>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208" name="直接箭头连接符 208"/>
                              <wps:cNvCnPr>
                                <a:stCxn id="151" idx="2"/>
                                <a:endCxn id="150" idx="0"/>
                              </wps:cNvCnPr>
                              <wps:spPr>
                                <a:xfrm>
                                  <a:off x="3842385" y="1489075"/>
                                  <a:ext cx="1905" cy="208915"/>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209" name="直接箭头连接符 209"/>
                              <wps:cNvCnPr>
                                <a:stCxn id="149" idx="2"/>
                                <a:endCxn id="148" idx="0"/>
                              </wps:cNvCnPr>
                              <wps:spPr>
                                <a:xfrm flipH="1">
                                  <a:off x="3834130" y="2385695"/>
                                  <a:ext cx="5715" cy="235585"/>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210" name="直接箭头连接符 210"/>
                              <wps:cNvCnPr>
                                <a:stCxn id="148" idx="2"/>
                                <a:endCxn id="147" idx="0"/>
                              </wps:cNvCnPr>
                              <wps:spPr>
                                <a:xfrm>
                                  <a:off x="3834130" y="2867025"/>
                                  <a:ext cx="3175" cy="413385"/>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211" name="直接箭头连接符 211"/>
                              <wps:cNvCnPr>
                                <a:stCxn id="216" idx="1"/>
                                <a:endCxn id="141" idx="3"/>
                              </wps:cNvCnPr>
                              <wps:spPr>
                                <a:xfrm flipH="1">
                                  <a:off x="4681855" y="3063240"/>
                                  <a:ext cx="199390" cy="5080"/>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212" name="直接箭头连接符 212"/>
                              <wps:cNvCnPr>
                                <a:stCxn id="152" idx="2"/>
                                <a:endCxn id="151" idx="0"/>
                              </wps:cNvCnPr>
                              <wps:spPr>
                                <a:xfrm flipH="1">
                                  <a:off x="3842385" y="1087120"/>
                                  <a:ext cx="2540" cy="156210"/>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215" name="直接箭头连接符 215"/>
                              <wps:cNvCnPr>
                                <a:stCxn id="153" idx="3"/>
                                <a:endCxn id="133" idx="1"/>
                              </wps:cNvCnPr>
                              <wps:spPr>
                                <a:xfrm>
                                  <a:off x="1812290" y="2945130"/>
                                  <a:ext cx="186690" cy="2540"/>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216" name="文本框 216"/>
                              <wps:cNvSpPr txBox="1"/>
                              <wps:spPr>
                                <a:xfrm>
                                  <a:off x="4881245" y="2765425"/>
                                  <a:ext cx="227965" cy="5949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68803E">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天然气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8" name="肘形连接符 218"/>
                              <wps:cNvCnPr/>
                              <wps:spPr>
                                <a:xfrm rot="10800000" flipV="1">
                                  <a:off x="3945255" y="3068320"/>
                                  <a:ext cx="260350" cy="212090"/>
                                </a:xfrm>
                                <a:prstGeom prst="bentConnector2">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219" name="文本框 219"/>
                              <wps:cNvSpPr txBox="1"/>
                              <wps:spPr>
                                <a:xfrm>
                                  <a:off x="4324350" y="2146300"/>
                                  <a:ext cx="782955" cy="230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CFC7A2">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皮带输送粉尘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0" name="文本框 220"/>
                              <wps:cNvSpPr txBox="1"/>
                              <wps:spPr>
                                <a:xfrm>
                                  <a:off x="2632075" y="2327275"/>
                                  <a:ext cx="674370" cy="4006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EB60F7">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堆场扬尘、设备噪声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2" name="文本框 222"/>
                              <wps:cNvSpPr txBox="1"/>
                              <wps:spPr>
                                <a:xfrm>
                                  <a:off x="2493645" y="1620520"/>
                                  <a:ext cx="674370" cy="393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51FAAE">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筛分粉尘、设备噪声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4" name="文本框 224"/>
                              <wps:cNvSpPr txBox="1"/>
                              <wps:spPr>
                                <a:xfrm>
                                  <a:off x="4338320" y="2623820"/>
                                  <a:ext cx="586105" cy="230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925675">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提升粉尘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5" name="文本框 225"/>
                              <wps:cNvSpPr txBox="1"/>
                              <wps:spPr>
                                <a:xfrm>
                                  <a:off x="4255770" y="3202940"/>
                                  <a:ext cx="810260"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AD7CF6">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烘干粉尘、天然气燃烧废气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6" name="文本框 226"/>
                              <wps:cNvSpPr txBox="1"/>
                              <wps:spPr>
                                <a:xfrm>
                                  <a:off x="2597785" y="2740660"/>
                                  <a:ext cx="650875" cy="404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7FCAC">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投料粉尘、设备噪声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7" name="直接箭头连接符 227"/>
                              <wps:cNvCnPr>
                                <a:stCxn id="131" idx="3"/>
                                <a:endCxn id="252" idx="1"/>
                              </wps:cNvCnPr>
                              <wps:spPr>
                                <a:xfrm flipV="1">
                                  <a:off x="2497455" y="3389630"/>
                                  <a:ext cx="158750" cy="6350"/>
                                </a:xfrm>
                                <a:prstGeom prst="straightConnector1">
                                  <a:avLst/>
                                </a:prstGeom>
                                <a:ln w="3175">
                                  <a:solidFill>
                                    <a:schemeClr val="tx1"/>
                                  </a:solidFill>
                                  <a:prstDash val="dashDot"/>
                                  <a:tailEnd type="triangle" w="sm" len="sm"/>
                                </a:ln>
                              </wps:spPr>
                              <wps:style>
                                <a:lnRef idx="2">
                                  <a:schemeClr val="accent1"/>
                                </a:lnRef>
                                <a:fillRef idx="0">
                                  <a:srgbClr val="FFFFFF"/>
                                </a:fillRef>
                                <a:effectRef idx="0">
                                  <a:srgbClr val="FFFFFF"/>
                                </a:effectRef>
                                <a:fontRef idx="minor">
                                  <a:schemeClr val="tx1"/>
                                </a:fontRef>
                              </wps:style>
                              <wps:bodyPr/>
                            </wps:wsp>
                            <wps:wsp>
                              <wps:cNvPr id="233" name="直接箭头连接符 233"/>
                              <wps:cNvCnPr>
                                <a:stCxn id="151" idx="3"/>
                                <a:endCxn id="249" idx="1"/>
                              </wps:cNvCnPr>
                              <wps:spPr>
                                <a:xfrm flipV="1">
                                  <a:off x="4135120" y="1363980"/>
                                  <a:ext cx="208915" cy="2540"/>
                                </a:xfrm>
                                <a:prstGeom prst="straightConnector1">
                                  <a:avLst/>
                                </a:prstGeom>
                                <a:ln w="3175">
                                  <a:solidFill>
                                    <a:schemeClr val="tx1"/>
                                  </a:solidFill>
                                  <a:prstDash val="dashDot"/>
                                  <a:tailEnd type="triangle" w="sm" len="sm"/>
                                </a:ln>
                              </wps:spPr>
                              <wps:style>
                                <a:lnRef idx="2">
                                  <a:schemeClr val="accent1"/>
                                </a:lnRef>
                                <a:fillRef idx="0">
                                  <a:srgbClr val="FFFFFF"/>
                                </a:fillRef>
                                <a:effectRef idx="0">
                                  <a:srgbClr val="FFFFFF"/>
                                </a:effectRef>
                                <a:fontRef idx="minor">
                                  <a:schemeClr val="tx1"/>
                                </a:fontRef>
                              </wps:style>
                              <wps:bodyPr/>
                            </wps:wsp>
                            <wps:wsp>
                              <wps:cNvPr id="234" name="直接箭头连接符 234"/>
                              <wps:cNvCnPr>
                                <a:stCxn id="144" idx="3"/>
                                <a:endCxn id="250" idx="1"/>
                              </wps:cNvCnPr>
                              <wps:spPr>
                                <a:xfrm flipV="1">
                                  <a:off x="4041775" y="3841750"/>
                                  <a:ext cx="186055" cy="3175"/>
                                </a:xfrm>
                                <a:prstGeom prst="straightConnector1">
                                  <a:avLst/>
                                </a:prstGeom>
                                <a:ln w="3175">
                                  <a:solidFill>
                                    <a:schemeClr val="tx1"/>
                                  </a:solidFill>
                                  <a:prstDash val="dashDot"/>
                                  <a:tailEnd type="triangle" w="sm" len="sm"/>
                                </a:ln>
                              </wps:spPr>
                              <wps:style>
                                <a:lnRef idx="2">
                                  <a:schemeClr val="accent1"/>
                                </a:lnRef>
                                <a:fillRef idx="0">
                                  <a:srgbClr val="FFFFFF"/>
                                </a:fillRef>
                                <a:effectRef idx="0">
                                  <a:srgbClr val="FFFFFF"/>
                                </a:effectRef>
                                <a:fontRef idx="minor">
                                  <a:schemeClr val="tx1"/>
                                </a:fontRef>
                              </wps:style>
                              <wps:bodyPr/>
                            </wps:wsp>
                            <wps:wsp>
                              <wps:cNvPr id="246" name="直接箭头连接符 246"/>
                              <wps:cNvCnPr>
                                <a:stCxn id="150" idx="3"/>
                                <a:endCxn id="248" idx="1"/>
                              </wps:cNvCnPr>
                              <wps:spPr>
                                <a:xfrm flipV="1">
                                  <a:off x="4050665" y="1818640"/>
                                  <a:ext cx="267970" cy="2540"/>
                                </a:xfrm>
                                <a:prstGeom prst="straightConnector1">
                                  <a:avLst/>
                                </a:prstGeom>
                                <a:ln w="3175">
                                  <a:solidFill>
                                    <a:schemeClr val="tx1"/>
                                  </a:solidFill>
                                  <a:prstDash val="dashDot"/>
                                  <a:tailEnd type="triangle" w="sm" len="sm"/>
                                </a:ln>
                              </wps:spPr>
                              <wps:style>
                                <a:lnRef idx="2">
                                  <a:schemeClr val="accent1"/>
                                </a:lnRef>
                                <a:fillRef idx="0">
                                  <a:srgbClr val="FFFFFF"/>
                                </a:fillRef>
                                <a:effectRef idx="0">
                                  <a:srgbClr val="FFFFFF"/>
                                </a:effectRef>
                                <a:fontRef idx="minor">
                                  <a:schemeClr val="tx1"/>
                                </a:fontRef>
                              </wps:style>
                              <wps:bodyPr/>
                            </wps:wsp>
                            <wps:wsp>
                              <wps:cNvPr id="247" name="直接箭头连接符 247"/>
                              <wps:cNvCnPr>
                                <a:stCxn id="149" idx="3"/>
                                <a:endCxn id="219" idx="1"/>
                              </wps:cNvCnPr>
                              <wps:spPr>
                                <a:xfrm flipV="1">
                                  <a:off x="4132580" y="2261870"/>
                                  <a:ext cx="191770" cy="1270"/>
                                </a:xfrm>
                                <a:prstGeom prst="straightConnector1">
                                  <a:avLst/>
                                </a:prstGeom>
                                <a:ln w="3175">
                                  <a:solidFill>
                                    <a:schemeClr val="tx1"/>
                                  </a:solidFill>
                                  <a:prstDash val="dashDot"/>
                                  <a:tailEnd type="triangle" w="sm" len="sm"/>
                                </a:ln>
                              </wps:spPr>
                              <wps:style>
                                <a:lnRef idx="2">
                                  <a:schemeClr val="accent1"/>
                                </a:lnRef>
                                <a:fillRef idx="0">
                                  <a:srgbClr val="FFFFFF"/>
                                </a:fillRef>
                                <a:effectRef idx="0">
                                  <a:srgbClr val="FFFFFF"/>
                                </a:effectRef>
                                <a:fontRef idx="minor">
                                  <a:schemeClr val="tx1"/>
                                </a:fontRef>
                              </wps:style>
                              <wps:bodyPr/>
                            </wps:wsp>
                            <wps:wsp>
                              <wps:cNvPr id="248" name="文本框 248"/>
                              <wps:cNvSpPr txBox="1"/>
                              <wps:spPr>
                                <a:xfrm>
                                  <a:off x="4318635" y="1616075"/>
                                  <a:ext cx="739775" cy="404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046B72">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投料粉尘、设备噪声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9" name="文本框 249"/>
                              <wps:cNvSpPr txBox="1"/>
                              <wps:spPr>
                                <a:xfrm>
                                  <a:off x="4344035" y="1248410"/>
                                  <a:ext cx="586105" cy="230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9C00C0">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装卸扬尘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0" name="文本框 250"/>
                              <wps:cNvSpPr txBox="1"/>
                              <wps:spPr>
                                <a:xfrm>
                                  <a:off x="4221480" y="3645535"/>
                                  <a:ext cx="938530" cy="3924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7172B">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筛分粉尘、筛分废料（＞31.5mm）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1" name="直接箭头连接符 251"/>
                              <wps:cNvCnPr>
                                <a:stCxn id="143" idx="2"/>
                                <a:endCxn id="145" idx="0"/>
                              </wps:cNvCnPr>
                              <wps:spPr>
                                <a:xfrm flipH="1">
                                  <a:off x="3829050" y="4832350"/>
                                  <a:ext cx="1905" cy="1249045"/>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252" name="文本框 252"/>
                              <wps:cNvSpPr txBox="1"/>
                              <wps:spPr>
                                <a:xfrm>
                                  <a:off x="2656205" y="3189605"/>
                                  <a:ext cx="497205"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DE4C6B">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皮带输送粉尘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3" name="文本框 253"/>
                              <wps:cNvSpPr txBox="1"/>
                              <wps:spPr>
                                <a:xfrm>
                                  <a:off x="2602230" y="3710940"/>
                                  <a:ext cx="586105" cy="230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DA5C0C">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提升粉尘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4" name="文本框 254"/>
                              <wps:cNvSpPr txBox="1"/>
                              <wps:spPr>
                                <a:xfrm>
                                  <a:off x="1278255" y="3900805"/>
                                  <a:ext cx="476250" cy="2457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02F127D">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燃烧器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5" name="肘形连接符 255"/>
                              <wps:cNvCnPr/>
                              <wps:spPr>
                                <a:xfrm>
                                  <a:off x="1760855" y="4023995"/>
                                  <a:ext cx="311150" cy="121920"/>
                                </a:xfrm>
                                <a:prstGeom prst="bentConnector2">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256" name="文本框 256"/>
                              <wps:cNvSpPr txBox="1"/>
                              <wps:spPr>
                                <a:xfrm>
                                  <a:off x="621665" y="3907155"/>
                                  <a:ext cx="499745" cy="227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DDE117">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天然气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7" name="直接箭头连接符 257"/>
                              <wps:cNvCnPr>
                                <a:stCxn id="256" idx="3"/>
                                <a:endCxn id="254" idx="1"/>
                              </wps:cNvCnPr>
                              <wps:spPr>
                                <a:xfrm>
                                  <a:off x="1121410" y="4020820"/>
                                  <a:ext cx="156845" cy="3175"/>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258" name="文本框 258"/>
                              <wps:cNvSpPr txBox="1"/>
                              <wps:spPr>
                                <a:xfrm>
                                  <a:off x="2512695" y="4064635"/>
                                  <a:ext cx="810260"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546126">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烘干粉尘、天然气燃烧废气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9" name="直接箭头连接符 259"/>
                              <wps:cNvCnPr>
                                <a:stCxn id="130" idx="3"/>
                                <a:endCxn id="258" idx="1"/>
                              </wps:cNvCnPr>
                              <wps:spPr>
                                <a:xfrm flipV="1">
                                  <a:off x="2388870" y="4264660"/>
                                  <a:ext cx="123825" cy="4445"/>
                                </a:xfrm>
                                <a:prstGeom prst="straightConnector1">
                                  <a:avLst/>
                                </a:prstGeom>
                                <a:ln w="3175">
                                  <a:solidFill>
                                    <a:schemeClr val="tx1"/>
                                  </a:solidFill>
                                  <a:prstDash val="dashDot"/>
                                  <a:tailEnd type="triangle" w="sm" len="sm"/>
                                </a:ln>
                              </wps:spPr>
                              <wps:style>
                                <a:lnRef idx="2">
                                  <a:schemeClr val="accent1"/>
                                </a:lnRef>
                                <a:fillRef idx="0">
                                  <a:srgbClr val="FFFFFF"/>
                                </a:fillRef>
                                <a:effectRef idx="0">
                                  <a:srgbClr val="FFFFFF"/>
                                </a:effectRef>
                                <a:fontRef idx="minor">
                                  <a:schemeClr val="tx1"/>
                                </a:fontRef>
                              </wps:style>
                              <wps:bodyPr/>
                            </wps:wsp>
                            <wps:wsp>
                              <wps:cNvPr id="260" name="文本框 260"/>
                              <wps:cNvSpPr txBox="1"/>
                              <wps:spPr>
                                <a:xfrm>
                                  <a:off x="3766820" y="4060190"/>
                                  <a:ext cx="1172845" cy="393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1B8764">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0-4.75mm、4.75-9.5mm、9.5-19mm、19-31.5mm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1" name="文本框 261"/>
                              <wps:cNvSpPr txBox="1"/>
                              <wps:spPr>
                                <a:xfrm>
                                  <a:off x="2118995" y="4802505"/>
                                  <a:ext cx="962025" cy="2292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EA0506">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0-13mm、13-25mm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2" name="文本框 262"/>
                              <wps:cNvSpPr txBox="1"/>
                              <wps:spPr>
                                <a:xfrm>
                                  <a:off x="2628900" y="4539615"/>
                                  <a:ext cx="59118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06ED6E">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筛分粉尘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3" name="直接箭头连接符 263"/>
                              <wps:cNvCnPr>
                                <a:stCxn id="129" idx="3"/>
                                <a:endCxn id="262" idx="1"/>
                              </wps:cNvCnPr>
                              <wps:spPr>
                                <a:xfrm flipV="1">
                                  <a:off x="2402840" y="4674235"/>
                                  <a:ext cx="226060" cy="3810"/>
                                </a:xfrm>
                                <a:prstGeom prst="straightConnector1">
                                  <a:avLst/>
                                </a:prstGeom>
                                <a:ln w="3175">
                                  <a:solidFill>
                                    <a:schemeClr val="tx1"/>
                                  </a:solidFill>
                                  <a:prstDash val="dashDot"/>
                                  <a:tailEnd type="triangle" w="sm" len="sm"/>
                                </a:ln>
                              </wps:spPr>
                              <wps:style>
                                <a:lnRef idx="2">
                                  <a:schemeClr val="accent1"/>
                                </a:lnRef>
                                <a:fillRef idx="0">
                                  <a:srgbClr val="FFFFFF"/>
                                </a:fillRef>
                                <a:effectRef idx="0">
                                  <a:srgbClr val="FFFFFF"/>
                                </a:effectRef>
                                <a:fontRef idx="minor">
                                  <a:schemeClr val="tx1"/>
                                </a:fontRef>
                              </wps:style>
                              <wps:bodyPr/>
                            </wps:wsp>
                            <wps:wsp>
                              <wps:cNvPr id="264" name="文本框 264"/>
                              <wps:cNvSpPr txBox="1"/>
                              <wps:spPr>
                                <a:xfrm>
                                  <a:off x="4259580" y="6003925"/>
                                  <a:ext cx="734695" cy="3924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D5CC6E">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搅拌废气、拌合残渣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5" name="直接箭头连接符 265"/>
                              <wps:cNvCnPr>
                                <a:stCxn id="145" idx="3"/>
                                <a:endCxn id="264" idx="1"/>
                              </wps:cNvCnPr>
                              <wps:spPr>
                                <a:xfrm flipV="1">
                                  <a:off x="4035425" y="6200140"/>
                                  <a:ext cx="224155" cy="4445"/>
                                </a:xfrm>
                                <a:prstGeom prst="straightConnector1">
                                  <a:avLst/>
                                </a:prstGeom>
                                <a:ln w="3175">
                                  <a:solidFill>
                                    <a:schemeClr val="tx1"/>
                                  </a:solidFill>
                                  <a:prstDash val="dashDot"/>
                                  <a:tailEnd type="triangle" w="sm" len="sm"/>
                                </a:ln>
                              </wps:spPr>
                              <wps:style>
                                <a:lnRef idx="2">
                                  <a:schemeClr val="accent1"/>
                                </a:lnRef>
                                <a:fillRef idx="0">
                                  <a:srgbClr val="FFFFFF"/>
                                </a:fillRef>
                                <a:effectRef idx="0">
                                  <a:srgbClr val="FFFFFF"/>
                                </a:effectRef>
                                <a:fontRef idx="minor">
                                  <a:schemeClr val="tx1"/>
                                </a:fontRef>
                              </wps:style>
                              <wps:bodyPr/>
                            </wps:wsp>
                            <wps:wsp>
                              <wps:cNvPr id="266" name="直接箭头连接符 266"/>
                              <wps:cNvCnPr>
                                <a:stCxn id="137" idx="3"/>
                                <a:endCxn id="145" idx="1"/>
                              </wps:cNvCnPr>
                              <wps:spPr>
                                <a:xfrm flipV="1">
                                  <a:off x="1755775" y="6204585"/>
                                  <a:ext cx="1866900" cy="1905"/>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267" name="肘形连接符 267"/>
                              <wps:cNvCnPr>
                                <a:stCxn id="146" idx="2"/>
                                <a:endCxn id="145" idx="1"/>
                              </wps:cNvCnPr>
                              <wps:spPr>
                                <a:xfrm rot="5400000" flipV="1">
                                  <a:off x="2472690" y="5054600"/>
                                  <a:ext cx="875030" cy="1424305"/>
                                </a:xfrm>
                                <a:prstGeom prst="bentConnector2">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268" name="文本框 268"/>
                              <wps:cNvSpPr txBox="1"/>
                              <wps:spPr>
                                <a:xfrm>
                                  <a:off x="2540000" y="6454775"/>
                                  <a:ext cx="588645" cy="2457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0DBCE25">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计量投料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9" name="文本框 269"/>
                              <wps:cNvSpPr txBox="1"/>
                              <wps:spPr>
                                <a:xfrm>
                                  <a:off x="958215" y="6459220"/>
                                  <a:ext cx="439420" cy="245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E11225">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粉料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0" name="文本框 270"/>
                              <wps:cNvSpPr txBox="1"/>
                              <wps:spPr>
                                <a:xfrm>
                                  <a:off x="1723390" y="6454775"/>
                                  <a:ext cx="405765" cy="2457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845E773">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入仓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1" name="直接箭头连接符 271"/>
                              <wps:cNvCnPr>
                                <a:stCxn id="269" idx="3"/>
                                <a:endCxn id="270" idx="1"/>
                              </wps:cNvCnPr>
                              <wps:spPr>
                                <a:xfrm flipV="1">
                                  <a:off x="1397635" y="6577965"/>
                                  <a:ext cx="325755" cy="4445"/>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272" name="直接箭头连接符 272"/>
                              <wps:cNvCnPr>
                                <a:stCxn id="270" idx="3"/>
                                <a:endCxn id="268" idx="1"/>
                              </wps:cNvCnPr>
                              <wps:spPr>
                                <a:xfrm>
                                  <a:off x="2129155" y="6577965"/>
                                  <a:ext cx="410845" cy="0"/>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273" name="肘形连接符 273"/>
                              <wps:cNvCnPr>
                                <a:stCxn id="268" idx="0"/>
                                <a:endCxn id="145" idx="1"/>
                              </wps:cNvCnPr>
                              <wps:spPr>
                                <a:xfrm rot="16200000">
                                  <a:off x="3103245" y="5935980"/>
                                  <a:ext cx="250190" cy="788035"/>
                                </a:xfrm>
                                <a:prstGeom prst="bentConnector2">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274" name="文本框 274"/>
                              <wps:cNvSpPr txBox="1"/>
                              <wps:spPr>
                                <a:xfrm>
                                  <a:off x="1466215" y="6867525"/>
                                  <a:ext cx="918210"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B6027E">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粉料筒仓粉尘、设备噪声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5" name="直接箭头连接符 275"/>
                              <wps:cNvCnPr>
                                <a:stCxn id="270" idx="2"/>
                                <a:endCxn id="274" idx="0"/>
                              </wps:cNvCnPr>
                              <wps:spPr>
                                <a:xfrm flipH="1">
                                  <a:off x="1925320" y="6700520"/>
                                  <a:ext cx="1270" cy="167005"/>
                                </a:xfrm>
                                <a:prstGeom prst="straightConnector1">
                                  <a:avLst/>
                                </a:prstGeom>
                                <a:ln w="3175">
                                  <a:solidFill>
                                    <a:schemeClr val="tx1"/>
                                  </a:solidFill>
                                  <a:prstDash val="dashDot"/>
                                  <a:tailEnd type="triangle" w="sm" len="sm"/>
                                </a:ln>
                              </wps:spPr>
                              <wps:style>
                                <a:lnRef idx="2">
                                  <a:schemeClr val="accent1"/>
                                </a:lnRef>
                                <a:fillRef idx="0">
                                  <a:srgbClr val="FFFFFF"/>
                                </a:fillRef>
                                <a:effectRef idx="0">
                                  <a:srgbClr val="FFFFFF"/>
                                </a:effectRef>
                                <a:fontRef idx="minor">
                                  <a:schemeClr val="tx1"/>
                                </a:fontRef>
                              </wps:style>
                              <wps:bodyPr/>
                            </wps:wsp>
                            <wps:wsp>
                              <wps:cNvPr id="276" name="文本框 276"/>
                              <wps:cNvSpPr txBox="1"/>
                              <wps:spPr>
                                <a:xfrm>
                                  <a:off x="3325495" y="6989445"/>
                                  <a:ext cx="996315" cy="245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9A3CEA">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热再生沥青混凝土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7" name="文本框 277"/>
                              <wps:cNvSpPr txBox="1"/>
                              <wps:spPr>
                                <a:xfrm>
                                  <a:off x="4332605" y="6557645"/>
                                  <a:ext cx="576580" cy="245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831EC">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卸料废气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8" name="文本框 278"/>
                              <wps:cNvSpPr txBox="1"/>
                              <wps:spPr>
                                <a:xfrm>
                                  <a:off x="3622040" y="6553200"/>
                                  <a:ext cx="412750" cy="2457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DFA2A0C">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卸料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9" name="直接箭头连接符 279"/>
                              <wps:cNvCnPr>
                                <a:stCxn id="145" idx="2"/>
                                <a:endCxn id="278" idx="0"/>
                              </wps:cNvCnPr>
                              <wps:spPr>
                                <a:xfrm flipH="1">
                                  <a:off x="3828415" y="6327140"/>
                                  <a:ext cx="635" cy="226060"/>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280" name="直接箭头连接符 280"/>
                              <wps:cNvCnPr>
                                <a:stCxn id="278" idx="2"/>
                                <a:endCxn id="276" idx="0"/>
                              </wps:cNvCnPr>
                              <wps:spPr>
                                <a:xfrm flipH="1">
                                  <a:off x="3823970" y="6798945"/>
                                  <a:ext cx="4445" cy="190500"/>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281" name="直接箭头连接符 281"/>
                              <wps:cNvCnPr>
                                <a:stCxn id="278" idx="3"/>
                                <a:endCxn id="277" idx="1"/>
                              </wps:cNvCnPr>
                              <wps:spPr>
                                <a:xfrm>
                                  <a:off x="4034790" y="6676390"/>
                                  <a:ext cx="297815" cy="4445"/>
                                </a:xfrm>
                                <a:prstGeom prst="straightConnector1">
                                  <a:avLst/>
                                </a:prstGeom>
                                <a:ln w="3175">
                                  <a:solidFill>
                                    <a:schemeClr val="tx1"/>
                                  </a:solidFill>
                                  <a:prstDash val="dashDot"/>
                                  <a:tailEnd type="triangle" w="sm" len="sm"/>
                                </a:ln>
                              </wps:spPr>
                              <wps:style>
                                <a:lnRef idx="2">
                                  <a:schemeClr val="accent1"/>
                                </a:lnRef>
                                <a:fillRef idx="0">
                                  <a:srgbClr val="FFFFFF"/>
                                </a:fillRef>
                                <a:effectRef idx="0">
                                  <a:srgbClr val="FFFFFF"/>
                                </a:effectRef>
                                <a:fontRef idx="minor">
                                  <a:schemeClr val="tx1"/>
                                </a:fontRef>
                              </wps:style>
                              <wps:bodyPr/>
                            </wps:wsp>
                            <wps:wsp>
                              <wps:cNvPr id="282" name="文本框 282"/>
                              <wps:cNvSpPr txBox="1"/>
                              <wps:spPr>
                                <a:xfrm>
                                  <a:off x="3435350" y="2051685"/>
                                  <a:ext cx="721360" cy="4776470"/>
                                </a:xfrm>
                                <a:prstGeom prst="rect">
                                  <a:avLst/>
                                </a:prstGeom>
                                <a:noFill/>
                                <a:ln w="6350">
                                  <a:solidFill>
                                    <a:prstClr val="black"/>
                                  </a:solidFill>
                                  <a:prstDash val="dashDot"/>
                                </a:ln>
                              </wps:spPr>
                              <wps:style>
                                <a:lnRef idx="0">
                                  <a:schemeClr val="accent1"/>
                                </a:lnRef>
                                <a:fillRef idx="0">
                                  <a:schemeClr val="accent1"/>
                                </a:fillRef>
                                <a:effectRef idx="0">
                                  <a:schemeClr val="accent1"/>
                                </a:effectRef>
                                <a:fontRef idx="minor">
                                  <a:schemeClr val="dk1"/>
                                </a:fontRef>
                              </wps:style>
                              <wps:txbx>
                                <w:txbxContent>
                                  <w:p w14:paraId="41EA8186"/>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3" name="直接箭头连接符 283"/>
                              <wps:cNvCnPr/>
                              <wps:spPr>
                                <a:xfrm flipV="1">
                                  <a:off x="4166870" y="5098415"/>
                                  <a:ext cx="224155" cy="4445"/>
                                </a:xfrm>
                                <a:prstGeom prst="straightConnector1">
                                  <a:avLst/>
                                </a:prstGeom>
                                <a:ln w="3175">
                                  <a:solidFill>
                                    <a:schemeClr val="tx1"/>
                                  </a:solidFill>
                                  <a:prstDash val="dashDot"/>
                                  <a:tailEnd type="triangle" w="sm" len="sm"/>
                                </a:ln>
                              </wps:spPr>
                              <wps:style>
                                <a:lnRef idx="2">
                                  <a:schemeClr val="accent1"/>
                                </a:lnRef>
                                <a:fillRef idx="0">
                                  <a:srgbClr val="FFFFFF"/>
                                </a:fillRef>
                                <a:effectRef idx="0">
                                  <a:srgbClr val="FFFFFF"/>
                                </a:effectRef>
                                <a:fontRef idx="minor">
                                  <a:schemeClr val="tx1"/>
                                </a:fontRef>
                              </wps:style>
                              <wps:bodyPr/>
                            </wps:wsp>
                            <wps:wsp>
                              <wps:cNvPr id="284" name="文本框 284"/>
                              <wps:cNvSpPr txBox="1"/>
                              <wps:spPr>
                                <a:xfrm>
                                  <a:off x="4379595" y="4970780"/>
                                  <a:ext cx="593725" cy="234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BB057C">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设备噪声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5" name="文本框 285"/>
                              <wps:cNvSpPr txBox="1"/>
                              <wps:spPr>
                                <a:xfrm>
                                  <a:off x="1850390" y="3159760"/>
                                  <a:ext cx="687070" cy="2360930"/>
                                </a:xfrm>
                                <a:prstGeom prst="rect">
                                  <a:avLst/>
                                </a:prstGeom>
                                <a:noFill/>
                                <a:ln w="6350">
                                  <a:solidFill>
                                    <a:prstClr val="black"/>
                                  </a:solidFill>
                                  <a:prstDash val="dashDot"/>
                                </a:ln>
                              </wps:spPr>
                              <wps:style>
                                <a:lnRef idx="0">
                                  <a:schemeClr val="accent1"/>
                                </a:lnRef>
                                <a:fillRef idx="0">
                                  <a:schemeClr val="accent1"/>
                                </a:fillRef>
                                <a:effectRef idx="0">
                                  <a:schemeClr val="accent1"/>
                                </a:effectRef>
                                <a:fontRef idx="minor">
                                  <a:schemeClr val="dk1"/>
                                </a:fontRef>
                              </wps:style>
                              <wps:txbx>
                                <w:txbxContent>
                                  <w:p w14:paraId="7A976ECC"/>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6" name="直接箭头连接符 286"/>
                              <wps:cNvCnPr/>
                              <wps:spPr>
                                <a:xfrm flipV="1">
                                  <a:off x="2548255" y="5233035"/>
                                  <a:ext cx="224155" cy="4445"/>
                                </a:xfrm>
                                <a:prstGeom prst="straightConnector1">
                                  <a:avLst/>
                                </a:prstGeom>
                                <a:ln w="3175">
                                  <a:solidFill>
                                    <a:schemeClr val="tx1"/>
                                  </a:solidFill>
                                  <a:prstDash val="dashDot"/>
                                  <a:tailEnd type="triangle" w="sm" len="sm"/>
                                </a:ln>
                              </wps:spPr>
                              <wps:style>
                                <a:lnRef idx="2">
                                  <a:schemeClr val="accent1"/>
                                </a:lnRef>
                                <a:fillRef idx="0">
                                  <a:srgbClr val="FFFFFF"/>
                                </a:fillRef>
                                <a:effectRef idx="0">
                                  <a:srgbClr val="FFFFFF"/>
                                </a:effectRef>
                                <a:fontRef idx="minor">
                                  <a:schemeClr val="tx1"/>
                                </a:fontRef>
                              </wps:style>
                              <wps:bodyPr/>
                            </wps:wsp>
                            <wps:wsp>
                              <wps:cNvPr id="287" name="文本框 287"/>
                              <wps:cNvSpPr txBox="1"/>
                              <wps:spPr>
                                <a:xfrm>
                                  <a:off x="2760980" y="5105400"/>
                                  <a:ext cx="593725" cy="234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71B6E5">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设备噪声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8" name="文本框 288"/>
                              <wps:cNvSpPr txBox="1"/>
                              <wps:spPr>
                                <a:xfrm>
                                  <a:off x="1269365" y="4669790"/>
                                  <a:ext cx="384175" cy="2470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687390">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沥青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9" name="直接箭头连接符 289"/>
                              <wps:cNvCnPr>
                                <a:stCxn id="288" idx="2"/>
                                <a:endCxn id="140" idx="0"/>
                              </wps:cNvCnPr>
                              <wps:spPr>
                                <a:xfrm>
                                  <a:off x="1461770" y="4916805"/>
                                  <a:ext cx="3175" cy="144780"/>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290" name="文本框 290"/>
                              <wps:cNvSpPr txBox="1"/>
                              <wps:spPr>
                                <a:xfrm>
                                  <a:off x="181610" y="4582160"/>
                                  <a:ext cx="810260"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23313C">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天然气燃烧废气、设备噪声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1" name="直接箭头连接符 291"/>
                              <wps:cNvCnPr>
                                <a:stCxn id="157" idx="0"/>
                                <a:endCxn id="290" idx="2"/>
                              </wps:cNvCnPr>
                              <wps:spPr>
                                <a:xfrm flipV="1">
                                  <a:off x="579120" y="4981575"/>
                                  <a:ext cx="7620" cy="213995"/>
                                </a:xfrm>
                                <a:prstGeom prst="straightConnector1">
                                  <a:avLst/>
                                </a:prstGeom>
                                <a:ln w="3175">
                                  <a:solidFill>
                                    <a:schemeClr val="tx1"/>
                                  </a:solidFill>
                                  <a:prstDash val="dashDot"/>
                                  <a:tailEnd type="triangle" w="sm" len="sm"/>
                                </a:ln>
                              </wps:spPr>
                              <wps:style>
                                <a:lnRef idx="2">
                                  <a:schemeClr val="accent1"/>
                                </a:lnRef>
                                <a:fillRef idx="0">
                                  <a:srgbClr val="FFFFFF"/>
                                </a:fillRef>
                                <a:effectRef idx="0">
                                  <a:srgbClr val="FFFFFF"/>
                                </a:effectRef>
                                <a:fontRef idx="minor">
                                  <a:schemeClr val="tx1"/>
                                </a:fontRef>
                              </wps:style>
                              <wps:bodyPr/>
                            </wps:wsp>
                            <wps:wsp>
                              <wps:cNvPr id="292" name="文本框 292"/>
                              <wps:cNvSpPr txBox="1"/>
                              <wps:spPr>
                                <a:xfrm>
                                  <a:off x="3053715" y="1697355"/>
                                  <a:ext cx="476250" cy="245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7E3F40">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装载机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3" name="文本框 293"/>
                              <wps:cNvSpPr txBox="1"/>
                              <wps:spPr>
                                <a:xfrm>
                                  <a:off x="1345565" y="734060"/>
                                  <a:ext cx="476250" cy="245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2F2BFD">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装载机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4" name="直接箭头连接符 294"/>
                              <wps:cNvCnPr>
                                <a:stCxn id="292" idx="3"/>
                                <a:endCxn id="150" idx="1"/>
                              </wps:cNvCnPr>
                              <wps:spPr>
                                <a:xfrm>
                                  <a:off x="3529965" y="1820545"/>
                                  <a:ext cx="107950" cy="635"/>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295" name="直接箭头连接符 295"/>
                              <wps:cNvCnPr>
                                <a:stCxn id="293" idx="3"/>
                                <a:endCxn id="136" idx="1"/>
                              </wps:cNvCnPr>
                              <wps:spPr>
                                <a:xfrm>
                                  <a:off x="1821815" y="857250"/>
                                  <a:ext cx="181610" cy="1270"/>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c:wpc>
                        </a:graphicData>
                      </a:graphic>
                    </wp:inline>
                  </w:drawing>
                </mc:Choice>
                <mc:Fallback>
                  <w:pict>
                    <v:group id="_x0000_s1026" o:spid="_x0000_s1026" o:spt="203" style="height:572.7pt;width:406.3pt;" coordsize="5160010,7273290" editas="canvas" o:gfxdata="UEsDBAoAAAAAAIdO4kAAAAAAAAAAAAAAAAAEAAAAZHJzL1BLAwQUAAAACACHTuJA/1PrztcAAAAG&#10;AQAADwAAAGRycy9kb3ducmV2LnhtbE2PQWvCQBCF7wX/wzKFXkrdRKxIzMaDIJVSkMbW85odk9Ds&#10;bMyuif33Hb3Yy4PhPd77Jl1ebCN67HztSEE8jkAgFc7UVCr42q1f5iB80GR04wgV/KKHZTZ6SHVi&#10;3ECf2OehFFxCPtEKqhDaREpfVGi1H7sWib2j66wOfHalNJ0euNw2chJFM2l1TbxQ6RZXFRY/+dkq&#10;GIptv999vMnt837j6LQ5rfLvd6WeHuNoASLgJdzDcMVndMiY6eDOZLxoFPAj4abszePJDMSBQ/H0&#10;dQoyS+V//OwPUEsDBBQAAAAIAIdO4kDgIguKER4AALRgAQAOAAAAZHJzL2Uyb0RvYy54bWztXVuP&#10;48h5fQ+Q/yDoPTus4r2xvcakZ3djYOBdYJP4ma1WdyvWzSRnusePDpC8+SkwDCQwkCD20yZPfggQ&#10;BP41e/kZOV9VsVgki5TEnu5Ra2pt7KpJtqSmjr7LOd/l05/cr5aTt/O8WGzW51P2iTedzNezzdVi&#10;fXM+/bu//eKvkumkKLP1VbbcrOfn03fzYvqTz/7yLz69257N+eZ2s7ya5xM8ybo4u9ueT2/Lcnv2&#10;4kUxu52vsuKTzXa+xsnrTb7KSvyY37y4yrM7PPtq+YJ7XvTibpNfbfPNbF4UOPpKnpyqZ8z3ecLN&#10;9fViNn+1mb1ZzdelfNZ8vsxK/EnF7WJbTD8T7/b6ej4rv7q+LublZHk+xV9ain/jRfD4kv794rNP&#10;s7ObPNveLmbqLWT7vIXW37TKFmu8qH6qV1mZTd7ki85TrRazfFNsrstPZpvVC/mHiDuCv4J5rXvz&#10;Zb55sxV/y83Z3c1W33R8UK27PvppZz97+3U+WVydT8PpZJ2t8IH/8C//+93//OMkpHtzt705wyVf&#10;5ttvtl/n6sCN/In+3PvrfEX/xR8yuRd39Z2+q/P7cjLDwZBFHv626WSGczGPfZ6q+z67xYfT+b3Z&#10;7ec7fvNF9cIv6P3pt3O3BSKL+jYVD7tN39xm27m4+wXdA3Wb8O2Qt+n73/7z9//27ff//k+TRN4p&#10;cRXdpkl5/9cb/OGsOl7goOVu4b6k+N900r1njMV+kKh7xn0v9MTHof/w7GybF+WX881qQg/OpzmQ&#10;LgCYvX1dlPigcGl1Cb30evPFYrkUaF+uJ3fn08gPPfEL+gx+Y7nGL9JtlO+YHpX3l/ficy/OLjdX&#10;7/DX5Rv5LSq2sy8WePHXWVF+neX42uD9wrCUX+Ff18sNXmSjHk0nt5v8V7bjdD0+JpydTu7wNTyf&#10;Fr98k+Xz6WT50zU+wJQFAZ62FD8EYczxQ26euTTPrN+sLjb4pjOYsO1MPKTry2X18DrfrH4O+/OS&#10;XhWnsvUMr30+LauHF6U0DrBfs/nLl+IifFO3Wfl6/c12Rk8tb+fLN+XmeiHuNN0meW/U3QMI6avz&#10;BGhMu2hMK9QBswehMfV4EOGeAI1+yFgoEJed6a9xEjGgUHyLOT6J4NEQWWyWiyuCK91pAvHFMp+8&#10;zfC5Xi6z2S/o7wNWjasccgHiZ4ZccgjK3/zrn77/zR9++O//+u4///Tjn39Pj7/94wTnldkBji/W&#10;0oACCvdr4a1ghhdXsLGcrgJI11fVGXwlxBnx+8KY6SeoLVvlQLTn4iwNE1+iv7a3NfpxhtwX414E&#10;uykRWDm/ys4qU1yUeba4uS0vNus1rPImlyZjX8Pss5i+ZWQKrxHS4OFqewWzuL6BjVreIGablbkw&#10;QsY3AF+H/OZSf0888U/3iyK/Tq+y4lZ+n8QzyDtYZovl5+urSfluixigzBfZ+mYJMwwrXqxgjed4&#10;YTyQf7nFT0gDSKeV4XsiC8hg69sOGcfwRuh9HGoD45in5GLwUYdhwChswTPVMAiS2IPhE1jwUz/2&#10;dmDBuWW6mx+dW2bcAkphqkaAMgkoNZCYDMI0hpVqYjJNyRlLx+xCRRcq2hMXGDMLKHFwnKlUgPR4&#10;FCFobACS8ziNFCDDNEjTR4sUXe7yjHMXVoeAdS5NB8cBkoNnoDSZfHcUhj4cTwOVOJmIyArnAy8I&#10;HCqRXruMWseJit9hVt+NgyNRGfE09CUq/ciLwOk0UBmaWbVz3s559zhvEUZLetaeLktzp8LLbr5c&#10;ZcXdfJn50YMz5jCNUpkK1akSSyu2iPlJIINWEDUuaTbI1Q+WNHMdC/7QAyczLuzCiREp20PAML8C&#10;m7B1e1MwLIiClBIZSr59L/bbiY5iRnAaZ1P4clhShyj6ytd0/YdDlE55+xBlulALojRqbCYq3t9E&#10;Ta6Xi+3fVES9EqaALRbHKmcRLrflh4UcIlNozrmj+GxS0IfDll9lrn3Y8o3wzIatysWJ6xp0schC&#10;hCUTFm/YWgls/X0LW9yHSKUImiSMk6QlnDDACcmGABdgdjJW6wo08qtNKePZZ0sf82AXtoIWtlQi&#10;0CPqJlFcgSFMPJ+DCGkE/H4a+JQPkJoQxux04HAKWgLHBzMoSuEC9fFrUQnSi1alWFg5KpsTqzSr&#10;PcIiqxML4ziBZxLxURAwX4LHiLg5eTghU0UJd/HRcfkwuKBhaEXD0CL6Vvgpiw/TsBvtwxRlK0Jv&#10;lsRtShdVGHFVjuKslr3e4MOFRzA6w9CKB6FVpWsWYBEZtm9wRDqpCrd5gCiIJADgKYgDX9aKGJYq&#10;8FJtq4gnOJVM7kRiIkuRG+Njy9ygXjLiPQkMUMz9tF1Z5CNOqvQiV1kka+hcTdwe9bF9XCkMWqck&#10;hI+viwO1qao0AxSFJG34Bgyxlgq8HHwdfPcu7+6BL1WhdeArudAR1SMouUfSoFwxQ/1IO2tw1rdZ&#10;qewqkvfsTuiDr5YWDFXfN+WEw6qSGaNKdRE8cHQPVL0DrizZFdQ/qAumD75axzDha2oXh8AXsa8f&#10;ghAm+LIoTSJJINWZkJ8w1Oqq4j1XVS/6R1zsOz729bVUYsLXlEcOgS9L0yRVqRtPeEAtSQ0228W+&#10;LnioOj8P6kHss75ajTHhayowh8GXsVRZXx4gDm6nbo3qK2d9nfXdtzO3D75aPzLha2pGh8E3TSOk&#10;ayJ4QD+e6japg4fA8xPq2CPJxzEPjnl4MPOgNSoTvqYudQh8wTz4ASmqQGfsh91yriQWxtmhl5ql&#10;HXofjF4tg5noNaWvQ9ALzSJmRMUBvZGXAL2t0DdMkki3XbnYwcUOD40dbKKbP1p0SxIas0HoDTFm&#10;IuzQZnGKXmYXOshJFc74Ptj42jQ3lPTW1VIHGV+Oct2qFBwhMBpjHO9AMYIbo/IoQ31EO0NHc0OP&#10;w0j4Mp9zpbmFHvDbLgmOIujIzvrq6UBOc3uY5hbYNDccHAdfzBtAzCATN46OHAqDm6xvDB3DwdfB&#10;F/P+3gfrG9hECxwcB18/AhemRAs8wHgCFzwIgsEFD48UPNhEi2CsaAH4YhKbtL5+zDEI0MHXwVcM&#10;W30k+AJr3dh3rGgB+PKI5mxI3gzNwA6+Dr6PCV+baBGMFS1Q8YD/S/hiYAyV57RiX1ft2xjs6lK3&#10;B6ZuNtUiGKta+FGAVgsVPPDEo1bURurmqn1dwc77LNgJbKoFDo5N3QI/UqIbjzh6jhx8XfDwmMGD&#10;TbYIxsoWfogRNir25Yh8U5BkDevr6s2c9X2f1pdI2E7qJkE3olUIpheqsAweUKwep23R2FX7Ovi+&#10;V/jaZItwrGwB65t6FXw5pqy0ZQtnfR183yt8ba1C4dhWIXS5xTGN1QNxhuEJVPjbiB0wVwjd86pi&#10;x00KdZNCe2rQQ5uYhoPjMjLmY2qtQiU6gFgqiyKMGvQn04LdsO/nPOw7tIlkODgSlpg7HyualsVY&#10;3NImCkIWiLZhV1zuisvfR4kCOscsmdZYkYyBmA2o7Re+nnkxSsRaRAGqwzzX2VOvj3Mqw8NUhtAm&#10;kuHgSOvLIh7pvkqUh7V7I7AmSUx8enzr64KCZx0U2MQvDDMcB0tUy+iicaxzQ78kPZERqjrp1km3&#10;ak3xe4kJtPbVM5Y6NHUwy1hqjNTrH6KP6EBMXhQg3mMsdXvkOXI1DC5TUjC2MHW6h+tx+iyF1iZi&#10;GTdO/0jG6YdamOrDlilSWbBFKqrAj2USMWbhPRhbKDSQ2Aow/ry7AiwkzoDcP4t82GIyxA5bR4It&#10;SiykatSDLTn9VylIFmxp/FiwhcqrvbFlToyFDdKIEslPy3nX62R44nOZLzlEHQuitJDThyhT1CFE&#10;qQivMDaj1zPPrWsWzMH6UUIN2c3ozg3WP+IlvZGWSvoAYsomFpOjt8PYhlQriyMwtkek1F7ggU5/&#10;sQ5QNEvHfkwzVRqJQ4oVrHB25M7cAg/y48e0/znSekcftEztwwIt4kb6Buv7YK33nX9utVq0k1IM&#10;twZ2eIiQuz0KHZ3OUdWIHwTyrPNrx+LXtGjRhy1TwOjxa0aUw0KOTVQIvygwFqvkW5YGWxYw6EmJ&#10;vBRDu7hZbZSXkQLh4oPtWaCEZzhuNvWAfdAQMExklmjAOA6yAw2/E8QYuajyKGcbjs3vaEq9zzaY&#10;9LrF7+i9m5YsijZE7cv+GPYFnE9M/YJkX1K0rsgdQDUDKtpZZFoeB2oWrXM2x+JsNBneByiTGLcB&#10;qgKNDVDVIhfpUuhP1hus6r+/Xs9aLXLBAOOwMlGBhzVAwsTViOKa6OFpzKQK7xBV31F69OEc1i6C&#10;OtpBUPsVamyIqkLjgxFFk1iV0wtETVvD6UGkqVxeFDA5OcUh6lgQtYuWjnbR0hVqbIhCJjfG6WFc&#10;iU9BM6VYGKzTmdSn4MRizxmo48rd6Zs+GFFLCZfAr71VY98ijTsXkLHBCaTkvnCquUczmuIeInC8&#10;RQALG6c97AVuxudEBsnhuxjYgOzAJWvHk6zFuyhpXIDPawBaFXws0NLC7R6+rw9anIyRgFYIL9ce&#10;8lHHVTiJgUwOW+sjwpZms41Js7HAicLTIcMOeYiN48rMIGXDWlfxadcxNijEhLoKiX8OPEFVD1qa&#10;fD4rp2THsrevi1Jeus2L8sv5ZkWHdc0UOYMJSkLE8vPGGXuuXd5f3qvvjIxpJ/mmPJ8CxsV29sUC&#10;L/E6K8qvszwTB6lo7ys1JOt8WhfzuTlEjzPIJd4V7uOCQZOnzVpXZAF3rbzpWJUFa9LhT2WY5icI&#10;1No1rxB1Kdx3MkuxUtb+mGSWeFfkjwsGwUWTAkQ4ZgEXLWEX58aCK/AAL9UPwGM/9dutqz76ASoN&#10;D+b0dPzpaWycTXYJLbhgEF06EbChqxL4xqKLg6ePq7EUKYDUTgQYJONKtjkpov5E0LWLWU12MauV&#10;fbKhC+HPg2wXD7BiS81qRywYp+1cAD14elFGNZDqJBixE0HXrrAr2RF2aZbVhq6KgR1tu1AXpTcQ&#10;JjBj7ap4VAmTIi2Si1OqPzgRcO0Ku5JdYRdsX2/YhWj7QaYLYVcMWlXSGPghlSRYnbpyDs+o0OVK&#10;p46tdIqcziD9KqPoAY6sAlDXcjHwIQ8DFzb2+dU0JercidsTERhLRL8PmS7RzIAI0fnFT0UF5BGU&#10;y6Sagf3x17/77v/+48c///773/zhh2//OGE4NRzNN7ADc7K+urhfA04omyLOfW+jJfgphnyP/hGc&#10;mBK20RxT79bjccIRvuMt1ZYL47vIsBG2wL+mMuLvR9flfF1ebNZrUG+b3K/ZN3rKmyv1Lcuu/gH3&#10;5Hq1BD/2NltOwACnFPlJ3Aq2TiB4kKxTbTvZ9nx6vcxKvMXVFvelWN9MJ9nyZn0+nZW5eAPFZrm4&#10;+mKxXNKbKPKby4tlPsHrgpyT90O+buMyeulXWXErrxOn5H0ps8Xy8/XVpHy3nZ9Py3yRrW+W8ynR&#10;h+Arjrj0mFgBaeQMslZ2pIwgaxnnmLGJpwQuGGKpThk6ZmjpkgiM06K0Ud7m++tcsK/VhzuhB+dT&#10;R9YS9b1+s7rYAJj4eoBKFg9xNC+X1cPrfLP6+Sa/eplLwjlbz0AjA4gAvXh4UeIn/M71Jp/NX74U&#10;j7FGeZuVr9ffbGf01JLhfvmm3FwvBC1On78kspW2cFdspSSEB5P71fIRJw+mOmswYWlmCodoCMyP&#10;ZBhPsIThCto7D1IvER3bwlemmI7lYAkxJRTybv7TNQj5FMVNwM+l+EGd+ehgyb0d1fR0AexZf0hI&#10;IwmFe7bIphisKc9J8DWehH6QQYssQrPKpn4CJqSyviDiursRKIMVTtv1tIpQ4ogkBLERayjdoAsG&#10;sYWdGv3YqvSpB2ALexKlZ/dTtAS1RwoJYleqUwhgdwWERZlni5vbOiiU/mdfSdZFeXD2L1B96r24&#10;w6NtvpnNi2KxvrFPPUMvRRXl2Ytn6YJhbFU8ic1uVbh7ALYQFMIyUqYaouWnk22k1KlPzpkGV5yQ&#10;PHUCGQT3dKjWhy0zbLMUZmOkaa/d0v5yD2xRAKvyVx8tiX5VRhskaafU3+iX9hKa6juYhThrVZw9&#10;XfDPvR2sLl0wbK2qSMpmrSqhfQ9E9UVZQbX6mkAWyWy55kYEFSesFUfhrSvRPqZ+WBqNMEjqqtkJ&#10;jeC7UVOrCzVs2Kq85B7Yalgrv0YUGvlpvxnwXSNKhTvwf7iO7JqzVoqS+PBELmeayO3xf7hgyFpx&#10;1ijAaNK5tLq01qf26N5vzznCwhuUjam43Yt8yAZNbIHqpXIgYa9OqvTnFGIrpktp+7AlrFC/tcK8&#10;7f7YqsLWHtaqxxMaURaKcNGz3cSWUaYdYoaWfJ26i67F9boo60mjLAS9OzzhDr5B17xa5E1dcLZH&#10;YYbhCVkCBYGsEVyddbcySslA5UprJdDlPOEReULNMtSkPXm32vsdQtoHCcCg2Eweo3OtHRVxFIPR&#10;0AEhQmKEn4zD+0VIpyV9lFoSOokqQ9dW2ulUDc6ekRSyi0Or5MITtmckURUZaeSCwfIijGBre8LI&#10;qweuw09qWbtH92wI5rwWzKW5qxwnWc5Ou4rjRg/jRplmG0yrZTIMB1ktRNjikyYPhmk2nXZbFFMI&#10;Hp2sFneLStyikh7KXtjqbIVqEgOW0qyocP8QWHJkfkSCisDK5xgF3aIYzP054OJJDR8MrZwz/Tid&#10;KdcZqQlLMws9CJZBWtcLYcBT2PabJizRt+TtaiN3sPxIYQkNsl3GxtE3V0d3h8AS2/FECCesZQSS&#10;vw3Lxq4858SdE+9z4ppjMa2lyascBEukGHHVT8DRT9DmcjHTjFfdKmj4DHbpms5afqTW0kbU8LFE&#10;DQ8xVk+J7Vgx4nXG3bsJDUuzhtJZyz5rCfl0sAKO72pErRSNLiPNtRKyByNt5XjQiIp+GsXx+EmK&#10;1J7Ci1qlZSHmkChuWswMGUygnpHacRK9gpwkiUF04YI6XByqU7KgS9fujkUXhP2Q9DMKOVGujkLe&#10;FrpQZyW2jwve6JRmH58IunQC0qPUYlb6ILp09a4FXboKbjS6sFExVvQPauMY2amm7TJGNAgC2dmu&#10;Y6oNp7Uxg7YLFwyiSyPIgi5d0TQeXSGCPukZoeAmUTsvoW20VbvgSam2p2G7gl1xFy4YRJf2fhZ0&#10;kbyyd0Pq9XKxbWtr8Iycar4FGYPi8ARIatquFLZNxV1iPK6zXUdlu7T8anAgsDk1og7iQHzYF2py&#10;pjgJy0E6ld0YbyU8HcVJbhzgxCWbPckm2awOY4yDY2GJ9sgKljxAiNUyUo4xdhzIPp1aFKh1YCmj&#10;9RGyb8BRg6B8JwltnUG6KarJaXQbWUtMoHSNz9Tr7BqfdQvz1zmCNxSqUI/WYAKCC2rLaSFPgqoB&#10;1dY2AXcuQkRhM0cUuUOgQ4egDBEDKHdUgIN3Y1BzdQMhaDyas4rT/ZWCz4ibO4Uqd6JmuzZvdE1B&#10;hFrzarMzA0/bHvYAHleclzbPqWTmSAc37OFnb7XN04Sxkbig6L22c4ckLhBmMRxH2ig/Zl5HvHUR&#10;oosQ94oQNdNswtJklw+BJQgTMd2L8mn0gWEWWKswMIixCU1FiCjHVxs6+33n+JoC4cqqgVxU4qwH&#10;cl0us9kvlMs2rsKbsBAdbgz/5IgnO4kqeensO9X4cuyD0cymLG1hrME2m4XiCKuyJBVUTThvRH0+&#10;Y7QtQiQ3DMv/ZBVXP3Rd0f1TzffCPiBbyGeKGIcYMfQWVvoDbBgmYbZtWErSveoawwB8N97LZbnb&#10;ObpqlK3REd8uISQcFkIErOt27UYrN3Sv/YUQ08rBchGbSA4aVs7r1KKyMBJDv0Q6A2XXpbbHswsJ&#10;wpXNzo0VP0DDcBo3IrEQobuoZehcAajLIfbKIbT40VOtEppCiIXOo0S219BVE3bG1hOg4D4hlVfA&#10;nAPmqGluBHaMSvKVP3cLRY5ukiGVoHf4PPkZjtAw/DiKyOkpo+dhdFcLDRimXntA1yTkJN8eyTfS&#10;IobBnODgSEIPA/arpVrQ2ECStJxxChq6slKYagFVYjg0G8+c6B5wx4hg7PXF85p1zSOb/IGDI2EZ&#10;ccw7VOYyxKjW9l6IMAVwq2Q4guYrVbfesTwOlh9nk1Ck5Y+eGBEX1BC1xIi8qvyzVAUS5h9UFQjY&#10;wukrmKNLWFnXWvLlEFx0LxzyomHb+4wU39OoOY1sKgYO1og6hADEbKC0qhHFRiVUsrR8cewHInF2&#10;dS5ijL8LEftCRDjGwToXOYDA0CiIqoNUVe3fIZq5LzEmzD/I6FGJIY3BolQIwaXHOoX22MVJigjB&#10;3CXGx5cYa9Wjz6WaCojFpfrVgNmuS2UaeWNpF3DHaC/X6BJ7EWGOa5cqh+/B5xK8xARtnO6X056R&#10;Tz2FKqpIixcdYRWnar9qgRW1FwnDNFSctw+sxEIxmuWPf7BsyNLNwYMYFLaM25AxB7T/sAEy6qGt&#10;KlJZQBWpO9Jmp9o+mWob2dQMHKzBdUjQRp1gAifkzYIwINvTgEKYoJVMeTNXejKdvJ3Tei8wHL/C&#10;YrmcVtwVv3yT5XPsl3PzBfbYghJp1cPk/0yl4xD4IuHgNENXojflsrqk9pYBhkISc0DO8nHR6+i/&#10;Z7zqjpPQ1VFLZI/jCLUEWgj2oUv/ajWq2H2HYbpPAUujUi87c/V8tFgUMdGJbWrEhusKvj05DS6o&#10;44Nu8IlosD9jpu/GgzJm2lNbtYtGyG46K7jRW4y05wQz5lNIaWhJ9iAbgwsGsaXx082XOQWz+2LL&#10;qMfijGMOi/L7NkShWEur0afDOp8EnLSi0cmQ42EtowZLla0aK7cPIl7kym0i7yj1MXDlMw+joyWu&#10;wtQPuwOAQlH6IOLJOEmo2xjY76dfXF78ZHlxbBMzcLC2TYckFpgajoJmZWGwDgqT5emZ6swiZcg8&#10;4BmlmOEa2FwD221mK2cmLnfYfQpg9YoZIjXp4QUx6FG5T+njGk9CPxRG04Z1exD6MULakyAS6Njr&#10;zn4Ws1wk14ydaLtowGfENp+GghtrMcNgU3BwnNHzEYgHqrQ5SpOUNlU3jR4GLpJRdHSKU3CHVh3H&#10;WgYxYWkKIIf4YkwCRx2J8sWQx4iPbsCSyBQasOFg6WA5CEubdBKPlU78CHSzqn6KMNUF6UQTlgGc&#10;Z9X6+Ljks2P5LjaS2svLZfXw9Fg+LZ30sXymjNJl+erqhK7EjA70B4aS6AbBxC1lpbHdplMXIyhA&#10;YaJlVSBMeH/i/IwiyVNgZch7DmYpuKCOKbvQquFjg1ZV2TA2SwG0QCFXWQoFpq0AQJRZySyFZhDJ&#10;1+ktpnbYetIdp8kucQIX7IctC4FMkeYIAhlFfEFcKXQR1Il2PxNP46TKdFwR39EV8SValDASDBys&#10;cXRIguFjW6DeF+iFTC1eq8m+mGMcvEowUCITBVIa7ndf4/s1Dg7lpKz7KituJ28zBEEGsYH352az&#10;XDyzTqRECyQ9UR4uqGFOrlj91CH7ukOc0cSp3GjopSJaw+/WMMeyLle5vJyvUdO1onts//5cbq7e&#10;iZsuhiTeFU+mcCQ2hQMHazQcYvQCP07RsCFbehFdxTLEq9EAASzWrZM+eMEdYdV4m+dqp55z7RT1&#10;MXZqp+Tq0jG1UwlKj1VkBq4ZlSMCdjUsyYSREROZJLwyes3Vd7VnjfN4XDpffGnKeus3K8GtIJ4v&#10;tjPxEJ/DKTMuiZZX+nyxKbUc4oshtOiRfyGqBVUlQQ1z54tXKKk+Xl9sUziSsQoHh5WjWhOSYUOG&#10;jow2lex8sauu32emUGJTOHBwXIhIg658tVMI9TApMSaNhEGusaqEt9gDYyLD5vfuil2I+KxDxF3K&#10;RTKsXHDCdU8RDOkM8pyMAweLYIxaP1R4yZVFsLlBCs6nPTpGrGCTpHIQqOyon/FxpPKTksqUIXSS&#10;DmmeRiUdWGMk3S86bjHItGXn3Eg/5373cb/pLqkDF9SuuCujMcw2NWwZsoG6xBnbNUwbuMeGjjb/&#10;F8Zptd00SKFutFs9MWQcLyHyarRsgBoa9OXPyOAZlHh2VmaL5efrq0n5bjs/n5b5IlvfLOdo5hSs&#10;3xGnHKlN88DBGlCH0H9o6cYGBEn/MYR2fmde85PNnHex3XOO7VKtVxhSHA6OgyXzsSBLpRyYF0TT&#10;o/BENS3ydJsQHCqfNSq1VtLD3KWmbtL1xBgVqbxtt+hA7DMYUXTghzyl3kdiedA9ApqnVcbCPEgy&#10;ygWrsdIu4aj7GOjRBxPfSCkbrJCS8VIj+zSHUnGykwI0FkD5VYXUHvNdzBQWqYqoUgGgkhBiXctY&#10;4qRIayikO6mlvEKYkY7hEcI5hNY3Z3c30HXx7bvBjI/bxexVVmbmz3h8tz2b883tZnk1zz/7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IEgAABb&#10;Q29udGVudF9UeXBlc10ueG1sUEsBAhQACgAAAAAAh07iQAAAAAAAAAAAAAAAAAYAAAAAAAAAAAAQ&#10;AAAAYx8AAF9yZWxzL1BLAQIUABQAAAAIAIdO4kCKFGY80QAAAJQBAAALAAAAAAAAAAEAIAAAAIcf&#10;AABfcmVscy8ucmVsc1BLAQIUAAoAAAAAAIdO4kAAAAAAAAAAAAAAAAAEAAAAAAAAAAAAEAAAAAAA&#10;AABkcnMvUEsBAhQAFAAAAAgAh07iQP9T687XAAAABgEAAA8AAAAAAAAAAQAgAAAAIgAAAGRycy9k&#10;b3ducmV2LnhtbFBLAQIUABQAAAAIAIdO4kDgIguKER4AALRgAQAOAAAAAAAAAAEAIAAAACYBAABk&#10;cnMvZTJvRG9jLnhtbFBLBQYAAAAABgAGAFkBAACpIQAAAAA=&#10;">
                      <o:lock v:ext="edit" aspectratio="f"/>
                      <v:shape id="_x0000_s1026" o:spid="_x0000_s1026" style="position:absolute;left:0;top:0;height:7273290;width:5160010;" filled="f" stroked="f" coordsize="21600,21600" o:gfxdata="UEsDBAoAAAAAAIdO4kAAAAAAAAAAAAAAAAAEAAAAZHJzL1BLAwQUAAAACACHTuJA/1PrztcAAAAG&#10;AQAADwAAAGRycy9kb3ducmV2LnhtbE2PQWvCQBCF7wX/wzKFXkrdRKxIzMaDIJVSkMbW85odk9Ds&#10;bMyuif33Hb3Yy4PhPd77Jl1ebCN67HztSEE8jkAgFc7UVCr42q1f5iB80GR04wgV/KKHZTZ6SHVi&#10;3ECf2OehFFxCPtEKqhDaREpfVGi1H7sWib2j66wOfHalNJ0euNw2chJFM2l1TbxQ6RZXFRY/+dkq&#10;GIptv999vMnt837j6LQ5rfLvd6WeHuNoASLgJdzDcMVndMiY6eDOZLxoFPAj4abszePJDMSBQ/H0&#10;dQoyS+V//OwPUEsDBBQAAAAIAIdO4kAGWsDFpx0AAPtfAQAOAAAAZHJzL2Uyb0RvYy54bWztXUuP&#10;49h53QfIfxC0zzR5+S5MjdGpnrENNDwDTGKvWSqpSrFeJtnd1V56key8DAIkMJAg9mqSlbeBf41n&#10;5mfkfPfFS/KSklhd1Sr1bdttFsmWVNLR9zjne3z+k/v1avJ2XpTL7eZy6n/mTSfzzWx7s9zcXk7/&#10;8R+++rt0OimrfHOTr7ab+eX0/byc/uSLv/2bz9/tLuZse7dd3cyLCR5kU168211O76pqd/HiRTm7&#10;m6/z8rPtbr7BxcW2WOcVfixuX9wU+Ts8+nr1gnle/OLdtrjZFdvZvCxx9pW4OJWPWBzygNvFYjmb&#10;v9rO3qznm0o8ajFf5RV+pfJuuSunX/BXu1jMZ9XXi0U5ryaryyl+04r/jSfB8TX9/eKLz/OL2yLf&#10;3S1n8iXkh7yE1u+0zpcbPKl+qFd5lU/eFMvOQ62Xs2JbbhfVZ7Pt+oX4Rfg7gt/C91rvzVW+eZuL&#10;X2aG91q9QBx9wMe9vsV7gIe8eIePds6P8cGWO/0Rlw97sm/v8t2cfyDlxewXb78pJsubyylAtsnX&#10;gNf3//ov3//Hd9//5z9PUvow3u34Xd/ucF91//fbe0BUnS9xkt7j+0Wxpv/Huzeh67GX4T/TyXv9&#10;gc7vq8mMLvlJEKa4NMM1FniRF9GDvagfY1eU1U/n2/WEDi6nBQDDP8f87euyEreqW+gpN9uvlqsV&#10;zucXq83k3eU0DiKP/wN9BQ++2uA56DcRr5iOqvvre/nrXW9v3uO3K7YCjOVu9tUST/46L6tv8gLo&#10;w+vF97P6Gn8tVls8yVYeTSd32+K3tvN0Pz4mXJ1O3gHNl9PyN2/yYj6drH6+wQeY+WGIh634D2GU&#10;MPxQmFeuzSubN+urLb4wPizBbsYP6f5qpQ4XxXb9K3yNX9Kz4lK+meG5L6eVOryqxHcMZmA2f/mS&#10;3wTA7/Lq9eZbgq8v37SXb6rtYsnfaXqbxHsj3z2AUADi0dGYddGYKdQBs0ehMfNYGOM9AeKCyPcj&#10;jrj8QkEySmMfKBSIxCcRPhoiy+1qeUNwJbQSiK9WxeRtjs/1epXPfi2/CMZdDrkA8TNDrg+kCUP6&#10;w7//+fvf//GH//2fv/73n3/8yx/o+Ls/TXBdmh3g+GojDCigcL9RZnh5A0PJ6C6AdHOjruArwa/w&#10;f8+NmX6A2rLVdlTaYuZnURoI9Nf2tkY/rpAp9pkXw27iOftNcVkV+fL2rrrabjawyttCmIxDDXPg&#10;J/QtI1O4QGSAw/XuBmZxcwsbtbpF6DOrCm6EjG9AflEWt9f6e+LxP90vivg6vcrLO/F94o8g3sEq&#10;X66+3NxMqvc7OLeqWOab2xXMMKx4uYY1nuOJcSB+c4ufEAaQLtO7/HQW0IetbztknMMLoddxrA1M&#10;EpaRi8FHHUWhj8hGvDvKCIZp4sHwcSwEWZB4e7Dg3DK9m5+cW/aZBZTcVI0AZRpShC0wGUZZAisF&#10;dNemKcwycsYuVHShoshM7YkLjJkFlDg5zlRKQHosjhE0NgDJWJLFEpBRBng+WqTocpdnnLv4dQhY&#10;59J0chwgWeQjNAPs4LvjKArgeBqoxMWUR1a4Hnph6FCJ9Npl1DpOlPyOb/XdODkSlTHLokCgMoi9&#10;GJxOA5WNrNrxPI7n6XHePIzmvGNPuizMnQwvu/myyoq7+bIfxA/OmKMszkQqVIelfqbYIj9IQxG0&#10;uqSZPqCaXP1oSTPTsWAfnMy4sAsnn0jZHgLGDxTYuK07mILxwzjMKJGh5DvwkqCd6EhmBJdxNYMv&#10;hyV1iDoVROmUtw9Rpgu1IEqjxmaiksNN1GSxWu5+poh6JbWEsZ8kMmfhRHbLD3M5RKTQjDFH8dmk&#10;oI9nrQKVufZhKzDCMxu2lIvj9zXoYp6FcEvGLd6wteLY+mULWyyASCUJmjRK0rQlnPiAE5INDi7A&#10;7Gys1g1o5FfbSsSzz5Y+ZuE+bIUtbMlEoEfUTeNEgSFKvYCBCGkE/EEWBpQPkJoQJf75wOEctASG&#10;D2ZQlMIN8uPXohKkF61K+ZFyVDYnhtKBQ5UpqxOLkiSFZ+LxURj6gQCPEXEz8nBcpopT5uKj0/Jh&#10;cEHD0IqHoUX0LYePxYdp2I32YZKy5aG3nyZtShfUeqLKUZzVstcbfLzwCEZnGFrJILRUumYBFpFh&#10;hwZHpEkpNT1EFEQSAPAUJmEgakUMSxV6mbZVxBOcSyZ3JjGRpcjNZ2PL3KBe+sR7EhigmAdZu7Io&#10;QJyk9CLmKot4DZ2riTugzLSPK4VB65SEsPF1caA2ZZVmiKKQtA3f0EesJQMvB19RAurgOx6+VIXW&#10;ga/gQkdUj6ByHUmDdMU+6kfaWYOzvs1KZVeRfGCRf4/1DbS0YKj6OFnnzcdVJfs+Varz4IElSFNa&#10;xG1DQHXBgwseDu1R6YOv1jFM+JraxTHwRewbRCCECb5+nKWxIJDqTChIfdTqyuI9B18H34fCV0sl&#10;JnxNeeQY+PpZlmYydWMpC6klqcFmu9jXBQ+qgfKoDsE+66vVGBO+pgJzHHx9P5PWl4WIg9upmwse&#10;HHw/KHy1fmTC19SMjoNvlsVI13jwgH482W1SBw+hF6TUscebRF3w4IKHhwYPWqMy4WvqUsfAF8xD&#10;EJKiitg3CaJuOVeacOPs0EvN0o43O3i6QF/soGUwE72m9HUMeqFZJD5RcUBv7KVAbyv0jdI01m1X&#10;zvg64/tQ42sT3YLRoluaMilaRBgzEXVosyRDL7MLHcSkCmd8H2x8bZobSnpHsr4M5bqqFBwhMBpj&#10;HO9AMYIbo/IoQ314O0NHc0OPw0j4+gFjUnOLPOC3XRIcx9CRnfXV04Gc5vYwzS20aW44OQ6+mDeA&#10;mEEkbgwdORQGN1nfBDqGg6+DL8bmfQjWN7SJFjg5Dr5BjCocKVrgAOMJXPDACQYXPDxS8GATLcKx&#10;ogXgi0lswvoGCcMgQAdfB18+s/SR4AusdWPfsaIF4MtimrMheDM0Azv4Ovg+JnxtokU4VrRAxQP+&#10;K+CLgTFUntOKfV21b2Owq0vdHpi62VSLcKxqEcQhWi1k8MBSj1pRG6mbq/Z1FQ8fsuIhtKkWODk2&#10;dQuDWIpuLGboOXLwdcHDYwYPNtkiHCtbBBFG2MjYlyHyzUCSNayvqzdz1vdDWl8iYTupmwDdiFYh&#10;mF6owiJ4QLF6krVFY1ft6+D7QeFrky2isbIFrG/mKfgyTFlpyxbO+jr4flD42lqForGtQuhySxIa&#10;qwfiDMMTqPC3ETtgrhC652XFjpsU6iaF9pRBRjYxDSfHZWR+gKm1EpXoAPIzURRh1KA/mRbshn0/&#10;52HfkU0kw8mRsMTc+UTStH6CxS1toiDyQ9427IrLXXH5hyhRQOeYJdMaK5L5IGZDavuFr/e9BCVi&#10;LaIA1WGe6+yp18c5leFhKkNkE8lwcqT19WMW675KlIe1eyOwJolPfHp86+uCgmcdFNjELwwzHAdL&#10;VMvoonGsc0O/JD2QEao66dZJt3Lb7weJCbT21TOWOjJ1MMtYaozU6x+ij+jgQdNikathcJmUgrGF&#10;qdM9XI/T9zNobTyWceP0T2ScfqSFqT5smSKVBVukonL8WCYRYxbeg7GFQgOBrRDjz7srwCLiDMj9&#10;+3EAW0yG2GHrRLBFiYVQjXqwJab/SgXJgi2NHwu2UHl1MLbMibGwQRpRPPlpOe96nQxLAybyJYeo&#10;U0GUFnL6EGWKOoQoGeGVxmb0eua5dc2COVg/TqkhuxnducH6J7ykN9ZSSR9ATNnEYnL0dhjbkGpp&#10;cTjGRizwQKc/XwdIbEyUBAnNVGkkDhlWsMLZkTtzCzzIj5/S/udY6x190DK1Dwu0iBvpG6wfgLU+&#10;dP651WrRTko+3BrYYRFC7vYodHQ6x6oRPwzFVefXTsWvadGiD1umgNHj14wox48Ytpwh/KLAmK+S&#10;b1kabFnAoCcp8lIM7eJmuVFeRAqEi4+2Z4ESnuG42dQDDkFD6GMis0ADxnGQHWj4nTDByEWZRznb&#10;cGp+R1PqfbbBpNctfkfv3bRkUbQh6lD2x7Av4HwS6hck+5KhdUXsAKoZUN7OItLyJJSzaJ2zORVn&#10;o8nwPkCZxLgNUAo0NkCpRS7CpdCvrDdY1b9/fnG/KNYmoDDAOFImKvSwBoibuBpRTBM9LEt8ocI7&#10;RNXvKB19PIe1j6CO9xDUgUKNDVEqND4aUTSJVTq9kNe0NZweRBrl8uLQF5NTHKJOBVH7aOl4Hy2t&#10;UGNDFDK5MU4P40oCCpopxcJgnc6kPgknP/GcgTqt3J2+6YMRtZBwCfzaWzX2LQYKMjY4gZQ8FE41&#10;99h0fojA8RIBLGyc9rAXuBmfExkkhu9iYAOyA5esnU6yluyjpHEDPq8BaCn4WKClhdsDfF8ftBgZ&#10;Iw6tCF6uPeSjjqtwEQOZHLY2J4QtzWYbk2YTjhOJp2MmzbIIG8elmUHKhrWu/NOuY2xQiCl1FRL/&#10;HHqcqh60NMV8Vk3JjuVvX5eVuHVXlNVP51se2+uaKXIGE5SE8OXn9A/0FXuuXd1f38vvjIhpJ8W2&#10;upwCxuVu9tUST/E6L6tv8iLnJ6lo72s5JOtyWhfzuTlEjzPIJdkX7uOGQZOnzVpXZAF3/UAmHGvS&#10;mSdTySBFoNaueYWoS+G+k1nKtbT2pySzJPsif9wwCC6aFMDDMQu4aAk7vzZWwgs9wEv2A7AkyIJ2&#10;62qAfgCl4cGcno8/PY+Ns+k+oQU3DKJLJwI2dCmBbyy6GHj6RI2lyACkdiLgQzJWss1ZEfVngq59&#10;zGq6j1lV9smGLoQ/D7JdLMSKLTmrHbFgkrVzAfTg6UUZaiDVWTBiZ4KufWFXuifs0iyrDV2KgR1t&#10;u1AXpTcQpjBj7ap4VAmTIs2Ti3OqPzgTcO0Lu9J9YRdsX2/YhWj7QaYLYVcCWlXQGPghEyRYnboy&#10;Bs8o0eVKp06tdIqcziD9KqLoAY5MAahruXzwIQ8DFzb2BWqaEnXuJO2JCL6f8n4fMl28mQERovOL&#10;n/MKyBMol8k0A/vj7/7tr//3Xz/+5Q/f//6PP3z3p4mPS8PRfAM7MCebm6v7DeCEsini3A82Wpyf&#10;8pHv0R/OiW0Xi8k9HiYzduuxJGUI3/GSasuF8V1k2Ahb4F8zEfH3o+t6vqmutpsNqLdtEdTsGz3k&#10;7Y38luU3/4T3ZLFegR97m68mYIAzivwEbjlbxxE8SNbJtp18dzldrPIKL3G9w/tSbm6nk3x1u7mc&#10;zqqCv4Byu1refLVcrehFlMXt9dWqmOB5Qc6J90M8b+M2eupXeXkn7uOXxPtS5cvVl5ubSfV+N7+c&#10;VsUy39yu5lOiD8FXnHDpMbECwsgZZK3oSBlB1vqMYcYmHhK48BFLdcrQMUNLl0RgnBaljeJtVpUV&#10;6sOd0MHl1JG1RH1v3qyvtgAmvh6gkvkhzhbVSh0uiu36V9vi5mUhCOd8MwONDCAC9PzwqsJP+DeL&#10;bTGbv3zJj2fb9S6vXm++3c3ooQXD/fJNtV0sOS1On78gsqW28K7cCUkIB5P79eoRJw9mOmswYWlm&#10;CsdoCH4QizCeYAnDFbZ3HmReyju2ua/MMB3LwRJiSsTl3eLnGxDyGYqbgJ9r/oO88snBknl7qunp&#10;Btiz/pCQRhJy92yRTTFYU1wT4Gs8CP0gghZRhGaVTYMUTIiyviDiursRKIPlTtv1tPJQ4oQkBL4R&#10;ayjdoBsGsYWdGv3YUvrUA7CFPYnCswcZWoLaI4U4sSvUKQSw+wLCsiry5e1dHRQK/3OoJOuiPDj7&#10;F6g+9V68w9Gu2M7mZbnc3NqnnqGXQkV59uJZumEYW4onsdkthbsHYAtBISwjZaoRWn462UZGnfrk&#10;nGlwxRnJU2eQQTBPh2p92DLDNkthNkaa9tot7S8PwBYFsDJ/DdCSGKgy2jDNOqX+Rr+0l9JU38Es&#10;xFmr8uLpgn/m7WF16YZha6UiKZu1UkL7AYjqi7JCtfqaQBaLbLnmRjgVx60VQ+GtK9E+pX5YGo0w&#10;SOrK2QmN4LtRU6sLNWzYUl7yAGw1rFVQIwqN/LTfDPiuESXDHfg/3Ed2zVkrSUl8fCKX+ZrI7fF/&#10;uGHIWjG/UYDRpHNpdWmtTx3Qvf8zReVIT4iFNygbk3G7FweQDZrYAtVL5UDcXp1V6c85xFa+LqXt&#10;wxa3Qv3WCvO2+2Mrha0DrFWPJzSiLBThome7iS2jTDvCDC3xPHUXXYvrdVHWk0ZZCHr3eMI9fIOu&#10;ebXIm7rg7IDCDMMT+ikUBLJGcHXW3cooJQOVK6wVR5fzhCfkCTXLUJP25N1q73cMaR+mAINkM1mC&#10;zrV2VMRQDEZDB7gIiRF+Ig7vFyGdlvRJaknoJFKGrq2006UanD0jKUQXh1bJuSf8ZSvKoioy0sg5&#10;g+XFGMHW9oSxVw9ch5/UsnaP7tkQzFktmAtzpxwnWU7dlKLaVRw3ehw36mu2wbRaJsNwlNVChM0/&#10;afJgmGbTabdFMQXn0clqMbeoxC0q6aHsua3O16gmMWApzIoM94+BJUPmRyQoD6wChlHQLYrB3J8D&#10;Lp7U8MHQyjnTT9OZMp2RmrA0s9CjYBlmdb0QBjxFbb9pwhJ9S96+NnIHy08UltAg22VsDH1zdXR3&#10;DCyxHY+HcNxaxiD527Bs7MpzTtw58T4nrjkW01qavMpRsESKkah+AoZ+gjaXi5lmTHWroOEz3Kdr&#10;Omv5iVpLG1HDxhI1LMJYPSm2Y8WI1xl37yY0rMwaSmct+6wl5NPBCji2rxFVKRpdRpppJeQARtrK&#10;8aARFf00kuMJ0gypPYUXtUrrR5hDIrlpPjNkMIF6RmrHWfQKMpIkBtGFG+pwcahOyYIuXbs7Fl0Q&#10;9iPSzyjkRLk6Cnlb6EKdFd8+znmjc5p9fCbo0glIj1KLWemD6NLVuxZ06Sq40ejCRsVE0j+ojfPJ&#10;TjVtlzGigRPIznadUm04rY0ZtF24YRBdGkEWdOmKpvHoihD0Cc8IBTeN23kJbaNV7YJnpdqeh+0K&#10;98VduGEQXdr7WdBF8srBDamL1XLX1tbgGRnVfHMyBsXhKZDUtF0ZbJuMu/h4XGe7Tsp2afnV4EBg&#10;c2pEHcWBBLAv1ORMcRKWg3QquzHeins6ipPcOMCJSzZ7kk2yWR3GGCfHwhLtkQqWLESI1TJSjjF2&#10;HMghnVoUqHVgKaL1EbJvyFCDIH0nCW2dQboZqslpdBtZS0ygdI3P1OvsGp91C/M3BYI3FKpQj9Zg&#10;AoIbastpIU9C1YBqa5uAO+chIreZI4rcIdChQ1CEiCGUOyrAwasxqLm6gRA0Hs1ZxeX+SsFnxM2d&#10;Q5U7UbNdmze6piBGrbna7OyDp20PewCPy68Lm+dUMnOkgxv28Iu32uZpwthIXFD0Xtu5YxIXCLMY&#10;jiNsVJD4Xke8dRGiixAPihA102zC0mSXj4ElCBM+3YvyafSBYRZYqzAwTLAJTUaIKMeXGzr7fef4&#10;mgLuytRALipx1gO5rlf57NfSZRt34UVYiA43hn9ywpOdeJW8cPadanwx9sFoZpOWtjTWYJvNQkmM&#10;VVmCClITzhtRX+D7tC2CJzc+lv+JKq5+6Lqi+6ea74V9QLaQzxQxjjFi6C1U+gNsGCZhtm1YRtK9&#10;7BrDAHw33stlubs5umqkrdER3z4hJBoWQjis63btRis3dK/DhRDTysFyEZtIDhpWzuvUovpRzId+&#10;8XQGyq5LbU9nFxKEK5udGyt+gIZhNG5EYCFGd1HL0LkCUJdDHJRDaPGjp1olMoUQC51HiWyvoVMT&#10;dsbWE6DgPiWVl8OcAeaoaW4Edj6V5Et/7haKnNwkQypB7/B54jMcoWEESRyT05NGz8PorhYaMEy9&#10;9oCuSchJvj2Sb6xFDIM5wcmRhB4G7KulWtDYQJK0nHEGGlpZKUy1gCoxHJqNZ050D7hjRDD2+up5&#10;zbpmsU3+wMmRsIwZ5h1KcxlhVGt7L0SUAbgqGY6h+QrVrXcsj4Plp9kkFGv5oydGxA01RC0xIlOV&#10;f5aqQML8g6oCAVs4fQlzdAlL61pLvgyCi+6FQ140bHufkeJ7HjWnsU3FwMkaUccQgJgNlKkaUWxU&#10;QiVLyxcnQcgTZ1fnwsf4uxCxL0SEYxyscxEDCAyNgqg6SFVq/w7RzH2JMWH+QUaPSgxpDBalQggu&#10;Pb9TaI9dnKSIEMxdYnx6ibFWPfpcqqmAWFxqoAbMdl2qr5E3lnYBd4z2co0uvhcR5rh2qWL4Hnwu&#10;wYtP0MblfjntGfnUc6iiirV40RFWcan2qxZYUXsRN0xDxXmHwIovFKNZ/viDZUOWbg4WJqCwRdyG&#10;jDmk/YcNkFEPrapI9UOqSN2TNjvV9slU29imZuBkDa5jgjbqBOM4IW8WRiHZngYUohStZNKbudKT&#10;6eTtnNZ7geH4LRbLFbTirvzNm7yYY7+cmy9wwBaUWKseJv9nKh3HwBcJB6MZugK9GRPVJbW3DDEU&#10;kpgDcpaPi15H/z3jVXeMhK6OWiJ6HEeoJdBCsA9d+FerUcXuOwzTfQpYGpV6+YWr56PFooiJzmxT&#10;IzZcK/j25DS4oY4PusEnosH+jJm+Gw/KmGlPrWoXjZHddFZwo7cYac8ZZsznkNLQkuxBNgY3DGJL&#10;46ebLzMKZg/FllGPxXyGOSzS79sQhWItrUafD+t8FnDSikYnQ06GtYwaLCpbNVZuH0W8iJXbRN5R&#10;6mPgKvA9jI4WuIqyIOoOAIp46QOPJ5M0pW5jYL+ffnF58ZPlxYlNzMDJ2jYdk1hgajgKmqWFwToo&#10;TJanR6ozi8xH5gHPKMQM18DmGtjucls5M3G5w+6TA6tXzOCpSQ8viEGP0n0KH9d4EPqhNJo2rNuD&#10;0I8R0Z4EnkAnXnf2M5/lIrhm7ETbRwM+I7b5PBTcRIsZBpuCk+OMXoBAPJSlzXGWZrSpumn0MHCR&#10;jKKjU5yCO7TqONEyiAlLUwA5xhdjEjjqSKQvhjxGfHQDlkSm0IANB0sHy0FY2qSTZKx0EsSgm2X1&#10;U4ypLkgnmrAM4TxV6+Pjks+O5bvaCmqvqFbq8PxYPi2d9LF8pozSZfnq6oSuxIwO9AeGkugGwcQt&#10;aaWx3aZTF8MpQG6iRVUgTHh/4vyMIslzYGXIew5mKbihjim70KrhY4OWqmwYm6UAWqCQVZZCgWkr&#10;AOBlViJLoRlE4nl6i6kdtp50x2m6T5zADYdhy0IgU6Q5gkBGEV+YKIUuhjrR7mdiWZKqTMcV8Z1c&#10;EV+qRQkjwcDJGkfHJBgBtgXqfYFe5MvFazXZlzCMg5cJBkpk4lBIw/3ua3y/xtGhnJB1X+Xl3eRt&#10;jiDIIDbw+txslqtn1omUaoGkJ8rDDTXMyRXLnzpkX3eIM5o4pRuNvIxHa/i3NcyxrMtVLq/mG9R0&#10;rek9tn9/rrc37/mbzockviufTOFIbQoHTtZoOMbohUGSoWFDtPQiukpEiFejAQJYolsnA/CCe8Kq&#10;8TbP1U4959op6mPs1E6J1aVjaqdSlB7LyAxcMypHOOxqWJIJIyPGM0l4ZfSay+9qzxrn8bh0vvja&#10;lPU2b9acW0E8X+5m/BCfwzkzLqmWV/p8sSm1HOOLIbTokX8RqgVlJUENc+eL1yipPl1fbFM40rEK&#10;B4OVo1oTkmEjHx0ZbSrZ+WJXXX/ITKHUpnDg5LgQkQZdBXKnEOphMmJMGgmDWGOlhLfEA2MiwuYP&#10;7opdiPisQ8R9ykU6rFwwwnVPEQzpDOKaiAMHi2CMWj9UeImVRbC5YQbOpz06hq9gE6RyGMrsqJ/x&#10;caTyk5LKlCF0kg5hnkYlHVhjJNwvOm4xyLRl59xIP+d+D3G/2T6pAzfUrrgro/mYbWrYMmQDdYkz&#10;tmuYNvCADR1t/i9KMrXdNMygbrRbPTFkHE/B82q0bIAaGvTlz8jgGZR4flHly9WXm5tJ9X43v5xW&#10;xTLf3K7maObkrN8JpxyZTfPAyRpQx9B/aOnGBgRB//kI7YLOvOYnmznvYrvnHNtlWq8wpDicHAdL&#10;P8CCLJlyYF4QTY/CA9W0yNNtQnCofNao1FpJD3OXmbpJ1xNjVKT0tt2iA77PYETRQRCxjHofieVB&#10;9whonlYZi+9BkpEuWI6VdglH3cdARx9NfCOlbLBCSsRLjezTHErFyE5y0FgAFagKqQPmu5gpLFIV&#10;XqUCQKURxLqWscRFntZQSHdWS3m5MCMcwyOEcwitZxf4HxeAbzHj4245e5VXufkzjt/tLuZse7dd&#10;3cyLL/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yAAAFtDb250ZW50X1R5cGVzXS54bWxQSwECFAAKAAAAAACHTuJAAAAAAAAAAAAAAAAABgAA&#10;AAAAAAAAABAAAAD5HgAAX3JlbHMvUEsBAhQAFAAAAAgAh07iQIoUZjzRAAAAlAEAAAsAAAAAAAAA&#10;AQAgAAAAHR8AAF9yZWxzLy5yZWxzUEsBAhQACgAAAAAAh07iQAAAAAAAAAAAAAAAAAQAAAAAAAAA&#10;AAAQAAAAAAAAAGRycy9QSwECFAAUAAAACACHTuJA/1PrztcAAAAGAQAADwAAAAAAAAABACAAAAAi&#10;AAAAZHJzL2Rvd25yZXYueG1sUEsBAhQAFAAAAAgAh07iQAZawMWnHQAA+18BAA4AAAAAAAAAAQAg&#10;AAAAJgEAAGRycy9lMm9Eb2MueG1sUEsFBgAAAAAGAAYAWQEAAD8hAAAAAA==&#10;">
                        <v:fill on="f" focussize="0,0"/>
                        <v:stroke on="f"/>
                        <v:imagedata o:title=""/>
                        <o:lock v:ext="edit" aspectratio="f"/>
                      </v:shape>
                      <v:shape id="_x0000_s1026" o:spid="_x0000_s1026" o:spt="202" type="#_x0000_t202" style="position:absolute;left:1609090;top:0;height:230505;width:1173480;"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JP9sIj4CAABsBAAADgAAAGRycy9lMm9Eb2MueG1srVRL&#10;jhoxEN1Hyh0s70M332EQzYgMIoqEMiORKGvjdtMt2S7HNnSTAyQ3yCqb7HMuzpGyGxg0yWIWEZIp&#10;+xWv/F6Vmd41SpK9sK4CndFuJ6VEaA55pbcZ/fRx+WZMifNM50yCFhk9CEfvZq9fTWszET0oQebC&#10;EiTRblKbjJbem0mSOF4KxVwHjNAIFmAV87i12yS3rEZ2JZNemo6SGmxuLHDhHJ4uWpCeGO1LCKEo&#10;Ki4WwHdKaN+yWiGZR0murIyjs3jbohDcPxSFE57IjKJSH1csgvEmrMlsyiZby0xZ8dMV2Euu8EyT&#10;YpXGoheqBfOM7Gz1F5WquAUHhe9wUEkrJDqCKrrpM2/WJTMiakGrnbmY7v4fLf+wf7SkyjOKbddM&#10;YcOPP74ff/4+/vpGxsGe2rgJZq0N5vnmLTQ4NOdzh4dBdVNYFb5RDwn4KL3FDyWHi8Wi8YQHqHvT&#10;H4wR4oj1+ukwHQay5InDWOffCVAkBBm12MLoLNuvnG9TzymhpIZlJWVso9SkzuioP0zjDy4IkkuN&#10;NYKS9sYh8s2mOcnbQH5AdRba8XCGLyssvmLOPzKL84D3xRfjH3ApJGAROEWUlGC//us85GObEKWk&#10;xvnKqPuyY1ZQIt9rbOBtdzBAWh83g+FNDzf2GtlcI3qn7gFHuItv0/AYhnwvz2FhQX3GhzUPVRFi&#10;mmPtjPpzeO/bqceHycV8HpNwBA3zK702PFC3ds53HooqOh1sar05uYdDGHt1ejBhyq/3MevpT2L2&#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pisx3YAAAABgEAAA8AAAAAAAAAAQAgAAAAIgAAAGRy&#10;cy9kb3ducmV2LnhtbFBLAQIUABQAAAAIAIdO4kAk/2wiPgIAAGwEAAAOAAAAAAAAAAEAIAAAACcB&#10;AABkcnMvZTJvRG9jLnhtbFBLBQYAAAAABgAGAFkBAADXBQAAAAA=&#10;">
                        <v:fill on="f" focussize="0,0"/>
                        <v:stroke on="f" weight="0.5pt"/>
                        <v:imagedata o:title=""/>
                        <o:lock v:ext="edit" aspectratio="f"/>
                        <v:textbox>
                          <w:txbxContent>
                            <w:p w14:paraId="67C9349A">
                              <w:pPr>
                                <w:spacing w:line="240" w:lineRule="exact"/>
                                <w:jc w:val="center"/>
                                <w:rPr>
                                  <w:rFonts w:hint="default" w:ascii="Times New Roman" w:hAnsi="Times New Roman" w:eastAsia="宋体" w:cs="Times New Roman"/>
                                  <w:sz w:val="15"/>
                                  <w:szCs w:val="18"/>
                                  <w:lang w:val="en-US" w:eastAsia="zh-CN"/>
                                </w:rPr>
                              </w:pPr>
                              <w:r>
                                <w:rPr>
                                  <w:rFonts w:hint="default" w:ascii="Times New Roman" w:hAnsi="Times New Roman" w:cs="Times New Roman"/>
                                  <w:sz w:val="15"/>
                                  <w:szCs w:val="18"/>
                                  <w:lang w:val="en-US" w:eastAsia="zh-CN"/>
                                </w:rPr>
                                <w:t>再生料（沥青混凝土层）</w:t>
                              </w:r>
                            </w:p>
                          </w:txbxContent>
                        </v:textbox>
                      </v:shape>
                      <v:shape id="_x0000_s1026" o:spid="_x0000_s1026" o:spt="202" type="#_x0000_t202" style="position:absolute;left:1902460;top:351155;height:245745;width:586105;" filled="f" stroked="t" coordsize="21600,21600" o:gfxdata="UEsDBAoAAAAAAIdO4kAAAAAAAAAAAAAAAAAEAAAAZHJzL1BLAwQUAAAACACHTuJAQ4vKJ9cAAAAG&#10;AQAADwAAAGRycy9kb3ducmV2LnhtbE2PwU7DMBBE70j8g7VI3KiTqi1VGqcHRA9ICIkWUY5OvI0j&#10;7HWI3bTw9Sxc4DLSakYzb8v12Tsx4hC7QArySQYCqQmmo1bBy25zswQRkyajXSBU8IkR1tXlRakL&#10;E070jOM2tYJLKBZagU2pL6SMjUWv4yT0SOwdwuB14nNopRn0icu9k9MsW0ivO+IFq3u8s9i8b49e&#10;wePr/uN+8/SW7bF23Xx0t/bhq1bq+irPViASntNfGH7wGR0qZqrDkUwUTgE/kn6VvWU+XYCoOZTP&#10;5jOQVSn/41ffUEsDBBQAAAAIAIdO4kBG3R80WwIAAJgEAAAOAAAAZHJzL2Uyb0RvYy54bWytVMFu&#10;EzEQvSPxD5bvdHfTbGiibqqQqgipopUC4ux4vVkL22NsJ7vlA+APOHHhznf1Oxh7kzYqHHrg4sx4&#10;Zp/nvZnJ+UWvFdkJ5yWYihYnOSXCcKil2VT044erV2eU+MBMzRQYUdE74enF/OWL887OxAhaULVw&#10;BEGMn3W2om0IdpZlnrdCM38CVhgMNuA0C+i6TVY71iG6VtkozydZB662DrjwHm8vhyDdI7rnAELT&#10;SC4ugW+1MGFAdUKxgJR8K62n81Rt0wgebprGi0BURZFpSCc+gvY6ntn8nM02jtlW8n0J7DklPOGk&#10;mTT46APUJQuMbJ38C0pL7sBDE0446GwgkhRBFkX+RJtVy6xIXFBqbx9E9/8Plr/f3Toi64pOKTFM&#10;Y8Pvf3y///n7/tc3Mo3ydNbPMGtlMS/0b6DHoTnce7yMrPvG6fiLfEiMT/PReIIS31X0tCyKshx0&#10;Fn0gHOPl2aTIS0o4xkfj8vU4xbNHHOt8eCtAk2hU1GEbk7psd+0D1oSph5T4rIErqVRqpTKkq+jk&#10;tMzTBx6UrGMwpsVPlsqRHcNhWCvGP8eyEOsoCz1l8DKyHthFK/Trfi/FGuo7VMLBMEre8iuJuNfM&#10;h1vmcHaQNm5XuMGjUYDFwN6ipAX39V/3MR9bilFKOpzFivovW+YEJeqdwWZPi/E4Dm9yUK8ROu44&#10;sj6OmK1eAjIscI8tT2bMD+pgNg70J1zCRXwVQ8xwfLui4WAuw7AhuMRcLBYpCcfVsnBtVpZH6EH2&#10;xTZAI1NHokyDNnv1cGCTuPvlihtx7Kesxz+U+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Di8on&#10;1wAAAAYBAAAPAAAAAAAAAAEAIAAAACIAAABkcnMvZG93bnJldi54bWxQSwECFAAUAAAACACHTuJA&#10;Rt0fNFsCAACYBAAADgAAAAAAAAABACAAAAAmAQAAZHJzL2Uyb0RvYy54bWxQSwUGAAAAAAYABgBZ&#10;AQAA8wUAAAAA&#10;">
                        <v:fill on="f" focussize="0,0"/>
                        <v:stroke weight="0.5pt" color="#000000 [3204]" joinstyle="round"/>
                        <v:imagedata o:title=""/>
                        <o:lock v:ext="edit" aspectratio="f"/>
                        <v:textbox>
                          <w:txbxContent>
                            <w:p w14:paraId="4A22AB2E">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运输卸料</w:t>
                              </w:r>
                            </w:p>
                          </w:txbxContent>
                        </v:textbox>
                      </v:shape>
                      <v:shape id="_x0000_s1026" o:spid="_x0000_s1026" o:spt="32" type="#_x0000_t32" style="position:absolute;left:2195830;top:230505;height:120650;width:0;" filled="f" stroked="t" coordsize="21600,21600" o:gfxdata="UEsDBAoAAAAAAIdO4kAAAAAAAAAAAAAAAAAEAAAAZHJzL1BLAwQUAAAACACHTuJAEJ9ds9cAAAAG&#10;AQAADwAAAGRycy9kb3ducmV2LnhtbE2PQUvDQBCF74L/YRnBi9hN0lpLzKagIhQKBWt73+6OyWJ2&#10;NmS3afvvHb3o5cHwHu99Uy3PvhMjDtEFUpBPMhBIJlhHjYLdx9v9AkRMmqzuAqGCC0ZY1tdXlS5t&#10;ONE7jtvUCC6hWGoFbUp9KWU0LXodJ6FHYu8zDF4nPodG2kGfuNx3ssiyufTaES+0useXFs3X9ugV&#10;mLuNeYzFatyv/OvFTeV66p7XSt3e5NkTiITn9BeGH3xGh5qZDuFINopOAT+SfpW9RV7MQRw4lM8e&#10;ZiDrSv7Hr78BUEsDBBQAAAAIAIdO4kB9sgBZJgIAACYEAAAOAAAAZHJzL2Uyb0RvYy54bWytU8tu&#10;1DAU3SPxD5b3NMlUU9poMl3MUDYIKgEfcMdxEkt+ydedx0/wA0isgBV01T1fA+UzuHamLS2bLsgi&#10;us6xz73n+GR2ujWarWVA5WzDq4OSM2mFa5XtG/7+3dmzY84wgm1BOysbvpPIT+dPn8w2vpYTNzjd&#10;ysCIxGK98Q0fYvR1UaAYpAE8cF5aAjsXDERahr5oA2yI3ehiUpZHxcaF1gcnJCJ9XY4g3zOGxxC6&#10;rlNCLp24MNLGkTVIDZEk4aA88nmetuukiG+6DmVkuuGkNOY3NaF6ld7FfAZ1H8APSuxHgMeM8ECT&#10;AWWp6S3VEiKwi6D+oTJKBIeuiwfCmWIUkh0hFVX5wJu3A3iZtZDV6G9Nx/9HK16vzwNTLSWBLLFg&#10;6MavP179+vDl+vL7z89Xv398SvW3r4xwMmvjsaYzC3seklyMi63Nxyk1qt02fDJaKm17g5zskXy+&#10;uEeQFuhHqm0XTKIkT1jiqU6mx4c0047qw3JaTvfE28gE4YQIgqpJeTQdmaG+ofAB40vpDEtFwzEG&#10;UP0QF85aCoQLVb4qWL/CSJIKqG8OpP7WnSmtcy60ZZuGH1bPp9QMKOsdZYxK48kvtD1noHv6iUQM&#10;mRGdVm06na0J/WqhA1tDil5+kgLqdm9bar0EHMZ9GRqFRlD6hW1Z3Hm6kxgU2F5LniZCw5mW1JiK&#10;kVJbYr5zM1Ur1+7OQ4LTiuKTe++jnvL59zrvuvu95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J9ds9cAAAAGAQAADwAAAAAAAAABACAAAAAiAAAAZHJzL2Rvd25yZXYueG1sUEsBAhQAFAAAAAgA&#10;h07iQH2yAFkmAgAAJgQAAA4AAAAAAAAAAQAgAAAAJgEAAGRycy9lMm9Eb2MueG1sUEsFBgAAAAAG&#10;AAYAWQEAAL4FAAAAAA==&#10;">
                        <v:fill on="f" focussize="0,0"/>
                        <v:stroke weight="0.25pt" color="#000000 [3213]" joinstyle="round" endarrow="block" endarrowwidth="narrow" endarrowlength="short"/>
                        <v:imagedata o:title=""/>
                        <o:lock v:ext="edit" aspectratio="f"/>
                      </v:shape>
                      <v:shape id="_x0000_s1026" o:spid="_x0000_s1026" o:spt="202" type="#_x0000_t202" style="position:absolute;left:1772920;top:5541010;height:393700;width:487045;"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nvrzoEcCAABzBAAADgAAAGRycy9lMm9Eb2MueG1srVRL&#10;btswEN0X6B0I7mvJjh0nRuTATeCiQNAESIuuaYqyBPBXkraUHqC9QVfddN9z+Rx9pOzESLvIohtq&#10;yHmcmfdmqIvLTkmyFc43Rhd0OMgpEZqbstHrgn76uHxzRokPTJdMGi0K+iA8vZy/fnXR2pkYmdrI&#10;UjiCINrPWlvQOgQ7yzLPa6GYHxgrNJyVcYoFbN06Kx1rEV3JbJTnp1lrXGmd4cJ7nF73TrqP6F4S&#10;0FRVw8W14RsldOijOiFZACVfN9bTeaq2qgQPt1XlRSCyoGAa0ooksFdxzeYXbLZ2zNYN35fAXlLC&#10;M06KNRpJH0Nds8DIxjV/hVINd8abKgy4UVlPJCkCFsP8mTb3NbMicYHU3j6K7v9fWP5he+dIU2IS&#10;hpRoptDx3Y/vu5+/d7++EZxBoNb6GXD3FsjQvTUdwIdzj8PIu6ucil8wItE/nY7ORxD5oaCTyXgI&#10;br3UoguEAzA+m+bjCSUcgJPzk2me/NlTIOt8eCeMItEoqEMnk8Bse+MDigL0AIl5tVk2UqZuSk3a&#10;gp6eTPJ04dGDG1LjYqTTlx2t0K26PceVKR9A0Zl+SrzlywbJb5gPd8xhLMAHDyfcYqmkQRKztyip&#10;jfv6r/OIR7fgpaTFmBXUf9kwJyiR7zX6eD4cj+Ncps14Mo2auWPP6tijN+rKYJLRKlSXzIgP8mBW&#10;zqjPeF+LmBUupjlyFzQczKvQDz/eJxeLRQJhEi0LN/re8hi6l3OxCaZqktJRpl6bvXqYxdSA/buJ&#10;w368T6inf8X8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pisx3YAAAABgEAAA8AAAAAAAAAAQAg&#10;AAAAIgAAAGRycy9kb3ducmV2LnhtbFBLAQIUABQAAAAIAIdO4kCe+vOgRwIAAHMEAAAOAAAAAAAA&#10;AAEAIAAAACcBAABkcnMvZTJvRG9jLnhtbFBLBQYAAAAABgAGAFkBAADgBQAAAAA=&#10;">
                        <v:fill on="f" focussize="0,0"/>
                        <v:stroke on="f" weight="0.5pt"/>
                        <v:imagedata o:title=""/>
                        <o:lock v:ext="edit" aspectratio="f"/>
                        <v:textbox>
                          <w:txbxContent>
                            <w:p w14:paraId="509BC69D">
                              <w:pPr>
                                <w:spacing w:line="240" w:lineRule="exact"/>
                                <w:jc w:val="center"/>
                                <w:rPr>
                                  <w:rFonts w:hint="default" w:ascii="Times New Roman" w:hAnsi="Times New Roman" w:eastAsia="宋体" w:cs="Times New Roman"/>
                                  <w:sz w:val="15"/>
                                  <w:szCs w:val="18"/>
                                  <w:lang w:val="en-US" w:eastAsia="zh-CN"/>
                                </w:rPr>
                              </w:pPr>
                              <w:r>
                                <w:rPr>
                                  <w:rFonts w:hint="default" w:ascii="Times New Roman" w:hAnsi="Times New Roman" w:cs="Times New Roman"/>
                                  <w:sz w:val="15"/>
                                  <w:szCs w:val="18"/>
                                  <w:lang w:val="en-US" w:eastAsia="zh-CN"/>
                                </w:rPr>
                                <w:t>沥青</w:t>
                              </w:r>
                              <w:r>
                                <w:rPr>
                                  <w:rFonts w:hint="eastAsia" w:cs="Times New Roman"/>
                                  <w:sz w:val="15"/>
                                  <w:szCs w:val="18"/>
                                  <w:lang w:val="en-US" w:eastAsia="zh-CN"/>
                                </w:rPr>
                                <w:t>加热废气</w:t>
                              </w:r>
                            </w:p>
                          </w:txbxContent>
                        </v:textbox>
                      </v:shape>
                      <v:shape id="_x0000_s1026" o:spid="_x0000_s1026" o:spt="202" type="#_x0000_t202" style="position:absolute;left:842010;top:5459730;height:230505;width:499745;"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3VGkMEYCAAByBAAADgAAAGRycy9lMm9Eb2MueG1srVTB&#10;btswDL0P2D8Iuq92UrttgjhF1qLDgGIt0A07K7IUG5BETVJqdx+w/cFOu+y+7+p3jJKdNOh26GEX&#10;hSKZR71H0ovzXityL5xvwVR0cpRTIgyHujWbin76ePXmjBIfmKmZAiMq+iA8PV++frXo7FxMoQFV&#10;C0cQxPh5ZyvahGDnWeZ5IzTzR2CFwaAEp1nAq9tktWMdomuVTfP8JOvA1dYBF96j93II0hHRvQQQ&#10;pGy5uAS+1cKEAdUJxQJS8k1rPV2m10opeLiR0otAVEWRaUgnFkF7Hc9suWDzjWO2afn4BPaSJzzj&#10;pFlrsOge6pIFRrau/QtKt9yBBxmOOOhsIJIUQRaT/Jk2dw2zInFBqb3di+7/Hyz/cH/rSFvjJEwp&#10;MUxjxx9/fH/8+fvx1zeCPhSos36OeXcWM0P/FnpM3vk9OiPvXjodf5ERwfhZEelQ8lDRsihnp8ej&#10;0qIPhGO8mM1Oi5ISjgnT47zMywiYPeFY58M7AZpEo6IOG5n0ZffXPgypu5RY1sBVq1RqpjKkq+jJ&#10;cZmnP+wjCK4M1ohshldHK/TrfqS4hvoBGToYhsRbftVi8Wvmwy1zOBXIB/cm3OAhFWARGC1KGnBf&#10;/+WP+dgsjFLS4ZRV1H/ZMicoUe8NtnE2KYo4lulSlKdTvLjDyPowYrb6AnCQJ7ihlicz5ge1M6UD&#10;/RnXaxWrYogZjrUrGnbmRRhmH9eTi9UqJeEgWhauzZ3lEXqQc7UNINukdJRp0GZUD0cx9Wpcmzjr&#10;h/eU9fSpW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mKzHdgAAAAGAQAADwAAAAAAAAABACAA&#10;AAAiAAAAZHJzL2Rvd25yZXYueG1sUEsBAhQAFAAAAAgAh07iQN1RpDBGAgAAcgQAAA4AAAAAAAAA&#10;AQAgAAAAJwEAAGRycy9lMm9Eb2MueG1sUEsFBgAAAAAGAAYAWQEAAN8FAAAAAA==&#10;">
                        <v:fill on="f" focussize="0,0"/>
                        <v:stroke on="f" weight="0.5pt"/>
                        <v:imagedata o:title=""/>
                        <o:lock v:ext="edit" aspectratio="f"/>
                        <v:textbox>
                          <w:txbxContent>
                            <w:p w14:paraId="72569611">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导热油</w:t>
                              </w:r>
                            </w:p>
                          </w:txbxContent>
                        </v:textbox>
                      </v:shape>
                      <v:shape id="_x0000_s1026" o:spid="_x0000_s1026" o:spt="202" type="#_x0000_t202" style="position:absolute;left:0;top:5026660;height:594995;width:227965;"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jovHkECAABvBAAADgAAAGRycy9lMm9Eb2MueG1srVTB&#10;jtowEL1X6j9YvpcECmxBhBVdRFUJdVeiVc/GcUgk2+PahoR+QPsHPfXSe7+L7+jYCSza9rCHXsx4&#10;Zngz7804s9tGSXIQ1lWgM9rvpZQIzSGv9C6jnz6uXr2hxHmmcyZBi4wehaO385cvZrWZigGUIHNh&#10;CYJoN61NRkvvzTRJHC+FYq4HRmgMFmAV83i1uyS3rEZ0JZNBmo6TGmxuLHDhHHqXbZB2iPY5gFAU&#10;FRdL4HsltG9RrZDMIyVXVsbReey2KAT390XhhCcyo8jUxxOLoL0NZzKfsenOMlNWvGuBPaeFJ5wU&#10;qzQWvUAtmWdkb6u/oFTFLTgofI+DSloiURFk0U+faLMpmRGRC0rtzEV09/9g+YfDgyVVjpuQ9inR&#10;TOHITz++n37+Pv36RoITJaqNm2LmxmCub95Cg+lnv0NnYN4UVoVf5EQwjgIfMzpKB+PxuJNZNJ5w&#10;DA0GN5PxiBIeEibDyWQUsJJHCGOdfydAkWBk1OIUo7jssHa+TT2nhIoaVpWUcZJSkzqj49ejNP7h&#10;EkFwqbFGINI2HCzfbJuO3RbyI5Kz0G6IM3xVYfE1c/6BWVwJ5IOPxt/jUUjAItBZlJRgv/7LH/Jx&#10;UhilpMYVy6j7smdWUCLfa5zhpD8chp2Ml+HoZoAXex3ZXkf0Xt0BbjFOCbuLZsj38mwWFtRnfFuL&#10;UBVDTHOsnVF/Nu98u/j4NrlYLGISbqFhfq03hgfoVs7F3kNRRaWDTK02nXq4h3FW3ZsJi359j1mP&#10;34n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pisx3YAAAABgEAAA8AAAAAAAAAAQAgAAAAIgAA&#10;AGRycy9kb3ducmV2LnhtbFBLAQIUABQAAAAIAIdO4kD6Oi8eQQIAAG8EAAAOAAAAAAAAAAEAIAAA&#10;ACcBAABkcnMvZTJvRG9jLnhtbFBLBQYAAAAABgAGAFkBAADaBQAAAAA=&#10;">
                        <v:fill on="f" focussize="0,0"/>
                        <v:stroke on="f" weight="0.5pt"/>
                        <v:imagedata o:title=""/>
                        <o:lock v:ext="edit" aspectratio="f"/>
                        <v:textbox>
                          <w:txbxContent>
                            <w:p w14:paraId="4FC25B7A">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天然气</w:t>
                              </w:r>
                            </w:p>
                          </w:txbxContent>
                        </v:textbox>
                      </v:shape>
                      <v:shape id="_x0000_s1026" o:spid="_x0000_s1026" o:spt="202" type="#_x0000_t202" style="position:absolute;left:2516505;top:655320;height:404495;width:650875;"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a3aF80UCAAB0BAAADgAAAGRycy9lMm9Eb2MueG1srVRL&#10;btswFNwX6B0I7hvJjpWPYTlwE6QoEDQB0qJrmqIiAfyVpCOlB2hv0FU33fdcPkeHlJwYaRdZdEM/&#10;cp7nceY9anHWK0nuhfOt0SWdHOSUCM1N1eq7kn76ePnmhBIfmK6YNFqU9EF4erZ8/WrR2bmYmsbI&#10;SjgCEu3nnS1pE4KdZ5nnjVDMHxgrNMDaOMUCtu4uqxzrwK5kNs3zo6wzrrLOcOE9Ti8GkI6M7iWE&#10;pq5bLi4M3yihw8DqhGQBknzTWk+X6bZ1LXi4rmsvApElhdKQVhRBvI5rtlyw+Z1jtmn5eAX2kis8&#10;06RYq1H0keqCBUY2rv2LSrXcGW/qcMCNygYhyRGomOTPvLltmBVJC6z29tF0//9o+Yf7G0faCpMw&#10;gSeaKbR8++P79ufv7a9vJB7Cos76OTJvLXJD/9b0SN+dexxG5X3tVPyFJgJ8WkyOiryg5KGkR0Vx&#10;OB29Fn0gHDjAk2PAHPgsn81Oi0iYPfFY58M7YRSJQUkdWpkcZvdXPgypu5RYVpvLVsrUTqlJhwKH&#10;RZ7+8IiAXGrUiGqGW8co9Ot+lLg21QMUOjOMibf8skXxK+bDDXOYCziElxOusdTSoIgZI0oa477+&#10;6zzmo11AKekwZyX1XzbMCUrke41Gnk5msziYaTMrjuETcfvIeh/RG3VuMMoTvFHLUxjzg9yFtTPq&#10;Mx7YKlYFxDRH7ZKGXXgehunHA+VitUpJGEXLwpW+tTxSD3auNsHUbXI62jR4M7qHYUy9Gh9OnPb9&#10;fcp6+lgs/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qYrMd2AAAAAYBAAAPAAAAAAAAAAEAIAAA&#10;ACIAAABkcnMvZG93bnJldi54bWxQSwECFAAUAAAACACHTuJAa3aF80UCAAB0BAAADgAAAAAAAAAB&#10;ACAAAAAnAQAAZHJzL2Uyb0RvYy54bWxQSwUGAAAAAAYABgBZAQAA3gUAAAAA&#10;">
                        <v:fill on="f" focussize="0,0"/>
                        <v:stroke on="f" weight="0.5pt"/>
                        <v:imagedata o:title=""/>
                        <o:lock v:ext="edit" aspectratio="f"/>
                        <v:textbox>
                          <w:txbxContent>
                            <w:p w14:paraId="5FF9621F">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投料粉尘、设备噪声</w:t>
                              </w:r>
                            </w:p>
                          </w:txbxContent>
                        </v:textbox>
                      </v:shape>
                      <v:shape id="_x0000_s1026" o:spid="_x0000_s1026" o:spt="202" type="#_x0000_t202" style="position:absolute;left:2629535;top:360680;height:230505;width:586105;"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6rID40gCAAB0BAAADgAAAGRycy9lMm9Eb2MueG1srVRL&#10;btswEN0X6B0I7ht9HLmJETlwE6QoYDQB0qJrmqIsASSHJWlL7gHaG2TVTfc9l8/RISUnRtpFFt3Q&#10;Q77xDN+bR11c9kqSrbCuBV3S7CSlRGgOVavXJf386ebNGSXOM10xCVqUdCccvZy/fnXRmZnIoQFZ&#10;CUuwiHazzpS08d7MksTxRijmTsAIjWANVjGPW7tOKss6rK5kkqfpNOnAVsYCF87h6fUA0rGifUlB&#10;qOuWi2vgGyW0H6paIZlHSq5pjaPzeNu6Ftzf1rUTnsiSIlMfV2yC8SqsyfyCzdaWmabl4xXYS67w&#10;jJNircamj6WumWdkY9u/SqmWW3BQ+xMOKhmIREWQRZY+0+a+YUZELii1M4+iu/9Xln/c3lnSVuiE&#10;LKdEM4Uj3z/82P/8vf/1nYRDlKgzboaZ9wZzff8Oekw/nDs8DMz72qrwi5wI4vk0Py8mBSW7kk6m&#10;6fRs1Fr0nnDEi7NpliLMEc8naYExNkqe6hjr/HsBioSgpBZHGRVm26XzQ+ohJbTVcNNKGccpNelK&#10;Op0UafzDI4LFpcYegc1w6xD5ftWPFFdQ7ZChhcEmzvCbFpsvmfN3zKIv0DX4cvwtLrUEbAJjREkD&#10;9tu/zkM+jgtRSjr0WUnd1w2zghL5QeMgz7PT02DMuDkt3ua4scfI6hjRG3UFaOUM36jhMQz5Xh7C&#10;2oL6gg9sEboixDTH3iX1h/DKD+7HB8rFYhGT0IqG+aW+NzyUHuRcbDzUbVQ6yDRoM6qHZoyzGh9O&#10;cPvxPmY9fSz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qYrMd2AAAAAYBAAAPAAAAAAAAAAEA&#10;IAAAACIAAABkcnMvZG93bnJldi54bWxQSwECFAAUAAAACACHTuJA6rID40gCAAB0BAAADgAAAAAA&#10;AAABACAAAAAnAQAAZHJzL2Uyb0RvYy54bWxQSwUGAAAAAAYABgBZAQAA4QUAAAAA&#10;">
                        <v:fill on="f" focussize="0,0"/>
                        <v:stroke on="f" weight="0.5pt"/>
                        <v:imagedata o:title=""/>
                        <o:lock v:ext="edit" aspectratio="f"/>
                        <v:textbox>
                          <w:txbxContent>
                            <w:p w14:paraId="46BB7836">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装卸扬尘</w:t>
                              </w:r>
                            </w:p>
                          </w:txbxContent>
                        </v:textbox>
                      </v:shape>
                      <v:shape id="_x0000_s1026" o:spid="_x0000_s1026" o:spt="32" type="#_x0000_t32" style="position:absolute;left:2195830;top:596900;height:138430;width:1905;" filled="f" stroked="t" coordsize="21600,21600" o:gfxdata="UEsDBAoAAAAAAIdO4kAAAAAAAAAAAAAAAAAEAAAAZHJzL1BLAwQUAAAACACHTuJAEJ9ds9cAAAAG&#10;AQAADwAAAGRycy9kb3ducmV2LnhtbE2PQUvDQBCF74L/YRnBi9hN0lpLzKagIhQKBWt73+6OyWJ2&#10;NmS3afvvHb3o5cHwHu99Uy3PvhMjDtEFUpBPMhBIJlhHjYLdx9v9AkRMmqzuAqGCC0ZY1tdXlS5t&#10;ONE7jtvUCC6hWGoFbUp9KWU0LXodJ6FHYu8zDF4nPodG2kGfuNx3ssiyufTaES+0useXFs3X9ugV&#10;mLuNeYzFatyv/OvFTeV66p7XSt3e5NkTiITn9BeGH3xGh5qZDuFINopOAT+SfpW9RV7MQRw4lM8e&#10;ZiDrSv7Hr78BUEsDBBQAAAAIAIdO4kDckzXdLAIAAC0EAAAOAAAAZHJzL2Uyb0RvYy54bWytU82O&#10;0zAQviPxDpbvNElLSxs13UPLckGwEvAAruMklvwnj7c/L8ELIHECTsBp7zwNLI/B2El32eWyB3JI&#10;ZjIz38x8/rw8O2hFdsKDtKaixSinRBhua2nair57e/5kTgkEZmqmrBEVPQqgZ6vHj5Z7V4qx7ayq&#10;hScIYqDcu4p2Ibgyy4B3QjMYWScMBhvrNQvo+jarPdsjulbZOM9n2d762nnLBQD+3fRBOiD6hwDa&#10;ppFcbCy/1MKEHtULxQKuBJ10QFdp2qYRPLxuGhCBqIripiG9sQna2/jOVktWtp65TvJhBPaQEe7t&#10;pJk02PQGasMCI5de/gOlJfcWbBNG3OqsXyQxglsU+T1u3nTMibQLUg3uhnT4f7D81e7CE1mjEsbI&#10;iWEaj/z6w9Wv95+vv3/7+enq94+P0f76hcQEpGvvoMSqtbnwcWEI64NJAAuKn0NFxz2pwtSnSDGZ&#10;DbGEkN2BiA64HuzQeB1BkRcSkYrFdD7BsY4VnS5mi3w4L3EIhGO8WORTSjhGi8n8KSbieBkrTyjO&#10;Q3ghrCbRqCgEz2TbhbU1BnVhfZFOjO1eQugLTwVxBGPPpVJJHsqQfUUnxbPYjKHkG5QamtohbWBa&#10;Sphq8S7x4BMiWCXrWJ348e12rTzZsajA9Axj3kmLrTcMuj4vhXoaA5PqualJODo8meAlM60SNE4E&#10;mhIlsDEa/QLKIAG3hEZra+vjhY/h6KGKEkWD4qNM//ZT1u0tX/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J9ds9cAAAAGAQAADwAAAAAAAAABACAAAAAiAAAAZHJzL2Rvd25yZXYueG1sUEsBAhQA&#10;FAAAAAgAh07iQNyTNd0sAgAALQQAAA4AAAAAAAAAAQAgAAAAJgEAAGRycy9lMm9Eb2MueG1sUEsF&#10;BgAAAAAGAAYAWQEAAMQFAAAAAA==&#10;">
                        <v:fill on="f" focussize="0,0"/>
                        <v:stroke weight="0.25pt" color="#000000 [3213]" joinstyle="round" endarrow="block" endarrowwidth="narrow" endarrowlength="short"/>
                        <v:imagedata o:title=""/>
                        <o:lock v:ext="edit" aspectratio="f"/>
                      </v:shape>
                      <v:shape id="_x0000_s1026" o:spid="_x0000_s1026" o:spt="32" type="#_x0000_t32" style="position:absolute;left:1464945;top:5307330;height:307975;width:3175;" filled="f" stroked="t" coordsize="21600,21600" o:gfxdata="UEsDBAoAAAAAAIdO4kAAAAAAAAAAAAAAAAAEAAAAZHJzL1BLAwQUAAAACACHTuJAEJ9ds9cAAAAG&#10;AQAADwAAAGRycy9kb3ducmV2LnhtbE2PQUvDQBCF74L/YRnBi9hN0lpLzKagIhQKBWt73+6OyWJ2&#10;NmS3afvvHb3o5cHwHu99Uy3PvhMjDtEFUpBPMhBIJlhHjYLdx9v9AkRMmqzuAqGCC0ZY1tdXlS5t&#10;ONE7jtvUCC6hWGoFbUp9KWU0LXodJ6FHYu8zDF4nPodG2kGfuNx3ssiyufTaES+0useXFs3X9ugV&#10;mLuNeYzFatyv/OvFTeV66p7XSt3e5NkTiITn9BeGH3xGh5qZDuFINopOAT+SfpW9RV7MQRw4lM8e&#10;ZiDrSv7Hr78BUEsDBBQAAAAIAIdO4kBStH8zKgIAADAEAAAOAAAAZHJzL2Uyb0RvYy54bWytU81u&#10;EzEQviPxDpbvZLNJ2pJVNj0klAuCSMADOF7vriX/yeNmk5fgBZA4ASfKqXeeBspjMPZuU1ouPbAH&#10;a7zf+JuZz58X53utyE54kNaUNB+NKRGG20qapqTv3108e04JBGYqpqwRJT0IoOfLp08WnSvExLZW&#10;VcITJDFQdK6kbQiuyDLgrdAMRtYJg2BtvWYBt77JKs86ZNcqm4zHp1lnfeW85QIA/657kA6M/jGE&#10;tq4lF2vLL7UwoWf1QrGAI0ErHdBl6rauBQ9v6hpEIKqkOGlIKxbBeBvXbLlgReOZayUfWmCPaeHB&#10;TJpJg0WPVGsWGLn08h8qLbm3YOsw4lZn/SBJEZwiHz/Q5m3LnEizoNTgjqLD/6Plr3cbT2SFTpjk&#10;lBim8cpvPl7/+vDl5vvVz8/Xv398ivG3ryQmoFydgwJPrczGx4EhrPamJ5ihqLLal3TSyypMdcSm&#10;8wFLkmf3SOIGXE+3r72OtKgMQaZ8djqbz04oOZT0ZDo+m06HKxP7QDgmTPMzRDnCiM4xxg4zVtzS&#10;OA/hpbCaxKCkEDyTTRtW1hi0hvV5ujS2ewWhP3h7IPZg7IVUKjlEGdIdizF0fY1uw7raoXJgGkqY&#10;avA58eATI1glq3g6SeSb7Up5smPRhOkb2ryXFkuvGbR9XoJ6HQOT6oWpSDg4vJzgJTONEjR2BJoS&#10;JbAwBv0AyqAAd4rGaGurw8ZHOO7QSEmiwfTRqX/vU9bdQ1/+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CfXbPXAAAABgEAAA8AAAAAAAAAAQAgAAAAIgAAAGRycy9kb3ducmV2LnhtbFBLAQIUABQA&#10;AAAIAIdO4kBStH8zKgIAADAEAAAOAAAAAAAAAAEAIAAAACYBAABkcnMvZTJvRG9jLnhtbFBLBQYA&#10;AAAABgAGAFkBAADCBQAAAAA=&#10;">
                        <v:fill on="f" focussize="0,0"/>
                        <v:stroke weight="0.25pt" color="#000000 [3213]" joinstyle="round" endarrow="block" endarrowwidth="narrow" endarrowlength="short"/>
                        <v:imagedata o:title=""/>
                        <o:lock v:ext="edit" aspectratio="f"/>
                      </v:shape>
                      <v:shape id="_x0000_s1026" o:spid="_x0000_s1026" o:spt="32" type="#_x0000_t32" style="position:absolute;left:1461770;top:5861050;flip:x;height:222250;width:6350;" filled="f" stroked="t" coordsize="21600,21600" o:gfxdata="UEsDBAoAAAAAAIdO4kAAAAAAAAAAAAAAAAAEAAAAZHJzL1BLAwQUAAAACACHTuJAq0DtINUAAAAG&#10;AQAADwAAAGRycy9kb3ducmV2LnhtbE2PzU7DMBCE70i8g7VI3KiTqq1KiNMDEhJCvTT8nJ14SQLx&#10;OsTbNH17Fi5wGWk1o5lv893sezXhGLtABtJFAgqpDq6jxsDL88PNFlRkS872gdDAGSPsisuL3GYu&#10;nOiAU8mNkhKKmTXQMg+Z1rFu0du4CAOSeO9h9JblHBvtRnuSct/rZZJstLcdyUJrB7xvsf4sj97A&#10;hNXr457n2/gx0xt97ctzeCqNub5KkztQjDP/heEHX9ChEKYqHMlF1RuQR/hXxdumyw2oSkLpar0C&#10;XeT6P37xDVBLAwQUAAAACACHTuJA17YdaTMCAAA6BAAADgAAAGRycy9lMm9Eb2MueG1srVNLjhMx&#10;EN0jcQfLe9L5MMnQSmcWCQMLBCMBB6i43d2W/JPLk88luAASK2AFrGbPaWA4BmV3mDDDZhZ4YZVd&#10;Va+qnp/nZzuj2UYGVM5WfDQYciatcLWybcXfvjl/dMoZRrA1aGdlxfcS+dni4YP51pdy7DqnaxkY&#10;gVgst77iXYy+LAoUnTSAA+elJWfjgoFIx9AWdYAtoRtdjIfDabF1ofbBCYlIt6veyQ+I4T6ArmmU&#10;kCsnLo20sUcNUkOkkbBTHvkid9s0UsRXTYMyMl1xmjTmnYqQvU57sZhD2QbwnRKHFuA+LdyZyYCy&#10;VPQGagUR2GVQ/0AZJYJD18SBcKboB8mM0BSj4R1uXnfgZZ6FqEZ/Qzr+P1jxcnMRmKpJCeMxZxYM&#10;Pfn1+6uf7z5df/v64+PVr+8fkv3lM0sBRNfWY0lZS3sR0sAYlzvbA0yecDJ2Fc9xUEpbH32zgy9T&#10;XtwCSQf0PdyuCYY1Wvnn1FFmlDhihDl6PB3NZvRs+4qfnE5Hw5PD48ldZIICphO6YYLcY1q9t4Ay&#10;AaY+fcD4TDrDklFxjAFU28Wls5ZE4kJfDDYvMNKQlPgnISVbd660zlrRlm0rPhnNTqgYkP4b0h2Z&#10;xhOHaFvOQLf0sUQMuX10WtUpO5MV2vVSB7aBJMe8EqVU7VZYKr0C7Pq47OqFGkHpp7Zmce/pmWJQ&#10;YFsteeoIDWdaUmEyekhtCfnIbbLWrt5fhOROJ5JUrn2Qf9Ls3+ccdfzy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rQO0g1QAAAAYBAAAPAAAAAAAAAAEAIAAAACIAAABkcnMvZG93bnJldi54bWxQ&#10;SwECFAAUAAAACACHTuJA17YdaTMCAAA6BAAADgAAAAAAAAABACAAAAAkAQAAZHJzL2Uyb0RvYy54&#10;bWxQSwUGAAAAAAYABgBZAQAAyQUAAAAA&#10;">
                        <v:fill on="f" focussize="0,0"/>
                        <v:stroke weight="0.25pt" color="#000000 [3213]" joinstyle="round" endarrow="block" endarrowwidth="narrow" endarrowlength="short"/>
                        <v:imagedata o:title=""/>
                        <o:lock v:ext="edit" aspectratio="f"/>
                      </v:shape>
                      <v:shape id="_x0000_s1026" o:spid="_x0000_s1026" o:spt="32" type="#_x0000_t32" style="position:absolute;left:2391410;top:857885;flip:y;height:635;width:125095;" filled="f" stroked="t" coordsize="21600,21600" o:gfxdata="UEsDBAoAAAAAAIdO4kAAAAAAAAAAAAAAAAAEAAAAZHJzL1BLAwQUAAAACACHTuJAYCpVodYAAAAG&#10;AQAADwAAAGRycy9kb3ducmV2LnhtbE2PzU7DMBCE70i8g7VI3Kid0p80xOkBiZ8Dh1J4ADfeJhH2&#10;OoqdtPD0LFzgMtJqRjPfltuzd2LCIXaBNGQzBQKpDrajRsP728NNDiImQ9a4QKjhEyNsq8uL0hQ2&#10;nOgVp31qBJdQLIyGNqW+kDLWLXoTZ6FHYu8YBm8Sn0Mj7WBOXO6dnCu1kt50xAut6fG+xfpjP3oN&#10;653rX9T4ONkubJ7y9e34/LVEra+vMnUHIuE5/YXhB5/RoWKmQxjJRuE08CPpV9nLs/kKxIFD2WK5&#10;AFmV8j9+9Q1QSwMEFAAAAAgAh07iQPW8CVE3AgAAOgQAAA4AAABkcnMvZTJvRG9jLnhtbK1TS24U&#10;MRDdI3EHy3vS0zNMMmmlJ4sZwgZBJD77Gre725J/cjnzuQQXQGIFrAKr7DkNhGNQdg9JCJss6IVV&#10;7nK9qvf8fHK6NZqtZUDlbM3LgxFn0grXKNvV/O2bsyczzjCCbUA7K2u+k8hP548fnWx8Jceud7qR&#10;gRGIxWrja97H6KuiQNFLA3jgvLSUbF0wEGkbuqIJsCF0o4vxaHRYbFxofHBCItLf5ZDke8TwEEDX&#10;tkrIpRMXRto4oAapIRIl7JVHPs/Ttq0U8VXbooxM15yYxrxSE4pXaS3mJ1B1AXyvxH4EeMgI9zgZ&#10;UJaa3kAtIQK7COofKKNEcOjaeCCcKQYiWRFiUY7uafO6By8zF5Ia/Y3o+P9gxcv1eWCqISeMJ5xZ&#10;MHTl1x+ufr7/fP3t649PV7++f0zx5ReWDpBcG48VVS3seUiEMS62dgCYHHIKtjXP56CStrnJlSR4&#10;zpUJo/gLJG3QD3DbNhjWauXf0URZUdKIEeZ4clw+TSi7ms+mR7PZdLg7uY1MUL4cT0fHU84E5Q8n&#10;OVlAleDSlD5gfC6dYSmoOcYAquvjwllLFnFhaAXrFxjTeLcFqdi6M6V1doq2bEP8yqPUCcj9LbmO&#10;QuNJQbQdZ6A7elYihjw8Oq2aVJ2lCt1qoQNbQzJj/rIYJOLdY2nEJWA/nGsoWro4kI2g9DPbsLjz&#10;dE0xKLCdljzNhIYzLak1BQMFbfdCD9omlVeu2Z2HPxdAlspc9/ZPnr27z9W3T37+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AqVaHWAAAABgEAAA8AAAAAAAAAAQAgAAAAIgAAAGRycy9kb3ducmV2&#10;LnhtbFBLAQIUABQAAAAIAIdO4kD1vAlRNwIAADoEAAAOAAAAAAAAAAEAIAAAACUBAABkcnMvZTJv&#10;RG9jLnhtbFBLBQYAAAAABgAGAFkBAADOBQAAAAA=&#10;">
                        <v:fill on="f" focussize="0,0"/>
                        <v:stroke weight="0.25pt" color="#000000 [3213]" joinstyle="round" dashstyle="dashDot" endarrow="block" endarrowwidth="narrow" endarrowlength="short"/>
                        <v:imagedata o:title=""/>
                        <o:lock v:ext="edit" aspectratio="f"/>
                      </v:shape>
                      <v:shape id="_x0000_s1026" o:spid="_x0000_s1026" o:spt="32" type="#_x0000_t32" style="position:absolute;left:867410;top:5803265;height:5715;width:394335;" filled="f" stroked="t" coordsize="21600,21600" o:gfxdata="UEsDBAoAAAAAAIdO4kAAAAAAAAAAAAAAAAAEAAAAZHJzL1BLAwQUAAAACACHTuJAEJ9ds9cAAAAG&#10;AQAADwAAAGRycy9kb3ducmV2LnhtbE2PQUvDQBCF74L/YRnBi9hN0lpLzKagIhQKBWt73+6OyWJ2&#10;NmS3afvvHb3o5cHwHu99Uy3PvhMjDtEFUpBPMhBIJlhHjYLdx9v9AkRMmqzuAqGCC0ZY1tdXlS5t&#10;ONE7jtvUCC6hWGoFbUp9KWU0LXodJ6FHYu8zDF4nPodG2kGfuNx3ssiyufTaES+0useXFs3X9ugV&#10;mLuNeYzFatyv/OvFTeV66p7XSt3e5NkTiITn9BeGH3xGh5qZDuFINopOAT+SfpW9RV7MQRw4lM8e&#10;ZiDrSv7Hr78BUEsDBBQAAAAIAIdO4kBigzD/EgIAAOsDAAAOAAAAZHJzL2Uyb0RvYy54bWytU0uO&#10;EzEQ3SNxB8t70vknROnMImHYIBgJOIDjdndb8k9VnnwuwQWQWAErhtXsOQ0Mx6DsDjMwbGZBL9xl&#10;V9Wres/l5dnBGrZTgNq7kg96fc6Uk77Srin52zfnT+acYRSuEsY7VfKjQn62evxouQ8LNfStN5UC&#10;RiAOF/tQ8jbGsCgKlK2yAns+KEfO2oMVkbbQFBWIPaFbUwz7/Wmx91AF8FIh0ummc/ITIjwE0Ne1&#10;lmrj5aVVLnaooIyIRAlbHZCvcrd1rWR8VdeoIjMlJ6Yxr1SE7G1ai9VSLBoQodXy1IJ4SAv3OFmh&#10;HRW9hdqIKNgl6H+grJbg0dexJ70tOiJZEWIx6N/T5nUrgspcSGoMt6Lj/4OVL3cXwHRFkzAcc+aE&#10;pSu/eX/9492nm69X3z9e//z2IdlfPrMUQHLtAy4oa+0u4LTDcAGJ+6EGm/7Eih1KPp/OxgPS+Vjy&#10;ybw/Gk4nndrqEJkk/+jpeDSacCZTwGyQvcUdSgCMz5W3LBklxwhCN21ce+foVj0Mst5i9wIj9UGJ&#10;vxNSC86fa2Py5RrH9lRsMEulBA1sTYNCpg1EGl3DmTANvQQZISOiN7pK2QkHodmuDbCdSPOTv0SC&#10;qv0VlkpvBLZdXHZ1XKPQ5pmrWDwG0jWCFq4xiqeO0HJmFBUmo4M0jpCTvJ2gydr66ph1zuc0A7n2&#10;aV7TkP25z9l3b3T1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CfXbPXAAAABgEAAA8AAAAAAAAA&#10;AQAgAAAAIgAAAGRycy9kb3ducmV2LnhtbFBLAQIUABQAAAAIAIdO4kBigzD/EgIAAOsDAAAOAAAA&#10;AAAAAAEAIAAAACYBAABkcnMvZTJvRG9jLnhtbFBLBQYAAAAABgAGAFkBAACqBQAAAAA=&#10;">
                        <v:fill on="f" focussize="0,0"/>
                        <v:stroke weight="0.25pt" color="#000000 [3213]" joinstyle="round" endarrow="block" endarrowwidth="narrow" endarrowlength="short"/>
                        <v:imagedata o:title=""/>
                        <o:lock v:ext="edit" aspectratio="f"/>
                      </v:shape>
                      <v:shape id="_x0000_s1026" o:spid="_x0000_s1026" o:spt="32" type="#_x0000_t32" style="position:absolute;left:577850;top:5441315;flip:x;height:168275;width:1270;" filled="f" stroked="t" coordsize="21600,21600" o:gfxdata="UEsDBAoAAAAAAIdO4kAAAAAAAAAAAAAAAAAEAAAAZHJzL1BLAwQUAAAACACHTuJAq0DtINUAAAAG&#10;AQAADwAAAGRycy9kb3ducmV2LnhtbE2PzU7DMBCE70i8g7VI3KiTqq1KiNMDEhJCvTT8nJ14SQLx&#10;OsTbNH17Fi5wGWk1o5lv893sezXhGLtABtJFAgqpDq6jxsDL88PNFlRkS872gdDAGSPsisuL3GYu&#10;nOiAU8mNkhKKmTXQMg+Z1rFu0du4CAOSeO9h9JblHBvtRnuSct/rZZJstLcdyUJrB7xvsf4sj97A&#10;hNXr457n2/gx0xt97ctzeCqNub5KkztQjDP/heEHX9ChEKYqHMlF1RuQR/hXxdumyw2oSkLpar0C&#10;XeT6P37xDVBLAwQUAAAACACHTuJAVmrxSzYCAAA5BAAADgAAAGRycy9lMm9Eb2MueG1srVPNjtMw&#10;EL4j8Q6W7zRNut1WUdM9tCwcEFQCHmDqOIkl/8n2Nu1L8AJInIATcNo7TwPLYzB2SpddLnsgB2uc&#10;z/PNzOfPi4u9kmTHnRdGVzQfjSnhmpla6Laib99cPplT4gPoGqTRvKIH7unF8vGjRW9LXpjOyJo7&#10;giTal72taBeCLbPMs44r8CNjuUawMU5BwK1rs9pBj+xKZsV4fJ71xtXWGca9x7/rAaRHRvcQQtM0&#10;gvG1YVeK6zCwOi4h4Ei+E9bTZeq2aTgLr5rG80BkRXHSkFYsgvE2rtlyAWXrwHaCHVuAh7RwbyYF&#10;QmPRE9UaApArJ/6hUoI5400TRsyobBgkKYJT5ON72rzuwPI0C0rt7Ul0//9o2cvdxhFRoxOKKSUa&#10;FF75zfvrn+8+3Xz7+uPj9a/vH2L85TOJB1Cu3voSs1Z64+LAPqz2eiCYzigG+4oWg6xc1ydsgq5K&#10;WJI8u0MSN94OdPvGKdJIYZ9jR0lR1Igg53Q2m0/x1g4Ynp3lkzw1AyXfB8IQz4sZogzh/HxezBKa&#10;QRn5YpvW+fCMG0ViUFEfHIi2CyujNXrEuKEW7F74gDNi4p+EmKzNpZAyWUVq0ld0kmMBwgDt36Dt&#10;MFQWJfS6pQRki++KBZe690aKOmYnrVy7XUlHdhDdmL6oFFa7cyyWXoPvhnMJGgQNIORTXZNwsHhL&#10;wQnQreQ0duQVJZJjYQwGSqmR+VbaGG1Nfdi4CMcdOirVPro/WvbvfTp1++K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rQO0g1QAAAAYBAAAPAAAAAAAAAAEAIAAAACIAAABkcnMvZG93bnJldi54&#10;bWxQSwECFAAUAAAACACHTuJAVmrxSzYCAAA5BAAADgAAAAAAAAABACAAAAAkAQAAZHJzL2Uyb0Rv&#10;Yy54bWxQSwUGAAAAAAYABgBZAQAAzAUAAAAA&#10;">
                        <v:fill on="f" focussize="0,0"/>
                        <v:stroke weight="0.25pt" color="#000000 [3213]" joinstyle="round" endarrow="block" endarrowwidth="narrow" endarrowlength="short"/>
                        <v:imagedata o:title=""/>
                        <o:lock v:ext="edit" aspectratio="f"/>
                      </v:shape>
                      <v:shape id="_x0000_s1026" o:spid="_x0000_s1026" o:spt="32" type="#_x0000_t32" style="position:absolute;left:227965;top:5318760;flip:y;height:5715;width:144780;" filled="f" stroked="t" coordsize="21600,21600" o:gfxdata="UEsDBAoAAAAAAIdO4kAAAAAAAAAAAAAAAAAEAAAAZHJzL1BLAwQUAAAACACHTuJAq0DtINUAAAAG&#10;AQAADwAAAGRycy9kb3ducmV2LnhtbE2PzU7DMBCE70i8g7VI3KiTqq1KiNMDEhJCvTT8nJ14SQLx&#10;OsTbNH17Fi5wGWk1o5lv893sezXhGLtABtJFAgqpDq6jxsDL88PNFlRkS872gdDAGSPsisuL3GYu&#10;nOiAU8mNkhKKmTXQMg+Z1rFu0du4CAOSeO9h9JblHBvtRnuSct/rZZJstLcdyUJrB7xvsf4sj97A&#10;hNXr457n2/gx0xt97ctzeCqNub5KkztQjDP/heEHX9ChEKYqHMlF1RuQR/hXxdumyw2oSkLpar0C&#10;XeT6P37xDVBLAwQUAAAACACHTuJAWnqeJDMCAAA5BAAADgAAAGRycy9lMm9Eb2MueG1srVPLbhMx&#10;FN0j8Q+W92QyaZMJo0y6SCgbBJV47B2PZ8aSX/J18/gJfgCJFbAqrLrna6B8BteeIaVl0wWzsK7n&#10;+p57zvH14myvFdkKD9KaiuajMSXCcFtL01b07ZvzJ3NKIDBTM2WNqOhBAD1bPn602LlSTGxnVS08&#10;QRAD5c5VtAvBlVkGvBOawcg6YTDZWK9ZwK1vs9qzHaJrlU3G41m2s7523nIBgH/XfZIOiP4hgLZp&#10;JBdryy+1MKFH9UKxgJKgkw7oMrFtGsHDq6YBEYiqKCoNacUmGG/imi0XrGw9c53kAwX2EAr3NGkm&#10;DTY9Qq1ZYOTSy3+gtOTegm3CiFud9UKSI6giH9/z5nXHnEha0GpwR9Ph/8Hyl9sLT2SNkzCZUWKY&#10;xiu/+XD98/3nm29ff3y6/vX9Y4yvvpB4AO3aOSixamUufBQMYbU3PcA4pxjsK3rS2ypMfcxNiyGX&#10;x1x2ByRuwPVw+8Zr0ijp3iGj5Ch6RBBzMimezqaUHCo6PcnnxWy4O7EPhGM+Pz0t5nirPB4o8mlq&#10;w8qIF2k6D+G5sJrEoKIQPJNtF1bWGJwR6/tebPsCQuR3WxCLjT2XSqVRUYbsUGBeIBXOcPwbHDsM&#10;tUMLwbSUMNXiu+LBJ/ZglaxjdfLKt5uV8mTL4jSmb6B551ikuGbQ9edSqjc0MKmemZqEg8NbCl4y&#10;0ypBIyPQlCiBjTHoBSgz+NxbG03e2Ppw4f/4jxOVlA7TH0f2732qvn3x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rQO0g1QAAAAYBAAAPAAAAAAAAAAEAIAAAACIAAABkcnMvZG93bnJldi54bWxQ&#10;SwECFAAUAAAACACHTuJAWnqeJDMCAAA5BAAADgAAAAAAAAABACAAAAAkAQAAZHJzL2Uyb0RvYy54&#10;bWxQSwUGAAAAAAYABgBZAQAAyQUAAAAA&#10;">
                        <v:fill on="f" focussize="0,0"/>
                        <v:stroke weight="0.25pt" color="#000000 [3213]" joinstyle="round" endarrow="block" endarrowwidth="narrow" endarrowlength="short"/>
                        <v:imagedata o:title=""/>
                        <o:lock v:ext="edit" aspectratio="f"/>
                      </v:shape>
                      <v:shape id="_x0000_s1026" o:spid="_x0000_s1026" o:spt="32" type="#_x0000_t32" style="position:absolute;left:2488565;top:474345;height:1905;width:140970;" filled="f" stroked="t" coordsize="21600,21600" o:gfxdata="UEsDBAoAAAAAAIdO4kAAAAAAAAAAAAAAAAAEAAAAZHJzL1BLAwQUAAAACACHTuJAVfAI9tUAAAAG&#10;AQAADwAAAGRycy9kb3ducmV2LnhtbE2PwU7DMBBE70j8g7VI3KjtqFRViNNDqoLEjdAPcOIljhLb&#10;Uew2bb+ehQtcRlrNaOZtsbu4kZ1xjn3wCuRKAEPfBtP7TsHx8/C0BRaT9kaPwaOCK0bYlfd3hc5N&#10;WPwHnuvUMSrxMdcKbEpTznlsLTodV2FCT95XmJ1OdM4dN7NeqNyNPBNiw53uPS1YPWFlsR3qk1Nw&#10;eH+VWXvbL7Wo3m7DtRqavT0q9fggxQuwhJf0F4YffEKHkpiacPImslEBPZJ+lbytzDbAGgrJ9fMa&#10;eFnw//jlN1BLAwQUAAAACACHTuJAmc5XezICAAAvBAAADgAAAGRycy9lMm9Eb2MueG1srVNLktMw&#10;EN1TxR1U2hPHmWSSuOLMImHYUJAq4AAdWbZVpV9JmnwuwQWoYgWsGFaz5zQwHIOW7AzDsJkFXtgt&#10;t/p1v6enxcVBSbLjzgujS5oPhpRwzUwldFPSd28vn80o8QF0BdJoXtIj9/Ri+fTJYm8LPjKtkRV3&#10;BEG0L/a2pG0Itsgyz1quwA+M5RqTtXEKAi5dk1UO9oiuZDYaDs+zvXGVdYZx7/HvukvSHtE9BtDU&#10;tWB8bdiV4jp0qI5LCEjJt8J6ukzT1jVn4XVdex6ILCkyDemNTTDexne2XEDROLCtYP0I8JgRHnBS&#10;IDQ2vYNaQwBy5cQ/UEowZ7ypw4AZlXVEkiLIIh8+0OZNC5YnLii1t3ei+/8Hy17tNo6ICp0wmlKi&#10;QeGR3364+fn+8+236x+fbn59/xjjr19I3IBy7a0vsGqlNy4S9mF10AlgTvFzKOlZJyrX1SmT56M+&#10;l8dc9hdEXHjbgR1qpyIo6kIQaTSezSbnE0qOJR1Px2fjSQ99CIRhPh8P51M8SYb5fD5M2QyKE4p1&#10;PrzgRpEYlNQHB6Jpw8pojb4wLk8nBruXPsSpoDgVxBG0uRRSJntITfZIK5/iJAzQ8jVaDUNlUTav&#10;G0pANniXWHAJ0Rspqlid9HHNdiUd2UF0YHqSBqjc/W2x9Rp82+2rMFqb0LENIORzXZFwtHg2wQnQ&#10;jeQ0zuQVJZJjaww6ClL3+naSRnG3pjpu3El39FHi2ns+GvX+OlX/uef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XwCPbVAAAABgEAAA8AAAAAAAAAAQAgAAAAIgAAAGRycy9kb3ducmV2LnhtbFBL&#10;AQIUABQAAAAIAIdO4kCZzld7MgIAAC8EAAAOAAAAAAAAAAEAIAAAACQBAABkcnMvZTJvRG9jLnht&#10;bFBLBQYAAAAABgAGAFkBAADIBQAAAAA=&#10;">
                        <v:fill on="f" focussize="0,0"/>
                        <v:stroke weight="0.25pt" color="#000000 [3213]" joinstyle="round" dashstyle="dashDot" endarrow="block" endarrowwidth="narrow" endarrowlength="short"/>
                        <v:imagedata o:title=""/>
                        <o:lock v:ext="edit" aspectratio="f"/>
                      </v:shape>
                      <v:shape id="_x0000_s1026" o:spid="_x0000_s1026" o:spt="202" type="#_x0000_t202" style="position:absolute;left:2011680;top:3703955;height:245745;width:380365;" filled="f" stroked="t" coordsize="21600,21600" o:gfxdata="UEsDBAoAAAAAAIdO4kAAAAAAAAAAAAAAAAAEAAAAZHJzL1BLAwQUAAAACACHTuJAQ4vKJ9cAAAAG&#10;AQAADwAAAGRycy9kb3ducmV2LnhtbE2PwU7DMBBE70j8g7VI3KiTqi1VGqcHRA9ICIkWUY5OvI0j&#10;7HWI3bTw9Sxc4DLSakYzb8v12Tsx4hC7QArySQYCqQmmo1bBy25zswQRkyajXSBU8IkR1tXlRakL&#10;E070jOM2tYJLKBZagU2pL6SMjUWv4yT0SOwdwuB14nNopRn0icu9k9MsW0ivO+IFq3u8s9i8b49e&#10;wePr/uN+8/SW7bF23Xx0t/bhq1bq+irPViASntNfGH7wGR0qZqrDkUwUTgE/kn6VvWU+XYCoOZTP&#10;5jOQVSn/41ffUEsDBBQAAAAIAIdO4kBy5uLdXQIAAJ0EAAAOAAAAZHJzL2Uyb0RvYy54bWytVM1u&#10;EzEQviPxDpbvdDe/baNuqpCqCKmilQri7Hi9WQuvbWwnu+UB6Btw4sKd5+pz8NmbtFHh0AMXZzzz&#10;7Xi+b2Zydt41imyF89Logg6OckqE5qaUel3QTx8v35xQ4gPTJVNGi4LeCU/P569fnbV2JoamNqoU&#10;jiCJ9rPWFrQOwc6yzPNaNMwfGSs0gpVxDQu4unVWOtYie6OyYZ5Ps9a40jrDhffwXvRBusvoXpLQ&#10;VJXk4sLwTSN06LM6oVgAJV9L6+k8VVtVgofrqvIiEFVQMA3pxCOwV/HM5mdstnbM1pLvSmAvKeEZ&#10;p4ZJjUcfU12wwMjGyb9SNZI7400Vjrhpsp5IUgQsBvkzbW5rZkXiAqm9fRTd/7+0/MP2xhFZYhKG&#10;aLxmDVr+8OP+4efvh1/fSXRCotb6GZC3FtjQvTUd4Hu/hzMy7yrXxF9wIoiDzmB6ApnvCjo6zken&#10;k0kvtugC4QCMTvLRdEIJB2A4nhyPUzx7SmSdD++EaUg0CurQyyQx2175gKIA3UPiu9pcSqVSP5Um&#10;bUGno0mePvBGyTIGIyx+slSObBkmYqUY/xLLQq4DFG5Kwxlp9/SiFbpVt9NiZco7SOFMP0/e8kuJ&#10;vFfMhxvmMEDgjRUL1zgqZVCM2VmU1MZ9+5c/4tFXRClpMZAF9V83zAlK1HuNjp8OxuM4wekCvYa4&#10;uMPI6jCiN83SgOEAy2x5MiM+qL1ZOdN8xiYu4qsIMc3xdkHD3lyGfk2wyVwsFgmEmbUsXOlby2Pq&#10;XvbFJphKpo5EmXptduphapO4uw2La3F4T6inf5X5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OL&#10;yifXAAAABgEAAA8AAAAAAAAAAQAgAAAAIgAAAGRycy9kb3ducmV2LnhtbFBLAQIUABQAAAAIAIdO&#10;4kBy5uLdXQIAAJ0EAAAOAAAAAAAAAAEAIAAAACYBAABkcnMvZTJvRG9jLnhtbFBLBQYAAAAABgAG&#10;AFkBAAD1BQAAAAA=&#10;">
                        <v:fill on="f" focussize="0,0"/>
                        <v:stroke weight="0.5pt" color="#000000 [3204]" joinstyle="round"/>
                        <v:imagedata o:title=""/>
                        <o:lock v:ext="edit" aspectratio="f"/>
                        <v:textbox>
                          <w:txbxContent>
                            <w:p w14:paraId="36DA6A96">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提升</w:t>
                              </w:r>
                            </w:p>
                          </w:txbxContent>
                        </v:textbox>
                      </v:shape>
                      <v:shape id="_x0000_s1026" o:spid="_x0000_s1026" o:spt="202" type="#_x0000_t202" style="position:absolute;left:1990090;top:4554855;height:245745;width:412750;" filled="f" stroked="t" coordsize="21600,21600" o:gfxdata="UEsDBAoAAAAAAIdO4kAAAAAAAAAAAAAAAAAEAAAAZHJzL1BLAwQUAAAACACHTuJAQ4vKJ9cAAAAG&#10;AQAADwAAAGRycy9kb3ducmV2LnhtbE2PwU7DMBBE70j8g7VI3KiTqi1VGqcHRA9ICIkWUY5OvI0j&#10;7HWI3bTw9Sxc4DLSakYzb8v12Tsx4hC7QArySQYCqQmmo1bBy25zswQRkyajXSBU8IkR1tXlRakL&#10;E070jOM2tYJLKBZagU2pL6SMjUWv4yT0SOwdwuB14nNopRn0icu9k9MsW0ivO+IFq3u8s9i8b49e&#10;wePr/uN+8/SW7bF23Xx0t/bhq1bq+irPViASntNfGH7wGR0qZqrDkUwUTgE/kn6VvWU+XYCoOZTP&#10;5jOQVSn/41ffUEsDBBQAAAAIAIdO4kDGB1NTWwIAAJ0EAAAOAAAAZHJzL2Uyb0RvYy54bWytVMtu&#10;EzEU3SPxD5b3dJIwaZuokyq0KkKqaKWCWDseT8fCL2wnM+UD4A9YsWHPd/U7OPYkbVRYdMHGua8c&#10;33N875yc9lqRjfBBWlPR8cGIEmG4raW5rejHDxevjikJkZmaKWtERe9EoKeLly9OOjcXE9taVQtP&#10;AGLCvHMVbWN086IIvBWahQPrhEGysV6zCNffFrVnHdC1Kiaj0WHRWV87b7kIAdHzIUm3iP45gLZp&#10;JBfnlq+1MHFA9UKxCEqhlS7QRe62aQSPV00TRCSqomAa84lLYK/SWSxO2PzWM9dKvm2BPaeFJ5w0&#10;kwaXPkCds8jI2su/oLTk3gbbxANudTEQyYqAxXj0RJubljmRuUDq4B5ED/8Plr/fXHsia0zCZEaJ&#10;YRpPfv/j+/3P3/e/vpEUhESdC3NU3jjUxv6N7VG+iwcEE/O+8Tr9ghNJ+dlsNJpB5ruKltNpeTyd&#10;DmKLPhKOgnI8OZoiz1EwKadHZc4Xj0DOh/hWWE2SUVGPt8wSs81liGgKpbuSdK+xF1Kp/J7KkK6i&#10;h68BnzLBKlmnZHLSX86UJxuGiVgpxj+ntoC1VwVPGQQT7YFesmK/6rdarGx9Bym8HeYpOH4hgXvJ&#10;QrxmHgMEXlixeIWjURbN2K1FSWv913/FUz3eFVlKOgxkRcOXNfOCEvXO4MVn47IEbMwO9JrA8fuZ&#10;1X7GrPWZBcMxltnxbKb6qHZm463+hE1cpluRYobj7orGnXkWhzXBJnOxXOYizKxj8dLcOJ6gB9mX&#10;62gbmV8kyTRos1UPU5vF3W5YWot9P1c9flU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Di8on&#10;1wAAAAYBAAAPAAAAAAAAAAEAIAAAACIAAABkcnMvZG93bnJldi54bWxQSwECFAAUAAAACACHTuJA&#10;xgdTU1sCAACdBAAADgAAAAAAAAABACAAAAAmAQAAZHJzL2Uyb0RvYy54bWxQSwUGAAAAAAYABgBZ&#10;AQAA8wUAAAAA&#10;">
                        <v:fill on="f" focussize="0,0"/>
                        <v:stroke weight="0.5pt" color="#000000 [3204]" joinstyle="round"/>
                        <v:imagedata o:title=""/>
                        <o:lock v:ext="edit" aspectratio="f"/>
                        <v:textbox>
                          <w:txbxContent>
                            <w:p w14:paraId="6BE836B9">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筛分</w:t>
                              </w:r>
                            </w:p>
                          </w:txbxContent>
                        </v:textbox>
                      </v:shape>
                      <v:shape id="_x0000_s1026" o:spid="_x0000_s1026" o:spt="202" type="#_x0000_t202" style="position:absolute;left:2008505;top:4145915;height:245745;width:380365;" filled="f" stroked="t" coordsize="21600,21600" o:gfxdata="UEsDBAoAAAAAAIdO4kAAAAAAAAAAAAAAAAAEAAAAZHJzL1BLAwQUAAAACACHTuJAQ4vKJ9cAAAAG&#10;AQAADwAAAGRycy9kb3ducmV2LnhtbE2PwU7DMBBE70j8g7VI3KiTqi1VGqcHRA9ICIkWUY5OvI0j&#10;7HWI3bTw9Sxc4DLSakYzb8v12Tsx4hC7QArySQYCqQmmo1bBy25zswQRkyajXSBU8IkR1tXlRakL&#10;E070jOM2tYJLKBZagU2pL6SMjUWv4yT0SOwdwuB14nNopRn0icu9k9MsW0ivO+IFq3u8s9i8b49e&#10;wePr/uN+8/SW7bF23Xx0t/bhq1bq+irPViASntNfGH7wGR0qZqrDkUwUTgE/kn6VvWU+XYCoOZTP&#10;5jOQVSn/41ffUEsDBBQAAAAIAIdO4kBTEC56XAIAAJ0EAAAOAAAAZHJzL2Uyb0RvYy54bWytVM1u&#10;EzEQviPxDpbvdDd/pY26qUKrIqSKViqIs+P1di38h+1ktzwAvAEnLtx5rj4Hn71JGxUOPXBxxjPf&#10;fp75ZiYnp71WZCN8kNZUdHRQUiIMt7U0txX9+OHi1RElITJTM2WNqOidCPR08fLFSefmYmxbq2rh&#10;CUhMmHeuom2Mbl4UgbdCs3BgnTAINtZrFnH1t0XtWQd2rYpxWR4WnfW185aLEOA9H4J0y+ifQ2ib&#10;RnJxbvlaCxMHVi8UiygptNIFusjZNo3g8appgohEVRSVxnziEdirdBaLEza/9cy1km9TYM9J4UlN&#10;mkmDRx+ozllkZO3lX1Racm+DbeIBt7oYCsmKoIpR+USbm5Y5kWuB1ME9iB7+Hy1/v7n2RNaYhAk0&#10;MUyj5fc/vt///H3/6xtJTkjUuTAH8sYBG/s3tgd85w9wpsr7xuv0i5oI4mj10aycUXJX0eloOjse&#10;zQaxRR8JB2ByVE4OEecAjKez19McLx6JnA/xrbCaJKOiHr3MErPNZYhICtAdJL1r7IVUKvdTGdJV&#10;9HAyK/MHwSpZp2CCpU/OlCcbholYKcY/p7TAtYfCTRk4U9lDecmK/arfarGy9R2k8HaYp+D4hQTv&#10;JQvxmnkMEKTEisUrHI2ySMZuLUpa67/+y5/w6CuilHQYyIqGL2vmBSXqnUHHj0fTaZrgfIFeY1z8&#10;fmS1HzFrfWZR4QjL7Hg2Ez6qndl4qz9hE5fpVYSY4Xi7onFnnsVhTbDJXCyXGYSZdSxemhvHE/Ug&#10;+3IdbSNzR5JMgzZb9TC1WdzthqW12L9n1OO/yu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4vK&#10;J9cAAAAGAQAADwAAAAAAAAABACAAAAAiAAAAZHJzL2Rvd25yZXYueG1sUEsBAhQAFAAAAAgAh07i&#10;QFMQLnpcAgAAnQQAAA4AAAAAAAAAAQAgAAAAJgEAAGRycy9lMm9Eb2MueG1sUEsFBgAAAAAGAAYA&#10;WQEAAPQFAAAAAA==&#10;">
                        <v:fill on="f" focussize="0,0"/>
                        <v:stroke weight="0.5pt" color="#000000 [3204]" joinstyle="round"/>
                        <v:imagedata o:title=""/>
                        <o:lock v:ext="edit" aspectratio="f"/>
                        <v:textbox>
                          <w:txbxContent>
                            <w:p w14:paraId="70F22AC1">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烘干</w:t>
                              </w:r>
                            </w:p>
                          </w:txbxContent>
                        </v:textbox>
                      </v:shape>
                      <v:shape id="_x0000_s1026" o:spid="_x0000_s1026" o:spt="202" type="#_x0000_t202" style="position:absolute;left:1911350;top:3272790;height:245745;width:586105;" filled="f" stroked="t" coordsize="21600,21600" o:gfxdata="UEsDBAoAAAAAAIdO4kAAAAAAAAAAAAAAAAAEAAAAZHJzL1BLAwQUAAAACACHTuJAQ4vKJ9cAAAAG&#10;AQAADwAAAGRycy9kb3ducmV2LnhtbE2PwU7DMBBE70j8g7VI3KiTqi1VGqcHRA9ICIkWUY5OvI0j&#10;7HWI3bTw9Sxc4DLSakYzb8v12Tsx4hC7QArySQYCqQmmo1bBy25zswQRkyajXSBU8IkR1tXlRakL&#10;E070jOM2tYJLKBZagU2pL6SMjUWv4yT0SOwdwuB14nNopRn0icu9k9MsW0ivO+IFq3u8s9i8b49e&#10;wePr/uN+8/SW7bF23Xx0t/bhq1bq+irPViASntNfGH7wGR0qZqrDkUwUTgE/kn6VvWU+XYCoOZTP&#10;5jOQVSn/41ffUEsDBBQAAAAIAIdO4kCdwSw+WwIAAJ0EAAAOAAAAZHJzL2Uyb0RvYy54bWytVM1u&#10;EzEQviPxDpbvdLP5adqomyokCkKqaKWAODteb9fC9hjbyW55APoGnLhw57n6HIy9mzYqHHrg4ow9&#10;k2/m+2ZmLy5brcheOC/BFDQ/GVAiDIdSmtuCfvq4fnNGiQ/MlEyBEQW9E55ezl+/umjsTAyhBlUK&#10;RxDE+FljC1qHYGdZ5nktNPMnYIVBZwVOs4BXd5uVjjWIrlU2HAxOswZcaR1w4T2+rjon7RHdSwCh&#10;qiQXK+A7LUzoUJ1QLCAlX0vr6TxVW1WCh+uq8iIQVVBkGtKJSdDexjObX7DZrWO2lrwvgb2khGec&#10;NJMGkz5CrVhgZOfkX1BacgceqnDCQWcdkaQIssgHz7TZ1MyKxAWl9vZRdP//YPmH/Y0jssRJGOWU&#10;GKax5Q8/7h9+/n749Z3ER5SosX6GkRuLsaF9Cy2GH949PkbmbeV0/EVOJPrP83w0QZnvCjoaTofT&#10;815s0QbCMWBydpoPJpRwDBiOJ9PxJCJmT0DW+fBOgCbRKKjDXiaJ2f7Khy70EBLzGlhLpVI/lSFN&#10;QU9j+ujxoGQZnfES/7JUjuwZTsRWMf6lT3sUhUUog7VE2h29aIV22/ZabKG8QykcdPPkLV9LxL1i&#10;PtwwhwOEvHHFwjUelQIsBnqLkhrct3+9x3jsK3opaXAgC+q/7pgTlKj3Bjt+no/HcYLTBfUa4sUd&#10;e7bHHrPTS0CG2FOsLpkxPqiDWTnQn3ETFzErupjhmLug4WAuQ7cmuMlcLBYpCGfWsnBlNpZH6E72&#10;xS5AJVNHokydNr16OLWpp/2GxbU4vqeop6/K/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Di8on&#10;1wAAAAYBAAAPAAAAAAAAAAEAIAAAACIAAABkcnMvZG93bnJldi54bWxQSwECFAAUAAAACACHTuJA&#10;ncEsPlsCAACdBAAADgAAAAAAAAABACAAAAAmAQAAZHJzL2Uyb0RvYy54bWxQSwUGAAAAAAYABgBZ&#10;AQAA8wUAAAAA&#10;">
                        <v:fill on="f" focussize="0,0"/>
                        <v:stroke weight="0.5pt" color="#000000 [3204]" joinstyle="round"/>
                        <v:imagedata o:title=""/>
                        <o:lock v:ext="edit" aspectratio="f"/>
                        <v:textbox>
                          <w:txbxContent>
                            <w:p w14:paraId="607B0B0E">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皮带输送</w:t>
                              </w:r>
                            </w:p>
                          </w:txbxContent>
                        </v:textbox>
                      </v:shape>
                      <v:shape id="_x0000_s1026" o:spid="_x0000_s1026" o:spt="202" type="#_x0000_t202" style="position:absolute;left:2013585;top:1698625;height:245745;width:381000;" filled="f" stroked="t" coordsize="21600,21600" o:gfxdata="UEsDBAoAAAAAAIdO4kAAAAAAAAAAAAAAAAAEAAAAZHJzL1BLAwQUAAAACACHTuJAQ4vKJ9cAAAAG&#10;AQAADwAAAGRycy9kb3ducmV2LnhtbE2PwU7DMBBE70j8g7VI3KiTqi1VGqcHRA9ICIkWUY5OvI0j&#10;7HWI3bTw9Sxc4DLSakYzb8v12Tsx4hC7QArySQYCqQmmo1bBy25zswQRkyajXSBU8IkR1tXlRakL&#10;E070jOM2tYJLKBZagU2pL6SMjUWv4yT0SOwdwuB14nNopRn0icu9k9MsW0ivO+IFq3u8s9i8b49e&#10;wePr/uN+8/SW7bF23Xx0t/bhq1bq+irPViASntNfGH7wGR0qZqrDkUwUTgE/kn6VvWU+XYCoOZTP&#10;5jOQVSn/41ffUEsDBBQAAAAIAIdO4kCaArlEXAIAAJ0EAAAOAAAAZHJzL2Uyb0RvYy54bWytVM1u&#10;EzEQviPxDpbvdDe/pFE2VWhVhFTRSgVxdrze7Ar/YTvZLQ8Ab8CJC3eeq8/BZ2/SRoVDD1yc8cy3&#10;4/m+mcnirFOS7ITzjdEFHZzklAjNTdnoTUE/frh8NaPEB6ZLJo0WBb0Tnp4tX75YtHYuhqY2shSO&#10;IIn289YWtA7BzrPM81oo5k+MFRrByjjFAq5uk5WOtciuZDbM82nWGldaZ7jwHt6LPkj3Gd1zEpqq&#10;ari4MHyrhA59VickC6Dk68Z6ukzVVpXg4bqqvAhEFhRMQzrxCOx1PLPlgs03jtm64fsS2HNKeMJJ&#10;sUbj0YdUFywwsnXNX6lUw53xpgon3KisJ5IUAYtB/kSb25pZkbhAam8fRPf/Ly1/v7txpCkxCaMh&#10;JZoptPz+x/f7n7/vf30j0QmJWuvnQN5aYEP3xnSAH/wezsi8q5yKv+BEEAed0WQ2oeQO2OnpbDqc&#10;9GKLLhAOwGg2yHO0gQMwHE9ej1M8e0xknQ9vhVEkGgV16GWSmO2ufEBRgB4g8V1tLhspUz+lJm1B&#10;p6NJnj7wRjZlDEZY/ORcOrJjmIi1ZPxzLAu5jlC4SQ1npN3Ti1bo1t1ei7Up7yCFM/08ecsvG+S9&#10;Yj7cMIcBAi+sWLjGUUmDYszeoqQ27uu//BGPviJKSYuBLKj/smVOUCLfaXT8dDAexwlOF+g1xMUd&#10;R9bHEb1V5wYMB1hmy5MZ8UEezMoZ9QmbuIqvIsQ0x9sFDQfzPPRrgk3mYrVKIMysZeFK31oeU/ey&#10;r7bBVE3qSJSp12avHqY2ibvfsLgWx/eEevxXWf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4vK&#10;J9cAAAAGAQAADwAAAAAAAAABACAAAAAiAAAAZHJzL2Rvd25yZXYueG1sUEsBAhQAFAAAAAgAh07i&#10;QJoCuURcAgAAnQQAAA4AAAAAAAAAAQAgAAAAJgEAAGRycy9lMm9Eb2MueG1sUEsFBgAAAAAGAAYA&#10;WQEAAPQFAAAAAA==&#10;">
                        <v:fill on="f" focussize="0,0"/>
                        <v:stroke weight="0.5pt" color="#000000 [3204]" joinstyle="round"/>
                        <v:imagedata o:title=""/>
                        <o:lock v:ext="edit" aspectratio="f"/>
                        <v:textbox>
                          <w:txbxContent>
                            <w:p w14:paraId="1B335840">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筛分</w:t>
                              </w:r>
                            </w:p>
                          </w:txbxContent>
                        </v:textbox>
                      </v:shape>
                      <v:shape id="_x0000_s1026" o:spid="_x0000_s1026" o:spt="202" type="#_x0000_t202" style="position:absolute;left:1998980;top:2824480;height:245745;width:412750;" filled="f" stroked="t" coordsize="21600,21600" o:gfxdata="UEsDBAoAAAAAAIdO4kAAAAAAAAAAAAAAAAAEAAAAZHJzL1BLAwQUAAAACACHTuJAQ4vKJ9cAAAAG&#10;AQAADwAAAGRycy9kb3ducmV2LnhtbE2PwU7DMBBE70j8g7VI3KiTqi1VGqcHRA9ICIkWUY5OvI0j&#10;7HWI3bTw9Sxc4DLSakYzb8v12Tsx4hC7QArySQYCqQmmo1bBy25zswQRkyajXSBU8IkR1tXlRakL&#10;E070jOM2tYJLKBZagU2pL6SMjUWv4yT0SOwdwuB14nNopRn0icu9k9MsW0ivO+IFq3u8s9i8b49e&#10;wePr/uN+8/SW7bF23Xx0t/bhq1bq+irPViASntNfGH7wGR0qZqrDkUwUTgE/kn6VvWU+XYCoOZTP&#10;5jOQVSn/41ffUEsDBBQAAAAIAIdO4kAT/0OYWQIAAJ0EAAAOAAAAZHJzL2Uyb0RvYy54bWytVM1u&#10;EzEQviPxDpbvdJN0W5Komyq0KkKqaKWCODteb9fCf9hOdssDwBtw4sKd5+pz8NmbtFHh0AMXZ+z5&#10;8s3MNzN7ctprRTbCB2lNRccHI0qE4baW5raiHz9cvJpSEiIzNVPWiIreiUBPFy9fnHRuLia2taoW&#10;noDEhHnnKtrG6OZFEXgrNAsH1gkDZ2O9ZhFXf1vUnnVg16qYjEbHRWd97bzlIgS8ng9OumX0zyG0&#10;TSO5OLd8rYWJA6sXikWUFFrpAl3kbJtG8HjVNEFEoiqKSmM+EQT2Kp3F4oTNbz1zreTbFNhzUnhS&#10;k2bSIOgD1TmLjKy9/ItKS+5tsE084FYXQyFZEVQxHj3R5qZlTuRaIHVwD6KH/0fL32+uPZE1JuHw&#10;kBLDNFp+/+P7/c/f97++kfQIiToX5kDeOGBj/8b2gO/eAx5T5X3jdfpFTST5Z7PpbAqZ7yo6mU7K&#10;EnYWW/SRcADK8eT1Efw8Acqj1+VR8hePRM6H+FZYTZJRUY9eZonZ5jLEAbqDpLjGXkilcghlSFfR&#10;40PQJ0+wStbJmS7pL2fKkw3DRKwU45+3YfdQSEIZ5JLKHspLVuxXPeiTubL1HaTwdpin4PiFBO8l&#10;C/GaeQwQ6sKKxSscjbJIxm4tSlrrv/7rPeHRV3gp6TCQFQ1f1swLStQ7g47PxmUJ2pgv0GuCi9/3&#10;rPY9Zq3PLCocY5kdz2bCR7UzG2/1J2ziMkWFixmO2BWNO/MsDmuCTeZiucwgzKxj8dLcOJ6oB9mX&#10;62gbmTvyqM1WPUxt7ul2w9Ja7N8z6vGrsv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Q4vKJ9cA&#10;AAAGAQAADwAAAAAAAAABACAAAAAiAAAAZHJzL2Rvd25yZXYueG1sUEsBAhQAFAAAAAgAh07iQBP/&#10;Q5hZAgAAnQQAAA4AAAAAAAAAAQAgAAAAJgEAAGRycy9lMm9Eb2MueG1sUEsFBgAAAAAGAAYAWQEA&#10;APEFAAAAAA==&#10;">
                        <v:fill on="f" focussize="0,0"/>
                        <v:stroke weight="0.5pt" color="#000000 [3204]" joinstyle="round"/>
                        <v:imagedata o:title=""/>
                        <o:lock v:ext="edit" aspectratio="f"/>
                        <v:textbox>
                          <w:txbxContent>
                            <w:p w14:paraId="43B73620">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投料</w:t>
                              </w:r>
                            </w:p>
                          </w:txbxContent>
                        </v:textbox>
                      </v:shape>
                      <v:shape id="_x0000_s1026" o:spid="_x0000_s1026" o:spt="202" type="#_x0000_t202" style="position:absolute;left:1911985;top:2408555;height:245745;width:586105;" filled="f" stroked="t" coordsize="21600,21600" o:gfxdata="UEsDBAoAAAAAAIdO4kAAAAAAAAAAAAAAAAAEAAAAZHJzL1BLAwQUAAAACACHTuJAQ4vKJ9cAAAAG&#10;AQAADwAAAGRycy9kb3ducmV2LnhtbE2PwU7DMBBE70j8g7VI3KiTqi1VGqcHRA9ICIkWUY5OvI0j&#10;7HWI3bTw9Sxc4DLSakYzb8v12Tsx4hC7QArySQYCqQmmo1bBy25zswQRkyajXSBU8IkR1tXlRakL&#10;E070jOM2tYJLKBZagU2pL6SMjUWv4yT0SOwdwuB14nNopRn0icu9k9MsW0ivO+IFq3u8s9i8b49e&#10;wePr/uN+8/SW7bF23Xx0t/bhq1bq+irPViASntNfGH7wGR0qZqrDkUwUTgE/kn6VvWU+XYCoOZTP&#10;5jOQVSn/41ffUEsDBBQAAAAIAIdO4kBC5v/IXQIAAJ0EAAAOAAAAZHJzL2Uyb0RvYy54bWytVMFu&#10;2zAMvQ/YPwi6r7bTuE2DOkWWosOAYi3QDTsrshwLk0RNUmJ3H7D+wU677L7vyneMkpM26HboYReF&#10;Ip+fyEcy5xe9VmQjnJdgKloc5ZQIw6GWZlXRTx+v3kwo8YGZmikwoqL3wtOL2etX552dihG0oGrh&#10;CJIYP+1sRdsQ7DTLPG+FZv4IrDAYbMBpFvDqVlntWIfsWmWjPD/JOnC1dcCF9+i9HIJ0x+heQghN&#10;I7m4BL7WwoSB1QnFApbkW2k9naVsm0bwcNM0XgSiKoqVhnTiI2gv45nNztl05ZhtJd+lwF6SwrOa&#10;NJMGH32kumSBkbWTf1FpyR14aMIRB50NhSRFsIoif6bNXcusSLWg1N4+iu7/Hy3/sLl1RNY4Ccdj&#10;SgzT2PLtj4ftz9/bX99JdKJEnfVTRN5ZxIb+LfQI3/s9OmPlfeN0/MWaSIyfFcXZpKTkvqKjcT4p&#10;y3IQW/SBcASUk5MixzhPgPJ0nOLZE5F1PrwToEk0Kuqwl0litrn2AZNC6B4S3zVwJZVK/VSGdBU9&#10;OS7z9IEHJesYjLD4yUI5smE4EUvF+JeYFnIdoPCmDDpj2UN50Qr9st9psYT6HqVwMMyTt/xKIu81&#10;8+GWORwgHC9csXCDR6MAk4GdRUkL7tu//BGPfcUoJR0OZEX91zVzghL13mDHz4rxOE5wuozL0xFe&#10;3GFkeRgxa70ArLDAZbY8mREf1N5sHOjPuInz+CqGmOH4dkXD3lyEYU1wk7mYzxMIZ9aycG3uLI/U&#10;g+zzdYBGpo5EmQZtdurh1CZxdxsW1+LwnlBP/yqz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OL&#10;yifXAAAABgEAAA8AAAAAAAAAAQAgAAAAIgAAAGRycy9kb3ducmV2LnhtbFBLAQIUABQAAAAIAIdO&#10;4kBC5v/IXQIAAJ0EAAAOAAAAAAAAAAEAIAAAACYBAABkcnMvZTJvRG9jLnhtbFBLBQYAAAAABgAG&#10;AFkBAAD1BQAAAAA=&#10;">
                        <v:fill on="f" focussize="0,0"/>
                        <v:stroke weight="0.5pt" color="#000000 [3204]" joinstyle="round"/>
                        <v:imagedata o:title=""/>
                        <o:lock v:ext="edit" aspectratio="f"/>
                        <v:textbox>
                          <w:txbxContent>
                            <w:p w14:paraId="4D27349F">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堆场暂存</w:t>
                              </w:r>
                            </w:p>
                          </w:txbxContent>
                        </v:textbox>
                      </v:shape>
                      <v:shape id="_x0000_s1026" o:spid="_x0000_s1026" o:spt="202" type="#_x0000_t202" style="position:absolute;left:1999615;top:1155700;height:245745;width:403860;" filled="f" stroked="t" coordsize="21600,21600" o:gfxdata="UEsDBAoAAAAAAIdO4kAAAAAAAAAAAAAAAAAEAAAAZHJzL1BLAwQUAAAACACHTuJAQ4vKJ9cAAAAG&#10;AQAADwAAAGRycy9kb3ducmV2LnhtbE2PwU7DMBBE70j8g7VI3KiTqi1VGqcHRA9ICIkWUY5OvI0j&#10;7HWI3bTw9Sxc4DLSakYzb8v12Tsx4hC7QArySQYCqQmmo1bBy25zswQRkyajXSBU8IkR1tXlRakL&#10;E070jOM2tYJLKBZagU2pL6SMjUWv4yT0SOwdwuB14nNopRn0icu9k9MsW0ivO+IFq3u8s9i8b49e&#10;wePr/uN+8/SW7bF23Xx0t/bhq1bq+irPViASntNfGH7wGR0qZqrDkUwUTgE/kn6VvWU+XYCoOZTP&#10;5jOQVSn/41ffUEsDBBQAAAAIAIdO4kB2uXiGXAIAAJ0EAAAOAAAAZHJzL2Uyb0RvYy54bWytVEFu&#10;2zAQvBfoHwjeG8mO7cRG5MBNkKJA0ARIi55pioqIUiRL0pbSBzQ/6KmX3vuuvKNDSk6MtIcceqGX&#10;3NGQM7vrk9OuUWQrnJdGF3R0kFMiNDel1LcF/fTx4s0xJT4wXTJltCjonfD0dPn61UlrF2JsaqNK&#10;4QhItF+0tqB1CHaRZZ7XomH+wFihkayMa1jA1t1mpWMt2BuVjfN8lrXGldYZLrzH6XmfpAOjewmh&#10;qSrJxbnhm0bo0LM6oViAJF9L6+kyvbaqBA9XVeVFIKqgUBrSiksQr+OaLU/Y4tYxW0s+PIG95AnP&#10;NDVMalz6SHXOAiMbJ/+iaiR3xpsqHHDTZL2Q5AhUjPJn3tzUzIqkBVZ7+2i6/3+0/MP22hFZohMO&#10;p5Ro1qDkDz/uH37+fvj1ncRDWNRavwDyxgIburemA3x37nEYlXeVa+IvNJGYn8/nsxEo7xCPptOj&#10;fDBbdIFwACb54fEMZeAAjCfTo0m6KXsiss6Hd8I0JAYFdahlsphtL33AowDdQeK92lxIpVI9lSZt&#10;QWeH0zx94I2SZUxGWPzkTDmyZeiItWL8SxQCrj0UdkrjMMru5cUodOtu8GJtyjtY4UzfT97yCwne&#10;S+bDNXNoIOjCiIUrLJUyeIwZIkpq47796zziUVdkKWnRkAX1XzfMCUrUe42Kz0eTSezgtIFfY2zc&#10;fma9n9Gb5sxA4QjDbHkKIz6oXVg503zGJK7irUgxzXF3QcMuPAv9mGCSuVitEgg9a1m41DeWR+re&#10;9tUmmEqmikSbem8G99C1ydxhwuJY7O8T6ulfZfk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4vK&#10;J9cAAAAGAQAADwAAAAAAAAABACAAAAAiAAAAZHJzL2Rvd25yZXYueG1sUEsBAhQAFAAAAAgAh07i&#10;QHa5eIZcAgAAnQQAAA4AAAAAAAAAAQAgAAAAJgEAAGRycy9lMm9Eb2MueG1sUEsFBgAAAAAGAAYA&#10;WQEAAPQFAAAAAA==&#10;">
                        <v:fill on="f" focussize="0,0"/>
                        <v:stroke weight="0.5pt" color="#000000 [3204]" joinstyle="round"/>
                        <v:imagedata o:title=""/>
                        <o:lock v:ext="edit" aspectratio="f"/>
                        <v:textbox>
                          <w:txbxContent>
                            <w:p w14:paraId="0C7586AF">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破碎</w:t>
                              </w:r>
                            </w:p>
                          </w:txbxContent>
                        </v:textbox>
                      </v:shape>
                      <v:shape id="_x0000_s1026" o:spid="_x0000_s1026" o:spt="202" type="#_x0000_t202" style="position:absolute;left:2003425;top:735330;height:245745;width:387985;" filled="f" stroked="t" coordsize="21600,21600" o:gfxdata="UEsDBAoAAAAAAIdO4kAAAAAAAAAAAAAAAAAEAAAAZHJzL1BLAwQUAAAACACHTuJAQ4vKJ9cAAAAG&#10;AQAADwAAAGRycy9kb3ducmV2LnhtbE2PwU7DMBBE70j8g7VI3KiTqi1VGqcHRA9ICIkWUY5OvI0j&#10;7HWI3bTw9Sxc4DLSakYzb8v12Tsx4hC7QArySQYCqQmmo1bBy25zswQRkyajXSBU8IkR1tXlRakL&#10;E070jOM2tYJLKBZagU2pL6SMjUWv4yT0SOwdwuB14nNopRn0icu9k9MsW0ivO+IFq3u8s9i8b49e&#10;wePr/uN+8/SW7bF23Xx0t/bhq1bq+irPViASntNfGH7wGR0qZqrDkUwUTgE/kn6VvWU+XYCoOZTP&#10;5jOQVSn/41ffUEsDBBQAAAAIAIdO4kA2K46sXAIAAJwEAAAOAAAAZHJzL2Uyb0RvYy54bWytVMFu&#10;EzEQvSPxD5bvZJNs0qZRN1VoFYRU0UoBcXa83q6F7TG2k93yAfQPOHHhznflOxh7N21UOPTAxRl7&#10;3r6ZeTOT84tWK7ITzkswBR0NhpQIw6GU5q6gnz6u3swo8YGZkikwoqD3wtOLxetX542dizHUoErh&#10;CJIYP29sQesQ7DzLPK+FZn4AVhh0VuA0C3h1d1npWIPsWmXj4fAka8CV1gEX3uPrVeekPaN7CSFU&#10;leTiCvhWCxM6VicUC1iSr6X1dJGyrSrBw01VeRGIKihWGtKJQdDexDNbnLP5nWO2lrxPgb0khWc1&#10;aSYNBn2kumKBka2Tf1FpyR14qMKAg866QpIiWMVo+Eybdc2sSLWg1N4+iu7/Hy3/sLt1RJY4CfkJ&#10;JYZpbPn+x8P+5+/9r+8kPqJEjfVzRK4tYkP7FlqEH949PsbK28rp+Is1EfRjq/PJeErJfUFP82me&#10;91qLNhCO/nx2ejZDN0f/eDI9nUwjYfbEY50P7wRoEo2COmxlUpjtrn3ooAdIDGtgJZVK7VSGNAU9&#10;yafD9IEHJcvojLD4yaVyZMdwIDaK8S992CMUJqEM5hKr7qqLVmg3bS/FBsp7VMJBN07e8pVE3mvm&#10;wy1zOD84Xbhh4QaPSgEmA71FSQ3u27/eIx7bil5KGpzHgvqvW+YEJeq9wYafjSaTOMDpgnqN8eKO&#10;PZtjj9nqS8AKR7jLlicz4oM6mJUD/RkXcRmjoosZjrELGg7mZei2BBeZi+UygXBkLQvXZm15pO5k&#10;X24DVDJ1JMrUadOrh0ObetovWNyK43tCPf2pL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4vK&#10;J9cAAAAGAQAADwAAAAAAAAABACAAAAAiAAAAZHJzL2Rvd25yZXYueG1sUEsBAhQAFAAAAAgAh07i&#10;QDYrjqxcAgAAnAQAAA4AAAAAAAAAAQAgAAAAJgEAAGRycy9lMm9Eb2MueG1sUEsFBgAAAAAGAAYA&#10;WQEAAPQFAAAAAA==&#10;">
                        <v:fill on="f" focussize="0,0"/>
                        <v:stroke weight="0.5pt" color="#000000 [3204]" joinstyle="round"/>
                        <v:imagedata o:title=""/>
                        <o:lock v:ext="edit" aspectratio="f"/>
                        <v:textbox>
                          <w:txbxContent>
                            <w:p w14:paraId="24809070">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投料</w:t>
                              </w:r>
                            </w:p>
                          </w:txbxContent>
                        </v:textbox>
                      </v:shape>
                      <v:shape id="_x0000_s1026" o:spid="_x0000_s1026" o:spt="202" type="#_x0000_t202" style="position:absolute;left:1167130;top:6083300;height:245745;width:588645;" filled="f" stroked="t" coordsize="21600,21600" o:gfxdata="UEsDBAoAAAAAAIdO4kAAAAAAAAAAAAAAAAAEAAAAZHJzL1BLAwQUAAAACACHTuJAQ4vKJ9cAAAAG&#10;AQAADwAAAGRycy9kb3ducmV2LnhtbE2PwU7DMBBE70j8g7VI3KiTqi1VGqcHRA9ICIkWUY5OvI0j&#10;7HWI3bTw9Sxc4DLSakYzb8v12Tsx4hC7QArySQYCqQmmo1bBy25zswQRkyajXSBU8IkR1tXlRakL&#10;E070jOM2tYJLKBZagU2pL6SMjUWv4yT0SOwdwuB14nNopRn0icu9k9MsW0ivO+IFq3u8s9i8b49e&#10;wePr/uN+8/SW7bF23Xx0t/bhq1bq+irPViASntNfGH7wGR0qZqrDkUwUTgE/kn6VvWU+XYCoOZTP&#10;5jOQVSn/41ffUEsDBBQAAAAIAIdO4kBOviT0WwIAAJ0EAAAOAAAAZHJzL2Uyb0RvYy54bWytVM1u&#10;EzEQviPxDpbvdHfz1xBlU4VWRUgVrVQQZ8fr7VrYHmM72S0PAG/AiQt3nivPwdi7aaPCoQcuztjz&#10;7cx838xkedZpRXbCeQmmpMVJTokwHCpp7kr68cPlqzklPjBTMQVGlPReeHq2evli2dqFGEEDqhKO&#10;YBDjF60taROCXWSZ543QzJ+AFQadNTjNAl7dXVY51mJ0rbJRns+yFlxlHXDhPb5e9E46RHTPCQh1&#10;Lbm4AL7VwoQ+qhOKBaTkG2k9XaVq61rwcF3XXgSiSopMQzoxCdqbeGarJVvcOWYbyYcS2HNKeMJJ&#10;M2kw6UOoCxYY2Tr5VygtuQMPdTjhoLOeSFIEWRT5E21uG2ZF4oJSe/sguv9/Yfn73Y0jssJJGJ9S&#10;YpjGlu9/fN///L3/9Y3ER5SotX6ByFuL2NC9gQ7hh3ePj5F5Vzsdf5ETif5idlqMUeb7ks7y+Xic&#10;D2KLLhCOgOl8PptMKeEIGE2mp2hjpuwxkHU+vBWgSTRK6rCXSWK2u/Khhx4gMa+BS6lU6qcypMWs&#10;42mePvCgZBWdERY/OVeO7BhOxEYx/nlIe4TCIpTBWiLtnl60QrfpBi02UN2jFA76efKWX0qMe8V8&#10;uGEOBwh544qFazxqBVgMDBYlDbiv/3qPeOwreilpcSBL6r9smROUqHcGO/66mEziBKcL6jXCizv2&#10;bI49ZqvPARkWuMyWJzPigzqYtQP9CTdxHbOiixmOuUsaDuZ56NcEN5mL9TqBcGYtC1fm1vIYupd9&#10;vQ1Qy9SRKFOvzaAeTm3q6bBhcS2O7wn1+K+y+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Di8on&#10;1wAAAAYBAAAPAAAAAAAAAAEAIAAAACIAAABkcnMvZG93bnJldi54bWxQSwECFAAUAAAACACHTuJA&#10;Tr4k9FsCAACdBAAADgAAAAAAAAABACAAAAAmAQAAZHJzL2Uyb0RvYy54bWxQSwUGAAAAAAYABgBZ&#10;AQAA8wUAAAAA&#10;">
                        <v:fill on="f" focussize="0,0"/>
                        <v:stroke weight="0.5pt" color="#000000 [3204]" joinstyle="round"/>
                        <v:imagedata o:title=""/>
                        <o:lock v:ext="edit" aspectratio="f"/>
                        <v:textbox>
                          <w:txbxContent>
                            <w:p w14:paraId="7CE092A1">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计量投料</w:t>
                              </w:r>
                            </w:p>
                          </w:txbxContent>
                        </v:textbox>
                      </v:shape>
                      <v:shape id="_x0000_s1026" o:spid="_x0000_s1026" o:spt="202" type="#_x0000_t202" style="position:absolute;left:288290;top:5609590;height:245745;width:579120;" filled="f" stroked="t" coordsize="21600,21600" o:gfxdata="UEsDBAoAAAAAAIdO4kAAAAAAAAAAAAAAAAAEAAAAZHJzL1BLAwQUAAAACACHTuJAQ4vKJ9cAAAAG&#10;AQAADwAAAGRycy9kb3ducmV2LnhtbE2PwU7DMBBE70j8g7VI3KiTqi1VGqcHRA9ICIkWUY5OvI0j&#10;7HWI3bTw9Sxc4DLSakYzb8v12Tsx4hC7QArySQYCqQmmo1bBy25zswQRkyajXSBU8IkR1tXlRakL&#10;E070jOM2tYJLKBZagU2pL6SMjUWv4yT0SOwdwuB14nNopRn0icu9k9MsW0ivO+IFq3u8s9i8b49e&#10;wePr/uN+8/SW7bF23Xx0t/bhq1bq+irPViASntNfGH7wGR0qZqrDkUwUTgE/kn6VvWU+XYCoOZTP&#10;5jOQVSn/41ffUEsDBBQAAAAIAIdO4kA7Q0Y0WgIAAJwEAAAOAAAAZHJzL2Uyb0RvYy54bWytVM1u&#10;EzEQviPxDpbvdJM0aZOomyq0KkKqaKWCODteb9fCf9hOdssD0DfgxIU7z9Xn4LM3aaPCoQcuztjz&#10;7Tcz38zk5LTTimyED9Kakg4PBpQIw20lzW1JP328eDOlJERmKqasESW9E4GeLl6/OmndXIxsY1Ul&#10;PAGJCfPWlbSJ0c2LIvBGaBYOrBMGztp6zSKu/raoPGvBrlUxGgyOitb6ynnLRQh4Pe+ddMvoX0Jo&#10;61pycW75WgsTe1YvFIsoKTTSBbrI2da14PGqroOIRJUUlcZ8IgjsVTqLxQmb33rmGsm3KbCXpPCs&#10;Js2kQdBHqnMWGVl7+ReVltzbYOt4wK0u+kKyIqhiOHimzU3DnMi1QOrgHkUP/4+Wf9hceyIrTMIh&#10;Gm+YRssfftw//Pz98Os7SY+QqHVhDuSNAzZ2b20H+O494DFV3tVep1/UROAfTaejGVS+K+nkaDCb&#10;wM5aiy4SDv/keDYcwc8BGI0nx+NJ8hdPPM6H+E5YTZJRUo9WZoXZ5jLEHrqDpLDGXkilcghlSFvS&#10;o8PJIH8QrJJVciZY+uRMebJhGIiVYvzLNuweCkkog1xS1X11yYrdqgN9Mle2uoMS3vbjFBy/kOC9&#10;ZCFeM4/5QV3YsHiFo1YWyditRUlj/bd/vSc82govJS3msaTh65p5QYl6b9Dw2XA8Bm3MF+iVtPP7&#10;ntW+x6z1mUWFQ+yy49lM+Kh2Zu2t/oxFXKaocDHDEbukcWeexX5LsMhcLJcZhJF1LF6aG8cTdS/7&#10;ch1tLXNHnrTZqoehzT3dLljaiv17Rj39qS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OLyifX&#10;AAAABgEAAA8AAAAAAAAAAQAgAAAAIgAAAGRycy9kb3ducmV2LnhtbFBLAQIUABQAAAAIAIdO4kA7&#10;Q0Y0WgIAAJwEAAAOAAAAAAAAAAEAIAAAACYBAABkcnMvZTJvRG9jLnhtbFBLBQYAAAAABgAGAFkB&#10;AADyBQAAAAA=&#10;">
                        <v:fill on="f" focussize="0,0"/>
                        <v:stroke weight="0.5pt" color="#000000 [3204]" joinstyle="round"/>
                        <v:imagedata o:title=""/>
                        <o:lock v:ext="edit" aspectratio="f"/>
                        <v:textbox>
                          <w:txbxContent>
                            <w:p w14:paraId="7AB35B88">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导热油炉</w:t>
                              </w:r>
                            </w:p>
                          </w:txbxContent>
                        </v:textbox>
                      </v:shape>
                      <v:shape id="_x0000_s1026" o:spid="_x0000_s1026" o:spt="202" type="#_x0000_t202" style="position:absolute;left:1261745;top:5615305;height:245745;width:412750;" filled="f" stroked="t" coordsize="21600,21600" o:gfxdata="UEsDBAoAAAAAAIdO4kAAAAAAAAAAAAAAAAAEAAAAZHJzL1BLAwQUAAAACACHTuJAQ4vKJ9cAAAAG&#10;AQAADwAAAGRycy9kb3ducmV2LnhtbE2PwU7DMBBE70j8g7VI3KiTqi1VGqcHRA9ICIkWUY5OvI0j&#10;7HWI3bTw9Sxc4DLSakYzb8v12Tsx4hC7QArySQYCqQmmo1bBy25zswQRkyajXSBU8IkR1tXlRakL&#10;E070jOM2tYJLKBZagU2pL6SMjUWv4yT0SOwdwuB14nNopRn0icu9k9MsW0ivO+IFq3u8s9i8b49e&#10;wePr/uN+8/SW7bF23Xx0t/bhq1bq+irPViASntNfGH7wGR0qZqrDkUwUTgE/kn6VvWU+XYCoOZTP&#10;5jOQVSn/41ffUEsDBBQAAAAIAIdO4kAbsqxpWwIAAJ0EAAAOAAAAZHJzL2Uyb0RvYy54bWytVM2O&#10;0zAQviPxDpbvNE3/lq2arkqrIqQVu1JBnF3HaSxsj7HdJuUB4A04ceHOc/U5GCfpbrVw2AMXd+z5&#10;OjPfNzOZ3dRakYNwXoLJaNrrUyIMh1yaXUY/fli/ek2JD8zkTIERGT0KT2/mL1/MKjsVAyhB5cIR&#10;DGL8tLIZLUOw0yTxvBSa+R5YYdBZgNMs4NXtktyxCqNrlQz6/UlSgcutAy68x9dV66RdRPecgFAU&#10;kosV8L0WJrRRnVAsICVfSuvpvKm2KAQPd0XhRSAqo8g0NCcmQXsbz2Q+Y9OdY7aUvCuBPaeEJ5w0&#10;kwaTPoRascDI3sm/QmnJHXgoQo+DTloijSLIIu0/0WZTMisaLii1tw+i+/8Xlr8/3Dsic5yE4TUl&#10;hmls+enH99PP36df30h8RIkq66eI3FjEhvoN1Ag/v3t8jMzrwun4i5xI9A8m6dVoTMkxo+NJOh72&#10;x63Yog6EI2CUDq7G2AaOgMFoHLGYKXkMZJ0PbwVoEo2MOuxlIzE73PrQQs+QmNfAWirV9FMZUmV0&#10;MsTw0eNByTw64yX+ZakcOTCciK1i/HOX9gKFRSiDtUTaLb1ohXpbd1psIT+iFA7aefKWryXGvWU+&#10;3DOHA4S8cMXCHR6FAiwGOouSEtzXf71HPPYVvZRUOJAZ9V/2zAlK1DuDHb9OR6M4wc0F9RrgxV16&#10;tpces9dLQIYpLrPljRnxQZ3NwoH+hJu4iFnRxQzH3BkNZ3MZ2jXBTeZisWhAOLOWhVuzsTyGbmVf&#10;7AMUsulIlKnVplMPp7bpabdhcS0u7w3q8asy/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Di8on&#10;1wAAAAYBAAAPAAAAAAAAAAEAIAAAACIAAABkcnMvZG93bnJldi54bWxQSwECFAAUAAAACACHTuJA&#10;G7KsaVsCAACdBAAADgAAAAAAAAABACAAAAAmAQAAZHJzL2Uyb0RvYy54bWxQSwUGAAAAAAYABgBZ&#10;AQAA8wUAAAAA&#10;">
                        <v:fill on="f" focussize="0,0"/>
                        <v:stroke weight="0.5pt" color="#000000 [3204]" joinstyle="round"/>
                        <v:imagedata o:title=""/>
                        <o:lock v:ext="edit" aspectratio="f"/>
                        <v:textbox>
                          <w:txbxContent>
                            <w:p w14:paraId="7330C18B">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加热</w:t>
                              </w:r>
                            </w:p>
                          </w:txbxContent>
                        </v:textbox>
                      </v:shape>
                      <v:shape id="_x0000_s1026" o:spid="_x0000_s1026" o:spt="202" type="#_x0000_t202" style="position:absolute;left:1132205;top:5061585;height:245745;width:665480;" filled="f" stroked="t" coordsize="21600,21600" o:gfxdata="UEsDBAoAAAAAAIdO4kAAAAAAAAAAAAAAAAAEAAAAZHJzL1BLAwQUAAAACACHTuJAQ4vKJ9cAAAAG&#10;AQAADwAAAGRycy9kb3ducmV2LnhtbE2PwU7DMBBE70j8g7VI3KiTqi1VGqcHRA9ICIkWUY5OvI0j&#10;7HWI3bTw9Sxc4DLSakYzb8v12Tsx4hC7QArySQYCqQmmo1bBy25zswQRkyajXSBU8IkR1tXlRakL&#10;E070jOM2tYJLKBZagU2pL6SMjUWv4yT0SOwdwuB14nNopRn0icu9k9MsW0ivO+IFq3u8s9i8b49e&#10;wePr/uN+8/SW7bF23Xx0t/bhq1bq+irPViASntNfGH7wGR0qZqrDkUwUTgE/kn6VvWU+XYCoOZTP&#10;5jOQVSn/41ffUEsDBBQAAAAIAIdO4kCNnS7jXAIAAJ0EAAAOAAAAZHJzL2Uyb0RvYy54bWytVMFu&#10;EzEQvSPxD5bvdDdpNpSomyqkKkKqaKWCODteb9bCaxvbyW75APoHnLhw57v6HTx7kzYqHHrg4ow9&#10;b9/MvJnJ6VnfKrIVzkujSzo6yikRmptK6nVJP328eHVCiQ9MV0wZLUp6Kzw9m798cdrZmRibxqhK&#10;OAIS7WedLWkTgp1lmeeNaJk/MlZoOGvjWhZwdeuscqwDe6uycZ5Ps864yjrDhfd4PR+cdMfonkNo&#10;6lpycW74phU6DKxOKBZQkm+k9XSesq1rwcNVXXsRiCopKg3pRBDYq3hm81M2WztmG8l3KbDnpPCk&#10;ppZJjaAPVOcsMLJx8i+qVnJnvKnDETdtNhSSFEEVo/yJNjcNsyLVAqm9fRDd/z9a/mF77YisMAkT&#10;aKJZi5bf/7i7//n7/td3Eh8hUWf9DMgbC2zo35oe8P27x2OsvK9dG39RE4n+0fF4nBeU3Ja0yKej&#10;4qQYxBZ9IByA6bSYnCAkB2A8KV5Pkj97JLLOh3fCtCQaJXXoZZKYbS99QFKA7iExrjYXUqnUT6VJ&#10;hwDHRZ4+8EbJKjojLH6yVI5sGSZipRj/EtMC1wEKN6XxGMseyotW6Ff9TouVqW4hhTPDPHnLLyR4&#10;L5kP18xhgFAXVixc4aiVQTJmZ1HSGPftX+8Rj77CS0mHgSyp/7phTlCi3mt0/M1oEjsU0gV6jXFx&#10;h57VoUdv2qVBhSMss+XJjPig9mbtTPsZm7iIUeFimiN2ScPeXIZhTbDJXCwWCYSZtSxc6hvLI/Ug&#10;+2ITTC1TR6JMgzY79TC1SdzdhsW1OLwn1OO/yv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4vK&#10;J9cAAAAGAQAADwAAAAAAAAABACAAAAAiAAAAZHJzL2Rvd25yZXYueG1sUEsBAhQAFAAAAAgAh07i&#10;QI2dLuNcAgAAnQQAAA4AAAAAAAAAAQAgAAAAJgEAAGRycy9lMm9Eb2MueG1sUEsFBgAAAAAGAAYA&#10;WQEAAPQFAAAAAA==&#10;">
                        <v:fill on="f" focussize="0,0"/>
                        <v:stroke weight="0.5pt" color="#000000 [3204]" joinstyle="round"/>
                        <v:imagedata o:title=""/>
                        <o:lock v:ext="edit" aspectratio="f"/>
                        <v:textbox>
                          <w:txbxContent>
                            <w:p w14:paraId="4C62B5AF">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沥青罐储存</w:t>
                              </w:r>
                            </w:p>
                          </w:txbxContent>
                        </v:textbox>
                      </v:shape>
                      <v:shape id="_x0000_s1026" o:spid="_x0000_s1026" o:spt="202" type="#_x0000_t202" style="position:absolute;left:4205605;top:2945130;height:245745;width:476250;" filled="f" stroked="t" coordsize="21600,21600" o:gfxdata="UEsDBAoAAAAAAIdO4kAAAAAAAAAAAAAAAAAEAAAAZHJzL1BLAwQUAAAACACHTuJAQ4vKJ9cAAAAG&#10;AQAADwAAAGRycy9kb3ducmV2LnhtbE2PwU7DMBBE70j8g7VI3KiTqi1VGqcHRA9ICIkWUY5OvI0j&#10;7HWI3bTw9Sxc4DLSakYzb8v12Tsx4hC7QArySQYCqQmmo1bBy25zswQRkyajXSBU8IkR1tXlRakL&#10;E070jOM2tYJLKBZagU2pL6SMjUWv4yT0SOwdwuB14nNopRn0icu9k9MsW0ivO+IFq3u8s9i8b49e&#10;wePr/uN+8/SW7bF23Xx0t/bhq1bq+irPViASntNfGH7wGR0qZqrDkUwUTgE/kn6VvWU+XYCoOZTP&#10;5jOQVSn/41ffUEsDBBQAAAAIAIdO4kDAw++CWgIAAJ0EAAAOAAAAZHJzL2Uyb0RvYy54bWytVMGO&#10;2jAQvVfqP1i+lwAb2C4irCiIqhLqrkSrno3jEKu2x7UNCf2A9g966qX3fhff0XESdtG2hz30Ysae&#10;x5uZNzOZ3tZakYNwXoLJ6KDXp0QYDrk0u4x+/LB69ZoSH5jJmQIjMnoUnt7OXr6YVnYihlCCyoUj&#10;SGL8pLIZLUOwkyTxvBSa+R5YYdBZgNMs4NXtktyxCtm1Sob9/jipwOXWARfe4+uyddKO0T2HEIpC&#10;crEEvtfChJbVCcUCluRLaT2dNdkWheDhrii8CERlFCsNzYlB0N7GM5lN2WTnmC0l71Jgz0nhSU2a&#10;SYNBH6iWLDCyd/IvKi25Aw9F6HHQSVtIowhWMeg/0WZTMiuaWlBqbx9E9/+Plr8/3Dsic5yEdECJ&#10;YRpbfvrx/fTz9+nXNxIfUaLK+gkiNxaxoX4DNcLP7x4fY+V14XT8xZoI+tNhfzTujyg5ZnR4k44G&#10;V53Yog6ER8D1eDjCNvAISEfX6SgyJo9E1vnwVoAm0ciow142ErPD2ocWeobEuAZWUqmmn8qQKqPj&#10;K6SPHg9K5tEZL/EvC+XIgeFEbBXjn7uwFyhMQhnMJZbdlhetUG/rTost5EeUwkE7T97ylUTeNfPh&#10;njkcIKwLVyzc4VEowGSgsygpwX3913vEY1/RS0mFA5lR/2XPnKBEvTPY8ZtBmsYJbi6o1xAv7tKz&#10;vfSYvV4AVog9xewaM+KDOpuFA/0JN3Eeo6KLGY6xMxrO5iK0a4KbzMV83oBwZi0La7OxPFK3ss/3&#10;AQrZdCTK1GrTqYdT2/S027C4Fpf3BvX4VZn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OLyifX&#10;AAAABgEAAA8AAAAAAAAAAQAgAAAAIgAAAGRycy9kb3ducmV2LnhtbFBLAQIUABQAAAAIAIdO4kDA&#10;w++CWgIAAJ0EAAAOAAAAAAAAAAEAIAAAACYBAABkcnMvZTJvRG9jLnhtbFBLBQYAAAAABgAGAFkB&#10;AADyBQAAAAA=&#10;">
                        <v:fill on="f" focussize="0,0"/>
                        <v:stroke weight="0.5pt" color="#000000 [3204]" joinstyle="round"/>
                        <v:imagedata o:title=""/>
                        <o:lock v:ext="edit" aspectratio="f"/>
                        <v:textbox>
                          <w:txbxContent>
                            <w:p w14:paraId="23EBACEA">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燃烧器</w:t>
                              </w:r>
                            </w:p>
                          </w:txbxContent>
                        </v:textbox>
                      </v:shape>
                      <v:shape id="_x0000_s1026" o:spid="_x0000_s1026" o:spt="202" type="#_x0000_t202" style="position:absolute;left:3624580;top:4586605;height:245745;width:412750;" filled="f" stroked="t" coordsize="21600,21600" o:gfxdata="UEsDBAoAAAAAAIdO4kAAAAAAAAAAAAAAAAAEAAAAZHJzL1BLAwQUAAAACACHTuJAQ4vKJ9cAAAAG&#10;AQAADwAAAGRycy9kb3ducmV2LnhtbE2PwU7DMBBE70j8g7VI3KiTqi1VGqcHRA9ICIkWUY5OvI0j&#10;7HWI3bTw9Sxc4DLSakYzb8v12Tsx4hC7QArySQYCqQmmo1bBy25zswQRkyajXSBU8IkR1tXlRakL&#10;E070jOM2tYJLKBZagU2pL6SMjUWv4yT0SOwdwuB14nNopRn0icu9k9MsW0ivO+IFq3u8s9i8b49e&#10;wePr/uN+8/SW7bF23Xx0t/bhq1bq+irPViASntNfGH7wGR0qZqrDkUwUTgE/kn6VvWU+XYCoOZTP&#10;5jOQVSn/41ffUEsDBBQAAAAIAIdO4kBgkhvDWAIAAJ0EAAAOAAAAZHJzL2Uyb0RvYy54bWytVMtu&#10;EzEU3SPxD5b3dPJqWqJOqpCqCKmilQpi7Xg8HQu/sJ3MlA+AP2DFhj3fle/g2JO0UWHRBRvnPk6O&#10;7z2+d87OO63IRvggrSnp8GhAiTDcVtLclfTjh8tXp5SEyEzFlDWipPci0PP5yxdnrZuJkW2sqoQn&#10;IDFh1rqSNjG6WVEE3gjNwpF1wiBZW69ZhOvvisqzFuxaFaPBYFq01lfOWy5CQPSiT9Ido38Ooa1r&#10;ycWF5WstTOxZvVAsoqXQSBfoPFdb14LH67oOIhJVUnQa84lLYK/SWczP2OzOM9dIviuBPaeEJz1p&#10;Jg0ufaC6YJGRtZd/UWnJvQ22jkfc6qJvJCuCLoaDJ9rcNsyJ3AukDu5B9PD/aPn7zY0nssIkTMaU&#10;GKbx5Nsf37c/f29/fSMpCIlaF2ZA3jpgY/fGdoDv4wHB1HlXe51+0RNBfjwdTY5PIfN9SWFMp4Pj&#10;XmzRRcIBmAxHJ8fIcwAAPZnkfPFI5HyIb4XVJBkl9XjLLDHbXIWIogDdQ9K9xl5KpfJ7KkPakk7H&#10;oE+ZYJWsUjI56S9L5cmGYSJWivHPqSxwHaDgKYNgartvL1mxW3U7LVa2uocU3vbzFBy/lOC9YiHe&#10;MI8BQl9YsXiNo1YWxdidRUlj/dd/xRMe74osJS0GsqThy5p5QYl6Z/Dir4eTCWhjdqDXCI4/zKwO&#10;M2atlxYdDrHMjmcz4aPam7W3+hM2cZFuRYoZjrtLGvfmMvZrgk3mYrHIIMysY/HK3DqeqHvZF+to&#10;a5lfJMnUa7NTD1Obxd1tWFqLQz+jHr8q8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Di8on1wAA&#10;AAYBAAAPAAAAAAAAAAEAIAAAACIAAABkcnMvZG93bnJldi54bWxQSwECFAAUAAAACACHTuJAYJIb&#10;w1gCAACdBAAADgAAAAAAAAABACAAAAAmAQAAZHJzL2Uyb0RvYy54bWxQSwUGAAAAAAYABgBZAQAA&#10;8AUAAAAA&#10;">
                        <v:fill on="f" focussize="0,0"/>
                        <v:stroke weight="0.5pt" color="#000000 [3204]" joinstyle="round"/>
                        <v:imagedata o:title=""/>
                        <o:lock v:ext="edit" aspectratio="f"/>
                        <v:textbox>
                          <w:txbxContent>
                            <w:p w14:paraId="4D10700D">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计量</w:t>
                              </w:r>
                            </w:p>
                          </w:txbxContent>
                        </v:textbox>
                      </v:shape>
                      <v:shape id="_x0000_s1026" o:spid="_x0000_s1026" o:spt="202" type="#_x0000_t202" style="position:absolute;left:3629025;top:3721735;height:245745;width:412750;" filled="f" stroked="t" coordsize="21600,21600" o:gfxdata="UEsDBAoAAAAAAIdO4kAAAAAAAAAAAAAAAAAEAAAAZHJzL1BLAwQUAAAACACHTuJAQ4vKJ9cAAAAG&#10;AQAADwAAAGRycy9kb3ducmV2LnhtbE2PwU7DMBBE70j8g7VI3KiTqi1VGqcHRA9ICIkWUY5OvI0j&#10;7HWI3bTw9Sxc4DLSakYzb8v12Tsx4hC7QArySQYCqQmmo1bBy25zswQRkyajXSBU8IkR1tXlRakL&#10;E070jOM2tYJLKBZagU2pL6SMjUWv4yT0SOwdwuB14nNopRn0icu9k9MsW0ivO+IFq3u8s9i8b49e&#10;wePr/uN+8/SW7bF23Xx0t/bhq1bq+irPViASntNfGH7wGR0qZqrDkUwUTgE/kn6VvWU+XYCoOZTP&#10;5jOQVSn/41ffUEsDBBQAAAAIAIdO4kDsAuoeWgIAAJ0EAAAOAAAAZHJzL2Uyb0RvYy54bWytVMtu&#10;EzEU3SPxD5b3dJJp0tCokyq0KkKqaKWCWDseT8fCL2wnM+UD4A9YsWHPd/U7OPYkbVRYdMHGua8c&#10;+5x775yc9lqRjfBBWlPR8cGIEmG4raW5rejHDxevXlMSIjM1U9aIit6JQE8XL1+cdG4uSttaVQtP&#10;AGLCvHMVbWN086IIvBWahQPrhEGysV6zCNffFrVnHdC1KsrR6KjorK+dt1yEgOj5kKRbRP8cQNs0&#10;kotzy9damDigeqFYBKXQShfoIr+2aQSPV00TRCSqomAa84lLYK/SWSxO2PzWM9dKvn0Ce84TnnDS&#10;TBpc+gB1ziIjay//gtKSextsEw+41cVAJCsCFuPRE21uWuZE5gKpg3sQPfw/WP5+c+2JrDEJkwkl&#10;hmm0/P7H9/ufv+9/fSMpCIk6F+aovHGojf0b26N8Fw8IJuZ943X6BSeC/OFReTwqp5TcwZ6V49nh&#10;dBBb9JFwFEzG5WyKNnAUlJPpbJLzxSOQ8yG+FVaTZFTUo5dZYra5DBGPQumuJN1r7IVUKvdTGdJV&#10;9OgQ8CkTrJJ1SiYn/eVMebJhmIiVYvxzehaw9qrgKYNgoj3QS1bsV/1Wi5Wt7yCFt8M8BccvJHAv&#10;WYjXzGOAwAsrFq9wNMriMXZrUdJa//Vf8VSPviJLSYeBrGj4smZeUKLeGXT8GL1IE5wd6FXC8fuZ&#10;1X7GrPWZBcMxltnxbKb6qHZm463+hE1cpluRYobj7orGnXkWhzXBJnOxXOYizKxj8dLcOJ6gB9mX&#10;62gbmTuSZBq02aqHqc3ibjcsrcW+n6sevyq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OLyifX&#10;AAAABgEAAA8AAAAAAAAAAQAgAAAAIgAAAGRycy9kb3ducmV2LnhtbFBLAQIUABQAAAAIAIdO4kDs&#10;AuoeWgIAAJ0EAAAOAAAAAAAAAAEAIAAAACYBAABkcnMvZTJvRG9jLnhtbFBLBQYAAAAABgAGAFkB&#10;AADyBQAAAAA=&#10;">
                        <v:fill on="f" focussize="0,0"/>
                        <v:stroke weight="0.5pt" color="#000000 [3204]" joinstyle="round"/>
                        <v:imagedata o:title=""/>
                        <o:lock v:ext="edit" aspectratio="f"/>
                        <v:textbox>
                          <w:txbxContent>
                            <w:p w14:paraId="10477F1B">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筛分</w:t>
                              </w:r>
                            </w:p>
                          </w:txbxContent>
                        </v:textbox>
                      </v:shape>
                      <v:shape id="_x0000_s1026" o:spid="_x0000_s1026" o:spt="202" type="#_x0000_t202" style="position:absolute;left:3622675;top:6081395;height:245745;width:412750;" filled="f" stroked="t" coordsize="21600,21600" o:gfxdata="UEsDBAoAAAAAAIdO4kAAAAAAAAAAAAAAAAAEAAAAZHJzL1BLAwQUAAAACACHTuJAQ4vKJ9cAAAAG&#10;AQAADwAAAGRycy9kb3ducmV2LnhtbE2PwU7DMBBE70j8g7VI3KiTqi1VGqcHRA9ICIkWUY5OvI0j&#10;7HWI3bTw9Sxc4DLSakYzb8v12Tsx4hC7QArySQYCqQmmo1bBy25zswQRkyajXSBU8IkR1tXlRakL&#10;E070jOM2tYJLKBZagU2pL6SMjUWv4yT0SOwdwuB14nNopRn0icu9k9MsW0ivO+IFq3u8s9i8b49e&#10;wePr/uN+8/SW7bF23Xx0t/bhq1bq+irPViASntNfGH7wGR0qZqrDkUwUTgE/kn6VvWU+XYCoOZTP&#10;5jOQVSn/41ffUEsDBBQAAAAIAIdO4kCmIC9uXAIAAJ0EAAAOAAAAZHJzL2Uyb0RvYy54bWytVM1O&#10;GzEQvlfqO1i+l02WECBig1IQVSVUkGjVs+P1slb9V9vJLn2A8gY99dJ7n4vn6GdvAhHtgUMvzoxn&#10;8o2/b2b25LTXiqyFD9Kaio73RpQIw20tzW1FP328eHNESYjM1ExZIyp6JwI9nb9+ddK5mShta1Ut&#10;PAGICbPOVbSN0c2KIvBWaBb2rBMGwcZ6zSJcf1vUnnVA16ooR6Np0VlfO2+5CAG350OQbhD9SwBt&#10;00guzi1faWHigOqFYhGUQitdoPP82qYRPF41TRCRqIqCacwnisBeprOYn7DZrWeulXzzBPaSJzzj&#10;pJk0KPoIdc4iIysv/4LSknsbbBP3uNXFQCQrAhbj0TNtblrmROYCqYN7FD38P1j+YX3tiawxCZMD&#10;SgzTaPnDj/uHn78ffn0n6RISdS7MkHnjkBv7t7ZH+vY+4DIx7xuv0y84EcT3p2U5PQTkXUWno6Px&#10;/nFGYjPRR8KRMBmXhwdoA0dCOTk4HCoVT0DOh/hOWE2SUVGPXmaJ2foyRDwKqduUVNfYC6lU7qcy&#10;pEPVfcCnSLBK1imYnPSXM+XJmmEilorxL4kIsHay4CmDy0R7oJes2C/7jRZLW99BCm+HeQqOX0jg&#10;XrIQr5nHAIEXVixe4WiUxWPsxqKktf7bv+5TPvqKKCUdBrKi4euKeUGJem/Q8ePxZJImODvQq4Tj&#10;dyPL3YhZ6TMLhmMss+PZTPlRbc3GW/0Zm7hIVRFihqN2RePWPIvDmmCTuVgschJm1rF4aW4cT9CD&#10;7ItVtI3MHUkyDdps1MPUZnE3G5bWYtfPWU9flf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4vK&#10;J9cAAAAGAQAADwAAAAAAAAABACAAAAAiAAAAZHJzL2Rvd25yZXYueG1sUEsBAhQAFAAAAAgAh07i&#10;QKYgL25cAgAAnQQAAA4AAAAAAAAAAQAgAAAAJgEAAGRycy9lMm9Eb2MueG1sUEsFBgAAAAAGAAYA&#10;WQEAAPQFAAAAAA==&#10;">
                        <v:fill on="f" focussize="0,0"/>
                        <v:stroke weight="0.5pt" color="#000000 [3204]" joinstyle="round"/>
                        <v:imagedata o:title=""/>
                        <o:lock v:ext="edit" aspectratio="f"/>
                        <v:textbox>
                          <w:txbxContent>
                            <w:p w14:paraId="34655710">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搅拌</w:t>
                              </w:r>
                            </w:p>
                          </w:txbxContent>
                        </v:textbox>
                      </v:shape>
                      <v:shape id="_x0000_s1026" o:spid="_x0000_s1026" o:spt="202" type="#_x0000_t202" style="position:absolute;left:1991995;top:5083810;height:245745;width:412750;" filled="f" stroked="t" coordsize="21600,21600" o:gfxdata="UEsDBAoAAAAAAIdO4kAAAAAAAAAAAAAAAAAEAAAAZHJzL1BLAwQUAAAACACHTuJAQ4vKJ9cAAAAG&#10;AQAADwAAAGRycy9kb3ducmV2LnhtbE2PwU7DMBBE70j8g7VI3KiTqi1VGqcHRA9ICIkWUY5OvI0j&#10;7HWI3bTw9Sxc4DLSakYzb8v12Tsx4hC7QArySQYCqQmmo1bBy25zswQRkyajXSBU8IkR1tXlRakL&#10;E070jOM2tYJLKBZagU2pL6SMjUWv4yT0SOwdwuB14nNopRn0icu9k9MsW0ivO+IFq3u8s9i8b49e&#10;wePr/uN+8/SW7bF23Xx0t/bhq1bq+irPViASntNfGH7wGR0qZqrDkUwUTgE/kn6VvWU+XYCoOZTP&#10;5jOQVSn/41ffUEsDBBQAAAAIAIdO4kA1gQVJXAIAAJ0EAAAOAAAAZHJzL2Uyb0RvYy54bWytVM1u&#10;EzEQviPxDpbvdJM06U/UTRVaFSFVtFJBnB2vt7vC9hjbyW55APoGnLhw57n6HHze3bRR4dADUuSM&#10;PZNv5vtmJienrdFso3yoyeZ8vDfiTFlJRW1vc/7p48WbI85CFLYQmqzK+Z0K/HTx+tVJ4+ZqQhXp&#10;QnkGEBvmjct5FaObZ1mQlTIi7JFTFs6SvBERV3+bFV40QDc6m4xGB1lDvnCepAoBr+e9kw+I/iWA&#10;VJa1VOck10bZ2KN6pUUEpVDVLvBFV21ZKhmvyjKoyHTOwTR2J5LAXqUzW5yI+a0XrqrlUIJ4SQnP&#10;OBlRWyR9hDoXUbC1r/+CMrX0FKiMe5JM1hPpFAGL8eiZNjeVcKrjAqmDexQ9/D9Y+WFz7VldYBKm&#10;B5xZYdDyhx/3Dz9/P/z6ztIjJGpcmCPyxiE2tm+pRfj2PeAxMW9Lb9I3OLHkPz7GZ8bZXc5no6P9&#10;o/EgtmojkwiYjieHM7RBImAynR1OZwkxewJyPsR3igxLRs49etlJLDaXIfah25CU19JFrXXXT21Z&#10;k/ODfcAnTyBdF8mZLuknZ9qzjcBErLSQX4a0O1EoQlvUkmj39JIV21U7aLGi4g5SeOrnKTh5UQP3&#10;UoR4LTwGCLywYvEKR6kJxdBgcVaR//av9xSPvsLLWYOBzHn4uhZecabfW3T8eDydpgnuLtBrgovf&#10;9ax2PXZtzggMx1hmJzszxUe9NUtP5jM2cZmywiWsRO6cx615Fvs1wSZLtVx2QZhZJ+KlvXEyQfey&#10;L9eRyrrrSJKp12ZQD1Pb9XTYsLQWu/cu6ulfZfE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4vK&#10;J9cAAAAGAQAADwAAAAAAAAABACAAAAAiAAAAZHJzL2Rvd25yZXYueG1sUEsBAhQAFAAAAAgAh07i&#10;QDWBBUlcAgAAnQQAAA4AAAAAAAAAAQAgAAAAJgEAAGRycy9lMm9Eb2MueG1sUEsFBgAAAAAGAAYA&#10;WQEAAPQFAAAAAA==&#10;">
                        <v:fill on="f" focussize="0,0"/>
                        <v:stroke weight="0.5pt" color="#000000 [3204]" joinstyle="round"/>
                        <v:imagedata o:title=""/>
                        <o:lock v:ext="edit" aspectratio="f"/>
                        <v:textbox>
                          <w:txbxContent>
                            <w:p w14:paraId="3302FD7C">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计量</w:t>
                              </w:r>
                            </w:p>
                          </w:txbxContent>
                        </v:textbox>
                      </v:shape>
                      <v:shape id="_x0000_s1026" o:spid="_x0000_s1026" o:spt="202" type="#_x0000_t202" style="position:absolute;left:3646805;top:3280410;height:245745;width:380365;" filled="f" stroked="t" coordsize="21600,21600" o:gfxdata="UEsDBAoAAAAAAIdO4kAAAAAAAAAAAAAAAAAEAAAAZHJzL1BLAwQUAAAACACHTuJAQ4vKJ9cAAAAG&#10;AQAADwAAAGRycy9kb3ducmV2LnhtbE2PwU7DMBBE70j8g7VI3KiTqi1VGqcHRA9ICIkWUY5OvI0j&#10;7HWI3bTw9Sxc4DLSakYzb8v12Tsx4hC7QArySQYCqQmmo1bBy25zswQRkyajXSBU8IkR1tXlRakL&#10;E070jOM2tYJLKBZagU2pL6SMjUWv4yT0SOwdwuB14nNopRn0icu9k9MsW0ivO+IFq3u8s9i8b49e&#10;wePr/uN+8/SW7bF23Xx0t/bhq1bq+irPViASntNfGH7wGR0qZqrDkUwUTgE/kn6VvWU+XYCoOZTP&#10;5jOQVSn/41ffUEsDBBQAAAAIAIdO4kASW3s5WwIAAJ0EAAAOAAAAZHJzL2Uyb0RvYy54bWytVMFu&#10;EzEQvSPxD5bvdDfJJg1RN1VIVYRU0UoFcXa83q6F7TG2k93yAfAHnLhw57vyHYy9mzYqHHrg4ow9&#10;b9/MvJnJ2XmnFdkJ5yWYko5OckqE4VBJc1fSjx8uX80p8YGZiikwoqT3wtPz5csXZ61diDE0oCrh&#10;CJIYv2htSZsQ7CLLPG+EZv4ErDDorMFpFvDq7rLKsRbZtcrGeT7LWnCVdcCF9/h60TvpwOieQwh1&#10;Lbm4AL7VwoSe1QnFApbkG2k9XaZs61rwcF3XXgSiSoqVhnRiELQ38cyWZ2xx55htJB9SYM9J4UlN&#10;mkmDQR+oLlhgZOvkX1Racgce6nDCQWd9IUkRrGKUP9HmtmFWpFpQam8fRPf/j5a/3904IiuchOKU&#10;EsM0tnz/4/v+5+/9r28kPqJErfULRN5axIbuDXQIP7x7fIyVd7XT8RdrIuifzIrZPJ9Sco/2eJ4X&#10;o0Fs0QXCI2CeT2bo5wgYF9PTYhoZs0ci63x4K0CTaJTUYS+TxGx35UMPPUBiXAOXUqnUT2VIW9LZ&#10;ZJqnDzwoWUVnhMVP1sqRHcOJ2CjGPw9hj1CYhDKYSyy7Ly9aodt0gxYbqO5RCgf9PHnLLyXyXjEf&#10;bpjDAcLxwhUL13jUCjAZGCxKGnBf//Ue8dhX9FLS4kCW1H/ZMicoUe8Mdvz1qCjiBKcL6jXGizv2&#10;bI49ZqvXgBWOcJktT2bEB3Uwawf6E27iKkZFFzMcY5c0HMx16NcEN5mL1SqBcGYtC1fm1vJI3cu+&#10;2gaoZepIlKnXZlAPpzb1dNiwuBbH94R6/FdZ/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Di8on&#10;1wAAAAYBAAAPAAAAAAAAAAEAIAAAACIAAABkcnMvZG93bnJldi54bWxQSwECFAAUAAAACACHTuJA&#10;Elt7OVsCAACdBAAADgAAAAAAAAABACAAAAAmAQAAZHJzL2Uyb0RvYy54bWxQSwUGAAAAAAYABgBZ&#10;AQAA8wUAAAAA&#10;">
                        <v:fill on="f" focussize="0,0"/>
                        <v:stroke weight="0.5pt" color="#000000 [3204]" joinstyle="round"/>
                        <v:imagedata o:title=""/>
                        <o:lock v:ext="edit" aspectratio="f"/>
                        <v:textbox>
                          <w:txbxContent>
                            <w:p w14:paraId="59BB5CAE">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烘干</w:t>
                              </w:r>
                            </w:p>
                          </w:txbxContent>
                        </v:textbox>
                      </v:shape>
                      <v:shape id="_x0000_s1026" o:spid="_x0000_s1026" o:spt="202" type="#_x0000_t202" style="position:absolute;left:3643630;top:2621280;height:245745;width:380365;" filled="f" stroked="t" coordsize="21600,21600" o:gfxdata="UEsDBAoAAAAAAIdO4kAAAAAAAAAAAAAAAAAEAAAAZHJzL1BLAwQUAAAACACHTuJAQ4vKJ9cAAAAG&#10;AQAADwAAAGRycy9kb3ducmV2LnhtbE2PwU7DMBBE70j8g7VI3KiTqi1VGqcHRA9ICIkWUY5OvI0j&#10;7HWI3bTw9Sxc4DLSakYzb8v12Tsx4hC7QArySQYCqQmmo1bBy25zswQRkyajXSBU8IkR1tXlRakL&#10;E070jOM2tYJLKBZagU2pL6SMjUWv4yT0SOwdwuB14nNopRn0icu9k9MsW0ivO+IFq3u8s9i8b49e&#10;wePr/uN+8/SW7bF23Xx0t/bhq1bq+irPViASntNfGH7wGR0qZqrDkUwUTgE/kn6VvWU+XYCoOZTP&#10;5jOQVSn/41ffUEsDBBQAAAAIAIdO4kA5YgdrWgIAAJ0EAAAOAAAAZHJzL2Uyb0RvYy54bWytVM1u&#10;EzEQviPxDpbvZPNPiLKpQqsgpIhWKoiz4/VmLWyPsZ3shgegb8CJC3eeq8/B2Ltpo8KhBy7O2PPt&#10;NzPfzGRx0WhFDsJ5CSang16fEmE4FNLscvrp4/rVjBIfmCmYAiNyehSeXixfvljUdi6GUIEqhCNI&#10;Yvy8tjmtQrDzLPO8Epr5Hlhh0FmC0yzg1e2ywrEa2bXKhv3+NKvBFdYBF97j61XrpB2jew4hlKXk&#10;4gr4XgsTWlYnFAtYkq+k9XSZsi1LwcN1WXoRiMopVhrSiUHQ3sYzWy7YfOeYrSTvUmDPSeFJTZpJ&#10;g0EfqK5YYGTv5F9UWnIHHsrQ46CztpCkCFYx6D/R5rZiVqRaUGpvH0T3/4+WfzjcOCILnIQxNt4w&#10;jS2//3F3//P3/a/vJD6iRLX1c0TeWsSG5i00CD+9e3yMlTel0/EXayLoH03Ho+kIZT7mdDgdDoaz&#10;TmzRBMIjYNYfTSeU8AgYT16PJ5ExeySyzod3AjSJRk4d9jJJzA4bH1roCRLjGlhLpVI/lSF1Tqej&#10;ST994EHJIjojLH5yqRw5MJyIrWL8Sxf2DIVJKIO5xLLb8qIVmm3TabGF4ohSOGjnyVu+lsi7YT7c&#10;MIcDhHXjioVrPEoFmAx0FiUVuG//eo947Ct6KalxIHPqv+6ZE5So9wY7/mYwHscJThfUa4gXd+7Z&#10;nnvMXl8CVjjAZbY8mREf1MksHejPuImrGBVdzHCMndNwMi9Duya4yVysVgmEM2tZ2JhbyyN1K/tq&#10;H6CUqSNRplabTj2c2tTTbsPiWpzfE+rxX2X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OLyifX&#10;AAAABgEAAA8AAAAAAAAAAQAgAAAAIgAAAGRycy9kb3ducmV2LnhtbFBLAQIUABQAAAAIAIdO4kA5&#10;YgdrWgIAAJ0EAAAOAAAAAAAAAAEAIAAAACYBAABkcnMvZTJvRG9jLnhtbFBLBQYAAAAABgAGAFkB&#10;AADyBQAAAAA=&#10;">
                        <v:fill on="f" focussize="0,0"/>
                        <v:stroke weight="0.5pt" color="#000000 [3204]" joinstyle="round"/>
                        <v:imagedata o:title=""/>
                        <o:lock v:ext="edit" aspectratio="f"/>
                        <v:textbox>
                          <w:txbxContent>
                            <w:p w14:paraId="6F8364F5">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提升</w:t>
                              </w:r>
                            </w:p>
                          </w:txbxContent>
                        </v:textbox>
                      </v:shape>
                      <v:shape id="_x0000_s1026" o:spid="_x0000_s1026" o:spt="202" type="#_x0000_t202" style="position:absolute;left:3546475;top:2139950;height:245745;width:586105;" filled="f" stroked="t" coordsize="21600,21600" o:gfxdata="UEsDBAoAAAAAAIdO4kAAAAAAAAAAAAAAAAAEAAAAZHJzL1BLAwQUAAAACACHTuJAQ4vKJ9cAAAAG&#10;AQAADwAAAGRycy9kb3ducmV2LnhtbE2PwU7DMBBE70j8g7VI3KiTqi1VGqcHRA9ICIkWUY5OvI0j&#10;7HWI3bTw9Sxc4DLSakYzb8v12Tsx4hC7QArySQYCqQmmo1bBy25zswQRkyajXSBU8IkR1tXlRakL&#10;E070jOM2tYJLKBZagU2pL6SMjUWv4yT0SOwdwuB14nNopRn0icu9k9MsW0ivO+IFq3u8s9i8b49e&#10;wePr/uN+8/SW7bF23Xx0t/bhq1bq+irPViASntNfGH7wGR0qZqrDkUwUTgE/kn6VvWU+XYCoOZTP&#10;5jOQVSn/41ffUEsDBBQAAAAIAIdO4kB39XheXAIAAJ0EAAAOAAAAZHJzL2Uyb0RvYy54bWytVMFu&#10;2zAMvQ/YPwi6r45TJ22COkXWIMOAYi3QDTsrslQLk0RNUmJ3H7D+wU677L7v6neMsp026HboYReF&#10;El8eyUfSZ+et0WQnfFBgS5ofjSgRlkOl7G1JP31cvzmlJERmK6bBipLeiUDPF69fnTVuLsZQg66E&#10;J0hiw7xxJa1jdPMsC7wWhoUjcMKiU4I3LOLV32aVZw2yG52NR6Np1oCvnAcuQsDXVe+kA6N/CSFI&#10;qbhYAd8aYWPP6oVmEUsKtXKBLrpspRQ8XkkZRCS6pFhp7E4MgvYmndnijM1vPXO14kMK7CUpPKvJ&#10;MGUx6CPVikVGtl79RWUU9xBAxiMOJusL6RTBKvLRM21uauZEVwtKHdyj6OH/0fIPu2tPVIWTUMwo&#10;scxgyx9+3D/8/P3w6ztJjyhR48IckTcOsbF9Cy3C9+8BH1PlrfQm/WJNBP3Hk2JanEwouSvpOD+e&#10;zSaD2KKNhCNgcjrNR+jnCVBMTopJYsyeiJwP8Z0AQ5JRUo+97CRmu8sQe+gekuJaWCutu35qS5qS&#10;To8xZPIE0KpKznRJf7nQnuwYTsRGM/5lCHuAwiS0xVxS2X15yYrtph202EB1h1J46OcpOL5WyHvJ&#10;QrxmHgcIxwtXLF7hITVgMjBYlNTgv/3rPeGxr+ilpMGBLGn4umVeUKLfW+z4LC+KNMHdBfUa48Uf&#10;ejaHHrs1F4AV5rjMjndmwke9N6UH8xk3cZmiootZjrFLGvfmRezXBDeZi+WyA+HMOhYv7Y3jibqX&#10;fbmNIFXXkSRTr82gHk5t19Nhw9JaHN471NNXZfE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4vK&#10;J9cAAAAGAQAADwAAAAAAAAABACAAAAAiAAAAZHJzL2Rvd25yZXYueG1sUEsBAhQAFAAAAAgAh07i&#10;QHf1eF5cAgAAnQQAAA4AAAAAAAAAAQAgAAAAJgEAAGRycy9lMm9Eb2MueG1sUEsFBgAAAAAGAAYA&#10;WQEAAPQFAAAAAA==&#10;">
                        <v:fill on="f" focussize="0,0"/>
                        <v:stroke weight="0.5pt" color="#000000 [3204]" joinstyle="round"/>
                        <v:imagedata o:title=""/>
                        <o:lock v:ext="edit" aspectratio="f"/>
                        <v:textbox>
                          <w:txbxContent>
                            <w:p w14:paraId="0F09C801">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皮带输送</w:t>
                              </w:r>
                            </w:p>
                          </w:txbxContent>
                        </v:textbox>
                      </v:shape>
                      <v:shape id="_x0000_s1026" o:spid="_x0000_s1026" o:spt="202" type="#_x0000_t202" style="position:absolute;left:3637915;top:1697990;height:245745;width:412750;" filled="f" stroked="t" coordsize="21600,21600" o:gfxdata="UEsDBAoAAAAAAIdO4kAAAAAAAAAAAAAAAAAEAAAAZHJzL1BLAwQUAAAACACHTuJAQ4vKJ9cAAAAG&#10;AQAADwAAAGRycy9kb3ducmV2LnhtbE2PwU7DMBBE70j8g7VI3KiTqi1VGqcHRA9ICIkWUY5OvI0j&#10;7HWI3bTw9Sxc4DLSakYzb8v12Tsx4hC7QArySQYCqQmmo1bBy25zswQRkyajXSBU8IkR1tXlRakL&#10;E070jOM2tYJLKBZagU2pL6SMjUWv4yT0SOwdwuB14nNopRn0icu9k9MsW0ivO+IFq3u8s9i8b49e&#10;wePr/uN+8/SW7bF23Xx0t/bhq1bq+irPViASntNfGH7wGR0qZqrDkUwUTgE/kn6VvWU+XYCoOZTP&#10;5jOQVSn/41ffUEsDBBQAAAAIAIdO4kAD0GpyWQIAAJ0EAAAOAAAAZHJzL2Uyb0RvYy54bWytVM1u&#10;EzEQviPxDpbvdPMfEnVThVRFSBWtVBBnx+vtWvgP28lueQB4A05cuPNcfQ4+727aqHDogYsz9nz5&#10;ZuabmT09a7Qie+GDtCanw5MBJcJwW0hzm9OPHy5evaYkRGYKpqwROb0TgZ6tXr44rd1SjGxlVSE8&#10;AYkJy9rltIrRLbMs8EpoFk6sEwbO0nrNIq7+Nis8q8GuVTYaDGZZbX3hvOUiBLyed07aM/rnENqy&#10;lFycW77TwsSO1QvFIkoKlXSBrtpsy1LweFWWQUSicopKY3siCOxtOrPVKVveeuYqyfsU2HNSeFKT&#10;ZtIg6APVOYuM7Lz8i0pL7m2wZTzhVmddIa0iqGI4eKLNTcWcaGuB1ME9iB7+Hy1/v7/2RBaYhCk0&#10;MUyj5fc/vt///H3/6xtJj5CodmEJ5I0DNjZvbAP44T3gMVXelF6nX9RE4B/PxvPFcErJHbCzxXyx&#10;6MUWTSQcgMlwNE8hOQCjyXQ+mSbG7JHI+RDfCqtJMnLq0ctWYra/DLGDHiAprrEXUqm2n8qQOqez&#10;MeiTJ1gli+RMl/SXjfJkzzARW8X45z7sEQpJKINcUtldecmKzbbptdja4g5SeNvNU3D8QoL3koV4&#10;zTwGCHVhxeIVjlJZJGN7i5LK+q//ek949BVeSmoMZE7Dlx3zghL1zqDji+FkAtrYXqDXCBd/7Nke&#10;e8xObywqHGKZHW/NhI/qYJbe6k/YxHWKChczHLFzGg/mJnZrgk3mYr1uQZhZx+KluXE8UXeyr3fR&#10;lrLtSJKp06ZXD1Pb9rTfsLQWx/cW9fhVW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Q4vKJ9cA&#10;AAAGAQAADwAAAAAAAAABACAAAAAiAAAAZHJzL2Rvd25yZXYueG1sUEsBAhQAFAAAAAgAh07iQAPQ&#10;anJZAgAAnQQAAA4AAAAAAAAAAQAgAAAAJgEAAGRycy9lMm9Eb2MueG1sUEsFBgAAAAAGAAYAWQEA&#10;APEFAAAAAA==&#10;">
                        <v:fill on="f" focussize="0,0"/>
                        <v:stroke weight="0.5pt" color="#000000 [3204]" joinstyle="round"/>
                        <v:imagedata o:title=""/>
                        <o:lock v:ext="edit" aspectratio="f"/>
                        <v:textbox>
                          <w:txbxContent>
                            <w:p w14:paraId="3526D356">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投料</w:t>
                              </w:r>
                            </w:p>
                          </w:txbxContent>
                        </v:textbox>
                      </v:shape>
                      <v:shape id="_x0000_s1026" o:spid="_x0000_s1026" o:spt="202" type="#_x0000_t202" style="position:absolute;left:3549015;top:1243330;height:245745;width:586105;" filled="f" stroked="t" coordsize="21600,21600" o:gfxdata="UEsDBAoAAAAAAIdO4kAAAAAAAAAAAAAAAAAEAAAAZHJzL1BLAwQUAAAACACHTuJAQ4vKJ9cAAAAG&#10;AQAADwAAAGRycy9kb3ducmV2LnhtbE2PwU7DMBBE70j8g7VI3KiTqi1VGqcHRA9ICIkWUY5OvI0j&#10;7HWI3bTw9Sxc4DLSakYzb8v12Tsx4hC7QArySQYCqQmmo1bBy25zswQRkyajXSBU8IkR1tXlRakL&#10;E070jOM2tYJLKBZagU2pL6SMjUWv4yT0SOwdwuB14nNopRn0icu9k9MsW0ivO+IFq3u8s9i8b49e&#10;wePr/uN+8/SW7bF23Xx0t/bhq1bq+irPViASntNfGH7wGR0qZqrDkUwUTgE/kn6VvWU+XYCoOZTP&#10;5jOQVSn/41ffUEsDBBQAAAAIAIdO4kCuXvy5WwIAAJ0EAAAOAAAAZHJzL2Uyb0RvYy54bWytVM1u&#10;EzEQviPxDpbvZDc/G9qomyq0CkKqaKWCODteb9fC9hjbyW54AHgDTly481x9DsbeTRsVDj1wccae&#10;b7+Z+WYmZ+edVmQnnJdgSjoe5ZQIw6GS5q6kHz+sX51Q4gMzFVNgREn3wtPz5csXZ61diAk0oCrh&#10;CJIYv2htSZsQ7CLLPG+EZn4EVhh01uA0C3h1d1nlWIvsWmWTPJ9nLbjKOuDCe3y97J10YHTPIYS6&#10;llxcAt9qYULP6oRiAUvyjbSeLlO2dS14uK5rLwJRJcVKQzoxCNqbeGbLM7a4c8w2kg8psOek8KQm&#10;zaTBoA9UlywwsnXyLyotuQMPdRhx0FlfSFIEqxjnT7S5bZgVqRaU2tsH0f3/o+XvdzeOyAonoRhT&#10;YpjGlt//+H7/8/f9r28kPqJErfULRN5axIbuDXQIP7x7fIyVd7XT8RdrIuifFrPTfFxQskfsZDad&#10;TgexRRcIR0BxMh/n6OcImMyK17MiMmaPRNb58FaAJtEoqcNeJonZ7sqHHnqAxLgG1lKp1E9lSFvS&#10;+bTI0wcelKyiM8LiJxfKkR3Didgoxj8PYY9QmIQymEssuy8vWqHbdIMWG6j2KIWDfp685WuJvFfM&#10;hxvmcIBwvHDFwjUetQJMBgaLkgbc13+9Rzz2Fb2UtDiQJfVftswJStQ7gx0/Hc9mcYLTBfWa4MUd&#10;ezbHHrPVF4AVYk8xu2RGfFAHs3agP+EmrmJUdDHDMXZJw8G8CP2a4CZzsVolEM6sZeHK3FoeqXvZ&#10;V9sAtUwdiTL12gzq4dSmng4bFtfi+J5Qj/8qy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Di8on&#10;1wAAAAYBAAAPAAAAAAAAAAEAIAAAACIAAABkcnMvZG93bnJldi54bWxQSwECFAAUAAAACACHTuJA&#10;rl78uVsCAACdBAAADgAAAAAAAAABACAAAAAmAQAAZHJzL2Uyb0RvYy54bWxQSwUGAAAAAAYABgBZ&#10;AQAA8wUAAAAA&#10;">
                        <v:fill on="f" focussize="0,0"/>
                        <v:stroke weight="0.5pt" color="#000000 [3204]" joinstyle="round"/>
                        <v:imagedata o:title=""/>
                        <o:lock v:ext="edit" aspectratio="f"/>
                        <v:textbox>
                          <w:txbxContent>
                            <w:p w14:paraId="70D71545">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运输卸料</w:t>
                              </w:r>
                            </w:p>
                          </w:txbxContent>
                        </v:textbox>
                      </v:shape>
                      <v:shape id="_x0000_s1026" o:spid="_x0000_s1026" o:spt="202" type="#_x0000_t202" style="position:absolute;left:3507740;top:856615;height:230505;width:674370;"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ilQzvUYCAAB0BAAADgAAAGRycy9lMm9Eb2MueG1srVRL&#10;btswEN0X6B0I7mvJjj+pETlwE6QoYDQB0qJrmqIiAfyVpC25B2hvkFU33fdcPkcfKTsJ0i6y6IYa&#10;8g1n5r0Z6uy8U5JshfON0QUdDnJKhOambPRdQT9/unpzSokPTJdMGi0KuhOeni9evzpr7VyMTG1k&#10;KRxBEO3nrS1oHYKdZ5nntVDMD4wVGmBlnGIBW3eXlY61iK5kNsrzadYaV1pnuPAep5c9SA8R3UsC&#10;mqpquLg0fKOEDn1UJyQLoOTrxnq6SNVWleDhuqq8CEQWFExDWpEE9jqu2eKMze8cs3XDDyWwl5Tw&#10;jJNijUbSh1CXLDCycc1foVTDnfGmCgNuVNYTSYqAxTB/ps1tzaxIXCC1tw+i+/8Xln/c3jjSlJiE&#10;yYgSzRRavr//sf/5e//rO4mHkKi1fg7PWwvf0L0zHdyP5x6HkXlXORW/4ESAn0zy2WwMmXcFPZ1M&#10;p8NJr7XoAuHAp7PxyQwwBz46ySd5wrPHONb58F4YRaJRUIdWJoXZduUDaoLr0SWm1eaqkTK1U2rS&#10;IgEqSBceENyQGhcjm77qaIVu3R0ork25A0Nn+jHxll81SL5iPtwwh7lAvXg54RpLJQ2SmINFSW3c&#10;t3+dR3+0CyglLeasoP7rhjlBifyg0ci3w3FUKaTNeDIbYeOeIuuniN6oC4NRHuKNWp7M6B/k0ayc&#10;UV/wwJYxKyCmOXIXNBzNi9BPPx4oF8tlcsIoWhZW+tbyGLqXc7kJpmqS0lGmXpuDehjG1IDDw4nT&#10;/nSfvB5/Fo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mKzHdgAAAAGAQAADwAAAAAAAAABACAA&#10;AAAiAAAAZHJzL2Rvd25yZXYueG1sUEsBAhQAFAAAAAgAh07iQIpUM71GAgAAdAQAAA4AAAAAAAAA&#10;AQAgAAAAJwEAAGRycy9lMm9Eb2MueG1sUEsFBgAAAAAGAAYAWQEAAN8FAAAAAA==&#10;">
                        <v:fill on="f" focussize="0,0"/>
                        <v:stroke on="f" weight="0.5pt"/>
                        <v:imagedata o:title=""/>
                        <o:lock v:ext="edit" aspectratio="f"/>
                        <v:textbox>
                          <w:txbxContent>
                            <w:p w14:paraId="782F533C">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骨料、机砂</w:t>
                              </w:r>
                            </w:p>
                          </w:txbxContent>
                        </v:textbox>
                      </v:shape>
                      <v:shape id="_x0000_s1026" o:spid="_x0000_s1026" o:spt="202" type="#_x0000_t202" style="position:absolute;left:1336040;top:2821940;height:245745;width:476250;"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H7crs0ICAAB1BAAADgAAAGRycy9lMm9Eb2MueG1srVTN&#10;bhMxEL4j8Q6W72Tz3zbKpgqtipAiWqkgzo7Xm13Jf9hOdsMDwBv0xIU7z9Xn4LM3aUvh0AMXZzzz&#10;5ZuZzzM7P2+VJDvhfG10Tge9PiVCc1PUepPTTx+v3pxS4gPTBZNGi5zuhafni9ev5o2diaGpjCyE&#10;IyDRftbYnFYh2FmWeV4JxXzPWKERLI1TLODqNlnhWAN2JbNhvz/NGuMK6wwX3sN72QXpgdG9hNCU&#10;Zc3FpeFbJXToWJ2QLKAlX9XW00WqtiwFD9dl6UUgMqfoNKQTSWCv45kt5my2ccxWNT+UwF5SwrOe&#10;FKs1kj5QXbLAyNbVf1GpmjvjTRl63KisayQpgi4G/Wfa3FbMitQLpPb2QXT//2j5h92NI3WBSZiM&#10;KNFM4cnv777f//h1//MbiU5I1Fg/A/LWAhvat6YF/Oj3cMbO29Kp+IueSIyPRtP+GDLvczo8HQ7O&#10;YCexRRsIB2B8Mh1OEOcRMJ6cjCcxnj0SWefDO2EUiUZOHd4yScx2Kx866BES82pzVUuZUkhNmpxO&#10;R6D/IwJyqZEjttOVHa3Qrlv8LZprU+zRojPdnHjLr2okXzEfbpjDYKBerE64xlFKgyTmYFFSGff1&#10;X/6Ix3shSkmDQcup/7JlTlAi32u85NlgHGUK6QIdhri4p5H104jeqguDWR5gSS1PZsQHeTRLZ9Rn&#10;bNgyZkWIaY7cOQ1H8yJ0448N5WK5TCDMomVhpW8tj9SdaMttMGWdlH7U5qAepjG91WFz4rg/vSfU&#10;49di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qYrMd2AAAAAYBAAAPAAAAAAAAAAEAIAAAACIA&#10;AABkcnMvZG93bnJldi54bWxQSwECFAAUAAAACACHTuJAH7crs0ICAAB1BAAADgAAAAAAAAABACAA&#10;AAAnAQAAZHJzL2Uyb0RvYy54bWxQSwUGAAAAAAYABgBZAQAA2wUAAAAA&#10;">
                        <v:fill on="f" focussize="0,0"/>
                        <v:stroke on="f" weight="0.5pt"/>
                        <v:imagedata o:title=""/>
                        <o:lock v:ext="edit" aspectratio="f"/>
                        <v:textbox>
                          <w:txbxContent>
                            <w:p w14:paraId="3C3DE769">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装载机</w:t>
                              </w:r>
                            </w:p>
                          </w:txbxContent>
                        </v:textbox>
                      </v:shape>
                      <v:shape id="_x0000_s1026" o:spid="_x0000_s1026" o:spt="202" type="#_x0000_t202" style="position:absolute;left:1026795;top:1783080;height:245745;width:514350;" filled="f" stroked="t" coordsize="21600,21600" o:gfxdata="UEsDBAoAAAAAAIdO4kAAAAAAAAAAAAAAAAAEAAAAZHJzL1BLAwQUAAAACACHTuJAQ4vKJ9cAAAAG&#10;AQAADwAAAGRycy9kb3ducmV2LnhtbE2PwU7DMBBE70j8g7VI3KiTqi1VGqcHRA9ICIkWUY5OvI0j&#10;7HWI3bTw9Sxc4DLSakYzb8v12Tsx4hC7QArySQYCqQmmo1bBy25zswQRkyajXSBU8IkR1tXlRakL&#10;E070jOM2tYJLKBZagU2pL6SMjUWv4yT0SOwdwuB14nNopRn0icu9k9MsW0ivO+IFq3u8s9i8b49e&#10;wePr/uN+8/SW7bF23Xx0t/bhq1bq+irPViASntNfGH7wGR0qZqrDkUwUTgE/kn6VvWU+XYCoOZTP&#10;5jOQVSn/41ffUEsDBBQAAAAIAIdO4kDc9r2dWgIAAJ0EAAAOAAAAZHJzL2Uyb0RvYy54bWytVMGO&#10;2jAQvVfqP1i+lwALLIsIKwqiqoS6K9GqZ+M4xKrtcW1DQj+g+wc99dJ7v4vv6DgJu2jbwx56MWPP&#10;8Gbem5lMbyutyEE4L8GktNfpUiIMh0yaXUo/fVy9GVPiAzMZU2BESo/C09vZ61fT0k5EHwpQmXAE&#10;QYyflDalRQh2kiSeF0Iz3wErDDpzcJoFvLpdkjlWIrpWSb/bHSUluMw64MJ7fF02TtoiupcAQp5L&#10;LpbA91qY0KA6oVhASr6Q1tNZXW2eCx7u8tyLQFRKkWmoT0yC9jaeyWzKJjvHbCF5WwJ7SQnPOGkm&#10;DSZ9hFqywMjeyb+gtOQOPOShw0EnDZFaEWTR6z7TZlMwK2ouKLW3j6L7/wfLPxzuHZEZTsJwQIlh&#10;Glt++vFw+vn79Os7iY8oUWn9BCM3FmND9RYqDD+/e3yMzKvc6fiLnEj0d/uj65shJUe0r8dX3XEr&#10;tqgC4Rgw7A2uhtgGjgH9wfB6MIyIyROQdT68E6BJNFLqsJe1xOyw9qEJPYfEvAZWUqm6n8qQMqWj&#10;CB89HpTMojNe4l8WypEDw4nYKsa/tGkvorAIZbCWSLuhF61QbatWiy1kR5TCQTNP3vKVRNw18+Ge&#10;ORwg5IUrFu7wyBVgMdBalBTgvv3rPcZjX9FLSYkDmVL/dc+coES9N9jxm95gECe4vqBefby4S8/2&#10;0mP2egHIsIfLbHltxvigzmbuQH/GTZzHrOhihmPulIazuQjNmuAmczGf10E4s5aFtdlYHqEb2ef7&#10;ALmsOxJlarRp1cOprXvablhci8t7HfX0VZn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OLyifX&#10;AAAABgEAAA8AAAAAAAAAAQAgAAAAIgAAAGRycy9kb3ducmV2LnhtbFBLAQIUABQAAAAIAIdO4kDc&#10;9r2dWgIAAJ0EAAAOAAAAAAAAAAEAIAAAACYBAABkcnMvZTJvRG9jLnhtbFBLBQYAAAAABgAGAFkB&#10;AADyBQAAAAA=&#10;">
                        <v:fill on="f" focussize="0,0"/>
                        <v:stroke weight="0.5pt" color="#000000 [3204]" joinstyle="round"/>
                        <v:imagedata o:title=""/>
                        <o:lock v:ext="edit" aspectratio="f"/>
                        <v:textbox>
                          <w:txbxContent>
                            <w:p w14:paraId="55CDB046">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振动筛</w:t>
                              </w:r>
                            </w:p>
                          </w:txbxContent>
                        </v:textbox>
                      </v:shape>
                      <v:shape id="_x0000_s1026" o:spid="_x0000_s1026" o:spt="202" type="#_x0000_t202" style="position:absolute;left:1041400;top:1070610;height:245745;width:480060;" filled="f" stroked="t" coordsize="21600,21600" o:gfxdata="UEsDBAoAAAAAAIdO4kAAAAAAAAAAAAAAAAAEAAAAZHJzL1BLAwQUAAAACACHTuJAQ4vKJ9cAAAAG&#10;AQAADwAAAGRycy9kb3ducmV2LnhtbE2PwU7DMBBE70j8g7VI3KiTqi1VGqcHRA9ICIkWUY5OvI0j&#10;7HWI3bTw9Sxc4DLSakYzb8v12Tsx4hC7QArySQYCqQmmo1bBy25zswQRkyajXSBU8IkR1tXlRakL&#10;E070jOM2tYJLKBZagU2pL6SMjUWv4yT0SOwdwuB14nNopRn0icu9k9MsW0ivO+IFq3u8s9i8b49e&#10;wePr/uN+8/SW7bF23Xx0t/bhq1bq+irPViASntNfGH7wGR0qZqrDkUwUTgE/kn6VvWU+XYCoOZTP&#10;5jOQVSn/41ffUEsDBBQAAAAIAIdO4kA41sRaWQIAAJ0EAAAOAAAAZHJzL2Uyb0RvYy54bWytVMtu&#10;EzEU3SPxD5b3dCZh0paokyq0KkKqaKWAWDseT2eEX9hOZsoH0D9gxYY939Xv4NgzaaPCogs2zrXv&#10;mXN9ju/NyWmvJNkK51ujSzo5yCkRmpuq1Tcl/fTx4tUxJT4wXTFptCjprfD0dPHyxUln52JqGiMr&#10;4QhItJ93tqRNCHaeZZ43QjF/YKzQSNbGKRawdTdZ5VgHdiWzaZ4fZp1xlXWGC+9xej4k6cjonkNo&#10;6rrl4tzwjRI6DKxOSBYgyTet9XSRblvXgoeruvYiEFlSKA1pRRHE67hmixM2v3HMNi0fr8Cec4Un&#10;mhRrNYo+UJ2zwMjGtX9RqZY7400dDrhR2SAkOQIVk/yJN6uGWZG0wGpvH0z3/4+Wf9heO9JW6ITZ&#10;jBLNFJ78/sfd/c/f97++k3gIizrr50CuLLChf2t6wHfnHodReV87FX+hicR8XkyKHDbfxvgoP5yM&#10;Zos+EA5AcYxmQJ4DMC1mR0WqlD0SWefDO2EUiUFJHd4yWcy2lz7gUoDuILGuNhetlOk9pSZdSQ9f&#10;z/L0gTeyrWIywuInZ9KRLUNHrCXjX6IQcO2hsJMah1H2IC9GoV/3oxdrU93CCmeGfvKWX7TgvWQ+&#10;XDOHBoIujFi4wlJLg8uYMaKkMe7bv84jHu+KLCUdGrKk/uuGOUGJfK/x4m8mRQHakDbwa4qN28+s&#10;9zN6o84MFE4wzJanMOKD3IW1M+ozJnEZqyLFNEftkoZdeBaGMcEkc7FcJhB61rJwqVeWR+rB9uUm&#10;mLpNLxJtGrwZ3UPXJnPHCYtjsb9PqMd/lc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Q4vKJ9cA&#10;AAAGAQAADwAAAAAAAAABACAAAAAiAAAAZHJzL2Rvd25yZXYueG1sUEsBAhQAFAAAAAgAh07iQDjW&#10;xFpZAgAAnQQAAA4AAAAAAAAAAQAgAAAAJgEAAGRycy9lMm9Eb2MueG1sUEsFBgAAAAAGAAYAWQEA&#10;APEFAAAAAA==&#10;">
                        <v:fill on="f" focussize="0,0"/>
                        <v:stroke weight="0.5pt" color="#000000 [3204]" joinstyle="round"/>
                        <v:imagedata o:title=""/>
                        <o:lock v:ext="edit" aspectratio="f"/>
                        <v:textbox>
                          <w:txbxContent>
                            <w:p w14:paraId="4265EA7A">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鄂破机</w:t>
                              </w:r>
                            </w:p>
                          </w:txbxContent>
                        </v:textbox>
                      </v:shape>
                      <v:shape id="_x0000_s1026" o:spid="_x0000_s1026" o:spt="202" type="#_x0000_t202" style="position:absolute;left:1162685;top:2413000;height:245745;width:487680;"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dXQ4TkcCAAB1BAAADgAAAGRycy9lMm9Eb2MueG1srVTN&#10;jtMwEL4j8Q6W72zSbv+omq7KVouQKnalgji7jtNEsj3GdpuUB4A32BMX7jxXn4Oxk3arhcMeuLhj&#10;z9dv/H0zzuymUZLshXUV6Iz2rlJKhOaQV3qb0c+f7t5MKHGe6ZxJ0CKjB+Hozfz1q1ltpqIPJchc&#10;WIIk2k1rk9HSezNNEsdLoZi7AiM0Jguwinnc2m2SW1Yju5JJP01HSQ02Nxa4cA5Pl22Sdoz2JYRQ&#10;FBUXS+A7JbRvWa2QzKMkV1bG0Xm8bVEI7u+LwglPZEZRqY8rFsF4E9ZkPmPTrWWmrHh3BfaSKzzT&#10;pFilseiZask8Iztb/UWlKm7BQeGvOKikFRIdQRW99Jk365IZEbWg1c6cTXf/j5Z/3D9YUuU4CcMR&#10;JZopbPnx8cfx5+/jr+8kHKJFtXFTRK4NYn3zDhqEn84dHgblTWFV+EVNJOR7o/5oMqTkkNH+oHed&#10;pp3ZovGEI2AwGY8m2AYeAcPxYBgYkyciY51/L0CREGTUYi+jxWy/cr6FniChroa7SsrYT6lJndHR&#10;9TCNfzhnkFxqrBHktNcOkW82TadxA/kBJVpo58QZfldh8RVz/oFZHAy8Lz4df49LIQGLQBdRUoL9&#10;9q/zgMd+YZaSGgcto+7rjllBifygsZNve4NBmMy4GQzHfdzYy8zmMqN36hZwlnv4SA2PYcB7eQoL&#10;C+oLvrBFqIoppjnWzqg/hbe+HX98oVwsFhGEs2iYX+m14YG6tXOx81BU0elgU+tN5x5OY+xV93LC&#10;uF/uI+rpazH/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pisx3YAAAABgEAAA8AAAAAAAAAAQAg&#10;AAAAIgAAAGRycy9kb3ducmV2LnhtbFBLAQIUABQAAAAIAIdO4kB1dDhORwIAAHUEAAAOAAAAAAAA&#10;AAEAIAAAACcBAABkcnMvZTJvRG9jLnhtbFBLBQYAAAAABgAGAFkBAADgBQAAAAA=&#10;">
                        <v:fill on="f" focussize="0,0"/>
                        <v:stroke on="f" weight="0.5pt"/>
                        <v:imagedata o:title=""/>
                        <o:lock v:ext="edit" aspectratio="f"/>
                        <v:textbox>
                          <w:txbxContent>
                            <w:p w14:paraId="61FF7CCC">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输送带</w:t>
                              </w:r>
                            </w:p>
                          </w:txbxContent>
                        </v:textbox>
                      </v:shape>
                      <v:shape id="_x0000_s1026" o:spid="_x0000_s1026" o:spt="202" type="#_x0000_t202" style="position:absolute;left:372745;top:5195570;height:245745;width:412750;" filled="f" stroked="t" coordsize="21600,21600" o:gfxdata="UEsDBAoAAAAAAIdO4kAAAAAAAAAAAAAAAAAEAAAAZHJzL1BLAwQUAAAACACHTuJAQ4vKJ9cAAAAG&#10;AQAADwAAAGRycy9kb3ducmV2LnhtbE2PwU7DMBBE70j8g7VI3KiTqi1VGqcHRA9ICIkWUY5OvI0j&#10;7HWI3bTw9Sxc4DLSakYzb8v12Tsx4hC7QArySQYCqQmmo1bBy25zswQRkyajXSBU8IkR1tXlRakL&#10;E070jOM2tYJLKBZagU2pL6SMjUWv4yT0SOwdwuB14nNopRn0icu9k9MsW0ivO+IFq3u8s9i8b49e&#10;wePr/uN+8/SW7bF23Xx0t/bhq1bq+irPViASntNfGH7wGR0qZqrDkUwUTgE/kn6VvWU+XYCoOZTP&#10;5jOQVSn/41ffUEsDBBQAAAAIAIdO4kBwV3jrWgIAAJwEAAAOAAAAZHJzL2Uyb0RvYy54bWytVM1u&#10;EzEQviPxDpbvdJM029ComyokKkKqaKWCODteb9fCf9hOdssDwBtw4sKd5+pz8Hl300aFQw9cnLFn&#10;8s1838zs2XmrFdkJH6Q1BR0fjSgRhttSmtuCfvxw8eo1JSEyUzJljSjonQj0fPHyxVnj5mJia6tK&#10;4QlATJg3rqB1jG6eZYHXQrNwZJ0wcFbWaxZx9bdZ6VkDdK2yyWh0kjXWl85bLkLA67p30gHRPwfQ&#10;VpXkYm35VgsTe1QvFIugFGrpAl101VaV4PGqqoKIRBUUTGN3IgnsTTqzxRmb33rmasmHEthzSnjC&#10;STNpkPQBas0iI1sv/4LSknsbbBWPuNVZT6RTBCzGoyfa3NTMiY4LpA7uQfTw/2D5+921J7LEJOQz&#10;SgzTaPn9j+/3P3/f//pG0iMkalyYI/LGITa2b2yL8P17wGNi3lZep19wIvAfzyazaU7JXUHz8Wme&#10;zwatRRsJh386nsxydIEjYDLNUywSZY84zof4VlhNklFQj1Z2CrPdZYh96D4kpTX2QirVtVMZ0hT0&#10;5BjwyROskmVypkv6y0p5smMYiI1i/POQ9iAKRSiDWhLrnl2yYrtpByk2tryDEt724xQcv5DAvWQh&#10;XjOP+QEvbFi8wlEpi2LsYFFSW//1X+8pHm2Fl5IG81jQ8GXLvKBEvTNo+Ol4Ok0D3F2g1wQXf+jZ&#10;HHrMVq8sGI6xy453ZoqPam9W3upPWMRlygoXMxy5Cxr35ir2W4JF5mK57IIwso7FS3PjeILuZV9u&#10;o61k15EkU6/NoB6GtuvpsGBpKw7vXdTjR2X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OLyifX&#10;AAAABgEAAA8AAAAAAAAAAQAgAAAAIgAAAGRycy9kb3ducmV2LnhtbFBLAQIUABQAAAAIAIdO4kBw&#10;V3jrWgIAAJwEAAAOAAAAAAAAAAEAIAAAACYBAABkcnMvZTJvRG9jLnhtbFBLBQYAAAAABgAGAFkB&#10;AADyBQAAAAA=&#10;">
                        <v:fill on="f" focussize="0,0"/>
                        <v:stroke weight="0.5pt" color="#000000 [3204]" joinstyle="round"/>
                        <v:imagedata o:title=""/>
                        <o:lock v:ext="edit" aspectratio="f"/>
                        <v:textbox>
                          <w:txbxContent>
                            <w:p w14:paraId="0573C233">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燃烧</w:t>
                              </w:r>
                            </w:p>
                          </w:txbxContent>
                        </v:textbox>
                      </v:shape>
                      <v:shape id="_x0000_s1026" o:spid="_x0000_s1026" o:spt="32" type="#_x0000_t32" style="position:absolute;left:2199005;top:3949700;flip:x;height:196215;width:3175;" filled="f" stroked="t" coordsize="21600,21600" o:gfxdata="UEsDBAoAAAAAAIdO4kAAAAAAAAAAAAAAAAAEAAAAZHJzL1BLAwQUAAAACACHTuJAq0DtINUAAAAG&#10;AQAADwAAAGRycy9kb3ducmV2LnhtbE2PzU7DMBCE70i8g7VI3KiTqq1KiNMDEhJCvTT8nJ14SQLx&#10;OsTbNH17Fi5wGWk1o5lv893sezXhGLtABtJFAgqpDq6jxsDL88PNFlRkS872gdDAGSPsisuL3GYu&#10;nOiAU8mNkhKKmTXQMg+Z1rFu0du4CAOSeO9h9JblHBvtRnuSct/rZZJstLcdyUJrB7xvsf4sj97A&#10;hNXr457n2/gx0xt97ctzeCqNub5KkztQjDP/heEHX9ChEKYqHMlF1RuQR/hXxdumyw2oSkLpar0C&#10;XeT6P37xDVBLAwQUAAAACACHTuJAx4vQoTICAAA6BAAADgAAAGRycy9lMm9Eb2MueG1srVPNjtMw&#10;EL4j8Q6W7zRJS3dp1HQPLQsHBJVYHsB1nMSS/+TxNu1L8AJInIATcNo7T7Msj8HYKV12ueyBHKJx&#10;Zuabbz5/mZ/ttCJb4UFaU9FilFMiDLe1NG1F312cP3lGCQRmaqasERXdC6Bni8eP5r0rxdh2VtXC&#10;EwQxUPauol0Irswy4J3QDEbWCYPJxnrNAh59m9We9YiuVTbO85Ost7523nIBgF9XQ5IeEP1DAG3T&#10;SC5Wll9qYcKA6oViAVeCTjqgi8S2aQQPb5oGRCCqorhpSG8cgvEmvrPFnJWtZ66T/ECBPYTCvZ00&#10;kwaHHqFWLDBy6eU/UFpyb8E2YcStzoZFkiK4RZHf0+Ztx5xIu6DU4I6iw/+D5a+3a09kjU6Y4sUb&#10;pvHKbz5c/Xz/+eb7t+tPV79+fIzx1y8kFqBcvYMSu5Zm7ePCEJY7MwCMEUDWu4qOB1mFqY+5CQqe&#10;ckny7A5IPIAb4HaN16RR0r1ERklR1IhEzGI2y/MpJfuKTmZPZ6f54fLELhCOBZPiFLMc08XsZFxM&#10;I4eMlREw8nQewgthNYlBRSF4JtsuLK0xaBLrh2Fs+wrC0PinITYbey6VSl5RhvTHYQz936DvcK52&#10;qCGYlhKmWvyxePCJPlgl69idxPLtZqk82bJox/QcaN4pi6NXDLqhLqUGRQOT6rmpSdg7vKbgJTOt&#10;EjQyAk2JEjgYg2EBZVCAW21jtLH1fu1jOp7QUkmig/2jZ/8+p6rbX37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tA7SDVAAAABgEAAA8AAAAAAAAAAQAgAAAAIgAAAGRycy9kb3ducmV2LnhtbFBL&#10;AQIUABQAAAAIAIdO4kDHi9ChMgIAADoEAAAOAAAAAAAAAAEAIAAAACQBAABkcnMvZTJvRG9jLnht&#10;bFBLBQYAAAAABgAGAFkBAADIBQAAAAA=&#10;">
                        <v:fill on="f" focussize="0,0"/>
                        <v:stroke weight="0.25pt" color="#000000 [3213]" joinstyle="round" endarrow="block" endarrowwidth="narrow" endarrowlength="short"/>
                        <v:imagedata o:title=""/>
                        <o:lock v:ext="edit" aspectratio="f"/>
                      </v:shape>
                      <v:shape id="_x0000_s1026" o:spid="_x0000_s1026" o:spt="32" type="#_x0000_t32" style="position:absolute;left:2196465;top:4391660;flip:x;height:163195;width:2540;" filled="f" stroked="t" coordsize="21600,21600" o:gfxdata="UEsDBAoAAAAAAIdO4kAAAAAAAAAAAAAAAAAEAAAAZHJzL1BLAwQUAAAACACHTuJAq0DtINUAAAAG&#10;AQAADwAAAGRycy9kb3ducmV2LnhtbE2PzU7DMBCE70i8g7VI3KiTqq1KiNMDEhJCvTT8nJ14SQLx&#10;OsTbNH17Fi5wGWk1o5lv893sezXhGLtABtJFAgqpDq6jxsDL88PNFlRkS872gdDAGSPsisuL3GYu&#10;nOiAU8mNkhKKmTXQMg+Z1rFu0du4CAOSeO9h9JblHBvtRnuSct/rZZJstLcdyUJrB7xvsf4sj97A&#10;hNXr457n2/gx0xt97ctzeCqNub5KkztQjDP/heEHX9ChEKYqHMlF1RuQR/hXxdumyw2oSkLpar0C&#10;XeT6P37xDVBLAwQUAAAACACHTuJAKffBEDUCAAA6BAAADgAAAGRycy9lMm9Eb2MueG1srVPNjtMw&#10;EL4j8Q6W7zRNfwKNmu6hZeGAYCXgAVzHSSz5Tx5v074EL4DECTgBp73zNLA8BmOndNnlsgdyiMaZ&#10;mW+++fxlebbXiuyEB2lNRfPRmBJhuK2laSv69s35oyeUQGCmZsoaUdGDAHq2evhg2btSTGxnVS08&#10;QRADZe8q2oXgyiwD3gnNYGSdMJhsrNcs4NG3We1Zj+haZZPxuMh662vnLRcA+HUzJOkR0d8H0DaN&#10;5GJj+aUWJgyoXigWcCXopAO6SmybRvDwqmlABKIqipuG9MYhGG/jO1stWdl65jrJjxTYfSjc2Ukz&#10;aXDoCWrDAiOXXv4DpSX3FmwTRtzqbFgkKYJb5OM72rzumBNpF5Qa3El0+H+w/OXuwhNZoxPmC0oM&#10;03jl1++vfr77dP3t64+PV7++f4jxl88kFqBcvYMSu9bmwseFIaz3ZgCYoqiy3ld0MsgqTH3KTRA8&#10;5ZLk2S2QeAA3wO0br0mjpHuOjJKiqBGJmPmimBVzSg4VnU0XeVEcL0/sA+GxYD7D+RzTeTHNF/PI&#10;IWNlBIw8nYfwTFhNYlBRCJ7JtgtrawyaxPphGNu9gDA0/mmIzcaeS6WSV5QhfUWn+WOkwhn6v0Hf&#10;YagdagimpYSpFn8sHnyiD1bJOnYnsXy7XStPdizaMT1HmrfK4ugNg26oS6lB0cCkempqEg4Oryl4&#10;yUyrBI2MQFOiBA7GYFhAGRTgRtsYbW19uPAxHU9oqSTR0f7Rs3+fU9XNL7/6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tA7SDVAAAABgEAAA8AAAAAAAAAAQAgAAAAIgAAAGRycy9kb3ducmV2Lnht&#10;bFBLAQIUABQAAAAIAIdO4kAp98EQNQIAADoEAAAOAAAAAAAAAAEAIAAAACQBAABkcnMvZTJvRG9j&#10;LnhtbFBLBQYAAAAABgAGAFkBAADLBQAAAAA=&#10;">
                        <v:fill on="f" focussize="0,0"/>
                        <v:stroke weight="0.25pt" color="#000000 [3213]" joinstyle="round" endarrow="block" endarrowwidth="narrow" endarrowlength="short"/>
                        <v:imagedata o:title=""/>
                        <o:lock v:ext="edit" aspectratio="f"/>
                      </v:shape>
                      <v:shape id="_x0000_s1026" o:spid="_x0000_s1026" o:spt="32" type="#_x0000_t32" style="position:absolute;left:2196465;top:4800600;height:283210;width:1905;" filled="f" stroked="t" coordsize="21600,21600" o:gfxdata="UEsDBAoAAAAAAIdO4kAAAAAAAAAAAAAAAAAEAAAAZHJzL1BLAwQUAAAACACHTuJAEJ9ds9cAAAAG&#10;AQAADwAAAGRycy9kb3ducmV2LnhtbE2PQUvDQBCF74L/YRnBi9hN0lpLzKagIhQKBWt73+6OyWJ2&#10;NmS3afvvHb3o5cHwHu99Uy3PvhMjDtEFUpBPMhBIJlhHjYLdx9v9AkRMmqzuAqGCC0ZY1tdXlS5t&#10;ONE7jtvUCC6hWGoFbUp9KWU0LXodJ6FHYu8zDF4nPodG2kGfuNx3ssiyufTaES+0useXFs3X9ugV&#10;mLuNeYzFatyv/OvFTeV66p7XSt3e5NkTiITn9BeGH3xGh5qZDuFINopOAT+SfpW9RV7MQRw4lM8e&#10;ZiDrSv7Hr78BUEsDBBQAAAAIAIdO4kASDCPgLQIAADAEAAAOAAAAZHJzL2Uyb0RvYy54bWytk8+O&#10;0zAQxu9IvIPlO03SLaWNmu6hZbkgqAQ8gOs4iSX/k8fbtC/BCyBxAk7Aae88DSyPwdjpdtnlsgdy&#10;iMYZ+zczn78szvdakZ3wIK2paDHKKRGG21qatqLv3l48mVECgZmaKWtERQ8C6Pny8aNF70oxtp1V&#10;tfAEIQbK3lW0C8GVWQa8E5rByDphMNlYr1nApW+z2rMe6Vpl4zyfZr31tfOWCwD8uh6S9Ej0DwHa&#10;ppFcrC2/1MKEgeqFYgFHgk46oMvUbdMIHl43DYhAVEVx0pDeWATjbXxnywUrW89cJ/mxBfaQFu7N&#10;pJk0WPSEWrPAyKWX/6C05N6CbcKIW50NgyRFcIoiv6fNm445kWZBqcGdRIf/h+WvdhtPZI1OmKIm&#10;hmm88usPV7/ef77+/u3np6vfPz7G+OsXEjegXL2DEk+tzMbHgSGs9mYAjOcUg31Fx4OswtSn3GR6&#10;zCVGdgcSF+AG3L7xOmJRGRJJxXw6mT6l5FDRyQzdkx+vTOwD4bihmOeY5Zgez87GxUBn5Q3GeQgv&#10;hNUkBhWF4Jlsu7CyxqA1rC/SpbHdSwg4WsbKmwOxB2MvpFLJIcqQvqJnxbNYjKHrG3QbhtqhcmBa&#10;Sphq8XfiwSciWCXreDpJ5NvtSnmyY9GE6YkCYbU722LpNYNu2JdSg46BSfXc1CQcHF5O8JKZVgka&#10;OwJNiRJYGIMBqQySbxWN0dbWh42P6bhCI6XaR9NHp/69Trtuf/T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CfXbPXAAAABgEAAA8AAAAAAAAAAQAgAAAAIgAAAGRycy9kb3ducmV2LnhtbFBLAQIU&#10;ABQAAAAIAIdO4kASDCPgLQIAADAEAAAOAAAAAAAAAAEAIAAAACYBAABkcnMvZTJvRG9jLnhtbFBL&#10;BQYAAAAABgAGAFkBAADFBQAAAAA=&#10;">
                        <v:fill on="f" focussize="0,0"/>
                        <v:stroke weight="0.25pt" color="#000000 [3213]" joinstyle="round" endarrow="block" endarrowwidth="narrow" endarrowlength="short"/>
                        <v:imagedata o:title=""/>
                        <o:lock v:ext="edit" aspectratio="f"/>
                      </v:shape>
                      <v:shape id="_x0000_s1026" o:spid="_x0000_s1026" o:spt="32" type="#_x0000_t32" style="position:absolute;left:867410;top:5688330;flip:x y;height:5715;width:394335;" filled="f" stroked="t" coordsize="21600,21600" o:gfxdata="UEsDBAoAAAAAAIdO4kAAAAAAAAAAAAAAAAAEAAAAZHJzL1BLAwQUAAAACACHTuJAYIrqi9cAAAAG&#10;AQAADwAAAGRycy9kb3ducmV2LnhtbE2PwU7DMBBE70j8g7VI3KiTUkqbxumhElwQSC1U6tGNt05E&#10;vLZiNyl/z8IFLiOtZjTztlxfXCcG7GPrSUE+yUAg1d60ZBV8vD/dLUDEpMnozhMq+MII6+r6qtSF&#10;8SNtcdglK7iEYqEVNCmFQspYN+h0nPiAxN7J904nPnsrTa9HLnednGbZXDrdEi80OuCmwfpzd3YK&#10;lpsh3L9RdzosX18O+2Dt86MZlbq9ybMViISX9BeGH3xGh4qZjv5MJopOAT+SfpW9RT6dgzhyKJ89&#10;zEBWpfyPX30DUEsDBBQAAAAIAIdO4kAI+JmeHwIAAP8DAAAOAAAAZHJzL2Uyb0RvYy54bWytU72O&#10;EzEQ7pF4B8s92ezlkgurbK5IOCgQROKnn3i9u5b8J48vm7wEL4BEBVRAdT1PA8djMN4NBxzNFbiw&#10;xp6Zb+b7PF6c741mOxlQOVvyfDTmTFrhKmWbkr96efFgzhlGsBVoZ2XJDxL5+fL+vUXnC3niWqcr&#10;GRiBWCw6X/I2Rl9kGYpWGsCR89KSs3bBQKRjaLIqQEfoRmcn4/Es61yofHBCItLtenDyI2K4C6Cr&#10;ayXk2olLI20cUIPUEIkStsojX/bd1rUU8Xldo4xMl5yYxn6nImRv054tF1A0AXyrxLEFuEsLtzgZ&#10;UJaK3kCtIQK7DOofKKNEcOjqOBLOZAORXhFikY9vafOiBS97LiQ1+hvR8f/Bime7TWCqokmY5ZxZ&#10;MPTk12+vvr/5cP3l87f3Vz++vkv2p48sBZBcnceCslZ2E44n9JuQuO/rYFitlX9CaLy3Xicr+Ygp&#10;25d8Pjs7zUn7Q8mns/l8Mjm+gNxHJsg/eXg6mUw5EyngLJ+mgtmAnFB8wPhYOsOSUXKMAVTTxpWz&#10;ll7ahaEW7J5iHBJ/JaRk6y6U1nQPhbaso2L5WSoFNMQ1DQ+ZxpMQaBvOQDf0O0QMfffotKpSdkrG&#10;0GxXOrAdpJnq17HNv8JS6TVgO8T1rhQGRQSlH9mKxYMnrWNQYBsteeoIDWdaUmEyBgLakgBJ8kHk&#10;ZG1ddei17+9pLnqJjjOcBu/Pc5/9+98u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giuqL1wAA&#10;AAYBAAAPAAAAAAAAAAEAIAAAACIAAABkcnMvZG93bnJldi54bWxQSwECFAAUAAAACACHTuJACPiZ&#10;nh8CAAD/AwAADgAAAAAAAAABACAAAAAmAQAAZHJzL2Uyb0RvYy54bWxQSwUGAAAAAAYABgBZAQAA&#10;twUAAAAA&#10;">
                        <v:fill on="f" focussize="0,0"/>
                        <v:stroke weight="0.25pt" color="#000000 [3213]" joinstyle="round" endarrow="block" endarrowwidth="narrow" endarrowlength="short"/>
                        <v:imagedata o:title=""/>
                        <o:lock v:ext="edit" aspectratio="f"/>
                      </v:shape>
                      <v:shape id="_x0000_s1026" o:spid="_x0000_s1026" o:spt="32" type="#_x0000_t32" style="position:absolute;left:1674495;top:5737860;flip:y;height:635;width:98425;" filled="f" stroked="t" coordsize="21600,21600" o:gfxdata="UEsDBAoAAAAAAIdO4kAAAAAAAAAAAAAAAAAEAAAAZHJzL1BLAwQUAAAACACHTuJAYCpVodYAAAAG&#10;AQAADwAAAGRycy9kb3ducmV2LnhtbE2PzU7DMBCE70i8g7VI3Kid0p80xOkBiZ8Dh1J4ADfeJhH2&#10;OoqdtPD0LFzgMtJqRjPfltuzd2LCIXaBNGQzBQKpDrajRsP728NNDiImQ9a4QKjhEyNsq8uL0hQ2&#10;nOgVp31qBJdQLIyGNqW+kDLWLXoTZ6FHYu8YBm8Sn0Mj7WBOXO6dnCu1kt50xAut6fG+xfpjP3oN&#10;653rX9T4ONkubJ7y9e34/LVEra+vMnUHIuE5/YXhB5/RoWKmQxjJRuE08CPpV9nLs/kKxIFD2WK5&#10;AFmV8j9+9Q1QSwMEFAAAAAgAh07iQEnTwRYzAgAAOQQAAA4AAABkcnMvZTJvRG9jLnhtbK1Ty47T&#10;MBTdI/EPlvc0Td+Nms6iZdggqMRj7zpOYskv+Xqa9if4ASRWwApYzZ6vgeEzuE5Chxk2syAL6zrX&#10;99xzjq9XF0etyEF4kNbkNB0MKRGG20KaKqdvXl8+WVACgZmCKWtETk8C6MX68aNV4zIxsrVVhfAE&#10;QQxkjctpHYLLkgR4LTSDgXXCYLK0XrOAW18lhWcNomuVjIbDWdJYXzhvuQDAv9suSXtE/xBAW5aS&#10;i63lV1qY0KF6oVhASVBLB3Tdsi1LwcPLsgQRiMopKg3tik0w3sc1Wa9YVnnmasl7CuwhFO5p0kwa&#10;bHqG2rLAyJWX/0Bpyb0FW4YBtzrphLSOoIp0eM+bVzVzotWCVoM7mw7/D5a/OOw8kQVOwmxEiWEa&#10;r/zm/fXPd59uvn398fH61/cPMf7ymcQDaFfjIMOqjdn5KBjC5mg6gPGSYnDM6bizVZjinEv7VBpT&#10;yR2MuAHXoR1Lr0mppHuLhFpD0SKCkOlsPpksp5Sccjqdj+eLWX934hgIxwPLxWSEaY752XjadmFZ&#10;hIsknYfwTFhNYpBTCJ7Jqg4bawxOiPVdK3Z4DiHSuy2IxcZeSqXaQVGGNCgvncdODIe/xKHDUDs0&#10;EExFCVMVvioefEserJJFrG6d8tV+ozw5sDiL7dfTvHMsUtwyqLtzBUZbGzpDA5PqqSlIODm8peAl&#10;M5USNHICTYkS2BqDToIyvdGdt9HlvS1OO//nAnCiWq399MeR/XvfVt+++P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CpVodYAAAAGAQAADwAAAAAAAAABACAAAAAiAAAAZHJzL2Rvd25yZXYueG1s&#10;UEsBAhQAFAAAAAgAh07iQEnTwRYzAgAAOQQAAA4AAAAAAAAAAQAgAAAAJQEAAGRycy9lMm9Eb2Mu&#10;eG1sUEsFBgAAAAAGAAYAWQEAAMoFAAAAAA==&#10;">
                        <v:fill on="f" focussize="0,0"/>
                        <v:stroke weight="0.25pt" color="#000000 [3213]" joinstyle="round" dashstyle="dashDot" endarrow="block" endarrowwidth="narrow" endarrowlength="short"/>
                        <v:imagedata o:title=""/>
                        <o:lock v:ext="edit" aspectratio="f"/>
                      </v:shape>
                      <v:shape id="_x0000_s1026" o:spid="_x0000_s1026" o:spt="32" type="#_x0000_t32" style="position:absolute;left:1650365;top:2531745;flip:y;height:4445;width:261620;" filled="f" stroked="t" coordsize="21600,21600" o:gfxdata="UEsDBAoAAAAAAIdO4kAAAAAAAAAAAAAAAAAEAAAAZHJzL1BLAwQUAAAACACHTuJAq0DtINUAAAAG&#10;AQAADwAAAGRycy9kb3ducmV2LnhtbE2PzU7DMBCE70i8g7VI3KiTqq1KiNMDEhJCvTT8nJ14SQLx&#10;OsTbNH17Fi5wGWk1o5lv893sezXhGLtABtJFAgqpDq6jxsDL88PNFlRkS872gdDAGSPsisuL3GYu&#10;nOiAU8mNkhKKmTXQMg+Z1rFu0du4CAOSeO9h9JblHBvtRnuSct/rZZJstLcdyUJrB7xvsf4sj97A&#10;hNXr457n2/gx0xt97ctzeCqNub5KkztQjDP/heEHX9ChEKYqHMlF1RuQR/hXxdumyw2oSkLpar0C&#10;XeT6P37xDVBLAwQUAAAACACHTuJAtUlkcTYCAAA6BAAADgAAAGRycy9lMm9Eb2MueG1srVPNjtMw&#10;EL4j8Q6W7zRNf7IoarqHluWCoBI/96njJJb8J9vbtC/BCyBxAk4sp73zNLA8BmOndJflsgdyiMaZ&#10;mc/f981kcb5Xkuy488LoiuajMSVcM1ML3Vb07ZuLJ08p8QF0DdJoXtED9/R8+fjRorcln5jOyJo7&#10;giDal72taBeCLbPMs44r8CNjucZkY5yCgEfXZrWDHtGVzCbjcZH1xtXWGca9x6/rIUmPiO4hgKZp&#10;BONrwy4V12FAdVxCQEm+E9bTZWLbNJyFV03jeSCyoqg0pDdegvE2vrPlAsrWge0EO1KAh1C4p0mB&#10;0HjpCWoNAcilE/9AKcGc8aYJI2ZUNghJjqCKfHzPm9cdWJ60oNXenkz3/w+WvdxtHBE1bkIxpUSD&#10;wpHffLj++f7zzberH5+uf33/GOOvX0gsQLt660vsWumNi4J9WO31ADAvKAb7iqY6KLmuT7np7JjL&#10;I0b2F0g8eDvA7RunSCOFfYeMkqPoEUHMvJiPp8WckkNFJ/NpfjabD8Pj+0AYFkyKvJjgWBkWzGZD&#10;NoMyAkae1vnwnBtFYlBRHxyItgsrozUuiXHDZbB74UMkeNsQm7W5EFKmXZGa9KgwP0MqDHD/G9w7&#10;DJVFD71uKQHZ4o/Fgkv0vZGijt3JLNduV9KRHcR1TE+yA228WxYprsF3Q11KDVoDCPlM1yQcLI4p&#10;OAG6lZxGRl5RIjlejMEgQOqj0YO30eWtqQ8b92cAuFJJ6XH9487ePafu21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rQO0g1QAAAAYBAAAPAAAAAAAAAAEAIAAAACIAAABkcnMvZG93bnJldi54&#10;bWxQSwECFAAUAAAACACHTuJAtUlkcTYCAAA6BAAADgAAAAAAAAABACAAAAAkAQAAZHJzL2Uyb0Rv&#10;Yy54bWxQSwUGAAAAAAYABgBZAQAAzAUAAAAA&#10;">
                        <v:fill on="f" focussize="0,0"/>
                        <v:stroke weight="0.25pt" color="#000000 [3213]" joinstyle="round" endarrow="block" endarrowwidth="narrow" endarrowlength="short"/>
                        <v:imagedata o:title=""/>
                        <o:lock v:ext="edit" aspectratio="f"/>
                      </v:shape>
                      <v:shape id="_x0000_s1026" o:spid="_x0000_s1026" o:spt="32" type="#_x0000_t32" style="position:absolute;left:1521460;top:1206500;height:2540;width:478155;" filled="f" stroked="t" coordsize="21600,21600" o:gfxdata="UEsDBAoAAAAAAIdO4kAAAAAAAAAAAAAAAAAEAAAAZHJzL1BLAwQUAAAACACHTuJAEJ9ds9cAAAAG&#10;AQAADwAAAGRycy9kb3ducmV2LnhtbE2PQUvDQBCF74L/YRnBi9hN0lpLzKagIhQKBWt73+6OyWJ2&#10;NmS3afvvHb3o5cHwHu99Uy3PvhMjDtEFUpBPMhBIJlhHjYLdx9v9AkRMmqzuAqGCC0ZY1tdXlS5t&#10;ONE7jtvUCC6hWGoFbUp9KWU0LXodJ6FHYu8zDF4nPodG2kGfuNx3ssiyufTaES+0useXFs3X9ugV&#10;mLuNeYzFatyv/OvFTeV66p7XSt3e5NkTiITn9BeGH3xGh5qZDuFINopOAT+SfpW9RV7MQRw4lM8e&#10;ZiDrSv7Hr78BUEsDBBQAAAAIAIdO4kC8NYXdEwIAAOwDAAAOAAAAZHJzL2Uyb0RvYy54bWytU81u&#10;EzEQviPxDpbvZHdDklZRNj0klAuCSsADOF7vriX/acbNz0vwAkicgBP01DtPA+UxGHtDC+XSA3vw&#10;jj0z38z3ebw421vDtgpQe1fzalRyppz0jXZdzd++OX9yyhlG4RphvFM1PyjkZ8vHjxa7MFdj33vT&#10;KGAE4nC+CzXvYwzzokDZKytw5INy5Gw9WBFpC13RgNgRujXFuCxnxc5DE8BLhUin68HJj4jwEEDf&#10;tlqqtZeXVrk4oIIyIhIl7HVAvszdtq2S8VXboorM1JyYxrxSEbI3aS2WCzHvQIRey2ML4iEt3ONk&#10;hXZU9BZqLaJgl6D/gbJagkffxpH0thiIZEWIRVXe0+Z1L4LKXEhqDLei4/+DlS+3F8B0Q5Mwm3Dm&#10;hKUrv3l//ePdp5urr98/Xv/89iHZXz6zFEBy7QLOKWvlLuC4w3ABifu+BZv+xIrtCXA6riYzEvpA&#10;9ricTcuj3GofmaSAyclpNZ1yJilgPJ1kb3EHEwDjc+UtS0bNMYLQXR9X3jm6Vg9VFlxsX2CkRijx&#10;d0LqwflzbUy+XePYruZPq5NUStDEtjQpZNpArNF1nAnT0VOQETIieqOblJ1wELrNygDbijRA+Usi&#10;ULW/wlLptcB+iMuuYbSi0OaZa1g8BBI2ghauM4qnjtByZhQVJmOANI6Qk76Dosna+OaQhc7nNAS5&#10;9nFg05T9uc/Zd490+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Qn12z1wAAAAYBAAAPAAAAAAAA&#10;AAEAIAAAACIAAABkcnMvZG93bnJldi54bWxQSwECFAAUAAAACACHTuJAvDWF3RMCAADsAwAADgAA&#10;AAAAAAABACAAAAAmAQAAZHJzL2Uyb0RvYy54bWxQSwUGAAAAAAYABgBZAQAAqwUAAAAA&#10;">
                        <v:fill on="f" focussize="0,0"/>
                        <v:stroke weight="0.25pt" color="#000000 [3213]" joinstyle="round" endarrow="block" endarrowwidth="narrow" endarrowlength="short"/>
                        <v:imagedata o:title=""/>
                        <o:lock v:ext="edit" aspectratio="f"/>
                      </v:shape>
                      <v:shape id="_x0000_s1026" o:spid="_x0000_s1026" o:spt="32" type="#_x0000_t32" style="position:absolute;left:1541145;top:1912620;height:4445;width:472440;" filled="f" stroked="t" coordsize="21600,21600" o:gfxdata="UEsDBAoAAAAAAIdO4kAAAAAAAAAAAAAAAAAEAAAAZHJzL1BLAwQUAAAACACHTuJAEJ9ds9cAAAAG&#10;AQAADwAAAGRycy9kb3ducmV2LnhtbE2PQUvDQBCF74L/YRnBi9hN0lpLzKagIhQKBWt73+6OyWJ2&#10;NmS3afvvHb3o5cHwHu99Uy3PvhMjDtEFUpBPMhBIJlhHjYLdx9v9AkRMmqzuAqGCC0ZY1tdXlS5t&#10;ONE7jtvUCC6hWGoFbUp9KWU0LXodJ6FHYu8zDF4nPodG2kGfuNx3ssiyufTaES+0useXFs3X9ugV&#10;mLuNeYzFatyv/OvFTeV66p7XSt3e5NkTiITn9BeGH3xGh5qZDuFINopOAT+SfpW9RV7MQRw4lM8e&#10;ZiDrSv7Hr78BUEsDBBQAAAAIAIdO4kDuQF+hEwIAAOwDAAAOAAAAZHJzL2Uyb0RvYy54bWytU81u&#10;1DAQviPxDpbvbDZLuoVosz3sUi4IVgIeYNZxEkv+k8fdn5fgBZA4ASfKqXeeBspjME5CC+XSAzk4&#10;M/bMN/N9Hi/ODkaznQyonK14PplyJq1wtbJtxd++OX/0hDOMYGvQzsqKHyXys+XDB4u9L+XMdU7X&#10;MjACsVjufcW7GH2ZZSg6aQAnzktLh40LBiK5oc3qAHtCNzqbTafzbO9C7YMTEpF218MhHxHDfQBd&#10;0ygh105cGGnjgBqkhkiUsFMe+bLvtmmkiK+aBmVkuuLENPYrFSF7m9ZsuYCyDeA7JcYW4D4t3OFk&#10;QFkqegO1hgjsIqh/oIwSwaFr4kQ4kw1EekWIRT69o83rDrzsuZDU6G9Ex/8HK17uNoGpmiZhfsKZ&#10;BUNXfv3+6se7T9dfL79/vPr57UOyv3xmKYDk2nssKWtlN2H00G9C4n5ogkl/YsUOBHhS5HlBoEey&#10;n+az+WyUWx4iExRQnM6Kgi5CUEBRUCThZbcwPmB8Lp1hyag4xgCq7eLKWUvX6kLeCw67FxiHxN8J&#10;qQfrzpXWtA+ltmxf8cf5KbUigCa2oUkh03hijbblDHRLT0HE0COi06pO2SkZQ7td6cB2kAao/8Y2&#10;/wpLpdeA3RDXH6UwKCMo/czWLB49CRuDAttqyVNHaDjTkgqTMRDQlgRI+g6KJmvr6mMvdL9PQ9BL&#10;NA5smrI//T779pEu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Qn12z1wAAAAYBAAAPAAAAAAAA&#10;AAEAIAAAACIAAABkcnMvZG93bnJldi54bWxQSwECFAAUAAAACACHTuJA7kBfoRMCAADsAwAADgAA&#10;AAAAAAABACAAAAAmAQAAZHJzL2Uyb0RvYy54bWxQSwUGAAAAAAYABgBZAQAAqwUAAAAA&#10;">
                        <v:fill on="f" focussize="0,0"/>
                        <v:stroke weight="0.25pt" color="#000000 [3213]" joinstyle="round" endarrow="block" endarrowwidth="narrow" endarrowlength="short"/>
                        <v:imagedata o:title=""/>
                        <o:lock v:ext="edit" aspectratio="f"/>
                      </v:shape>
                      <v:shape id="_x0000_s1026" o:spid="_x0000_s1026" o:spt="32" type="#_x0000_t32" style="position:absolute;left:2197735;top:981075;height:174625;width:3810;" filled="f" stroked="t" coordsize="21600,21600" o:gfxdata="UEsDBAoAAAAAAIdO4kAAAAAAAAAAAAAAAAAEAAAAZHJzL1BLAwQUAAAACACHTuJAEJ9ds9cAAAAG&#10;AQAADwAAAGRycy9kb3ducmV2LnhtbE2PQUvDQBCF74L/YRnBi9hN0lpLzKagIhQKBWt73+6OyWJ2&#10;NmS3afvvHb3o5cHwHu99Uy3PvhMjDtEFUpBPMhBIJlhHjYLdx9v9AkRMmqzuAqGCC0ZY1tdXlS5t&#10;ONE7jtvUCC6hWGoFbUp9KWU0LXodJ6FHYu8zDF4nPodG2kGfuNx3ssiyufTaES+0useXFs3X9ugV&#10;mLuNeYzFatyv/OvFTeV66p7XSt3e5NkTiITn9BeGH3xGh5qZDuFINopOAT+SfpW9RV7MQRw4lM8e&#10;ZiDrSv7Hr78BUEsDBBQAAAAIAIdO4kATRmFbLAIAAC8EAAAOAAAAZHJzL2Uyb0RvYy54bWytk89y&#10;0zAQxu/M8A4a3YnjhCatJ04PCeXCQGaAB1Bk2daM/o1WjZOX4AWY4QScKKfeeRooj8FKdhtaLj3g&#10;g2fllX6736f14nyvFdkJD9KakuajMSXCcFtJ05T0/buLZ6eUQGCmYsoaUdKDAHq+fPpk0blCTGxr&#10;VSU8QYiBonMlbUNwRZYBb4VmMLJOGEzW1msWcOmbrPKsQ7pW2WQ8nmWd9ZXzlgsA/Lruk3Qg+scA&#10;bV1LLtaWX2phQk/1QrGAkqCVDugydVvXgoc3dQ0iEFVSVBrSG4tgvI3vbLlgReOZayUfWmCPaeGB&#10;Js2kwaJ3qDULjFx6+Q9KS+4t2DqMuNVZLyQ5giry8QNv3rbMiaQFrQZ3Zzr8Pyx/vdt4IiuchNmM&#10;EsM0XvnNx+tfH77cfL/6+fn6949PMf72lcQNaFfnoMBTK7PxUTCE1d70gCkCZLUv6aS3VZjqmDsZ&#10;csny7B4kLsD1uH3tdcSiMySS8rP5fIpnDyU9O83H85MBvQ+EY36K3yjhmM3nz2eTlM1YcUtxHsJL&#10;YTWJQUkheCabNqysMTgZ1ufpztjuFQRUhgdvD8QWjL2QSqUBUYZ0WCzH8oQzHPoahw1D7dA4MA0l&#10;TDX4N/HgExGsklU8nRzyzXalPNmxOIPpiSKw2r1tsfSaQdvvS6lea2BSvTAVCQeHdxO8ZKZRgsaO&#10;QFOiBBbGoEcqg+SjoTHa2uqw8TEdVzhHqfYw83FQ/16nXcf/fP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J9ds9cAAAAGAQAADwAAAAAAAAABACAAAAAiAAAAZHJzL2Rvd25yZXYueG1sUEsBAhQA&#10;FAAAAAgAh07iQBNGYVssAgAALwQAAA4AAAAAAAAAAQAgAAAAJgEAAGRycy9lMm9Eb2MueG1sUEsF&#10;BgAAAAAGAAYAWQEAAMQFAAAAAA==&#10;">
                        <v:fill on="f" focussize="0,0"/>
                        <v:stroke weight="0.25pt" color="#000000 [3213]" joinstyle="round" endarrow="block" endarrowwidth="narrow" endarrowlength="short"/>
                        <v:imagedata o:title=""/>
                        <o:lock v:ext="edit" aspectratio="f"/>
                      </v:shape>
                      <v:shape id="_x0000_s1026" o:spid="_x0000_s1026" o:spt="32" type="#_x0000_t32" style="position:absolute;left:2201545;top:1401445;height:297180;width:2540;" filled="f" stroked="t" coordsize="21600,21600" o:gfxdata="UEsDBAoAAAAAAIdO4kAAAAAAAAAAAAAAAAAEAAAAZHJzL1BLAwQUAAAACACHTuJAEJ9ds9cAAAAG&#10;AQAADwAAAGRycy9kb3ducmV2LnhtbE2PQUvDQBCF74L/YRnBi9hN0lpLzKagIhQKBWt73+6OyWJ2&#10;NmS3afvvHb3o5cHwHu99Uy3PvhMjDtEFUpBPMhBIJlhHjYLdx9v9AkRMmqzuAqGCC0ZY1tdXlS5t&#10;ONE7jtvUCC6hWGoFbUp9KWU0LXodJ6FHYu8zDF4nPodG2kGfuNx3ssiyufTaES+0useXFs3X9ugV&#10;mLuNeYzFatyv/OvFTeV66p7XSt3e5NkTiITn9BeGH3xGh5qZDuFINopOAT+SfpW9RV7MQRw4lM8e&#10;ZiDrSv7Hr78BUEsDBBQAAAAIAIdO4kCvZ+rILAIAADAEAAAOAAAAZHJzL2Uyb0RvYy54bWytk81u&#10;1DAQx+9IvIPlO81mu+2WqNkedikXBCsBDzDrOIklf8nj7sdL8AJInIAT5dQ7TwPlMRg725aWSw/k&#10;EI0z49/M/GdyerY1mq1lQOVszcuDEWfSCtco29X8/bvzZyecYQTbgHZW1nwnkZ/Nnj453fhKjl3v&#10;dCMDI4jFauNr3sfoq6JA0UsDeOC8tORsXTAQ6Ri6ogmwIbrRxXg0Oi42LjQ+OCER6eticPI9MTwG&#10;6NpWCblw4sJIGwdqkBoitYS98shnudq2lSK+aVuUkemaU6cxvykJ2av0LmanUHUBfK/EvgR4TAkP&#10;ejKgLCW9RS0gArsI6h+UUSI4dG08EM4UQyNZEeqiHD3Q5m0PXuZeSGr0t6Lj/8OK1+tlYKqhTTie&#10;cmbB0MivP179+vDl+vvlz89Xv398Sva3rywFkFwbjxXdmttlSA1jnG/tADg84mRsaz4eZJW2ufON&#10;974seXEPkg7oB9y2DSZhSRmWSKTK0YS4OypwMionZOeRyW1kIgUcTWiUgtzj59PyZKBDdYPxAeNL&#10;6QxLRs0xBlBdH+fOWloNF8o8NFi/wkjYAqqbC6kG686V1jmdtmxT88NySqUIoK1vadvINJ6UQ9tx&#10;Brqj30nEkInotGrS7SxR6FZzHdga0hLmJzVB2e6FpdQLwH6Iy66h1whKv7ANiztPw4lBge205Kki&#10;NJxpSYnJGJDaEvlO0WStXLNbhuROJ1qknHu/9GlT/z7nqLsfffY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J9ds9cAAAAGAQAADwAAAAAAAAABACAAAAAiAAAAZHJzL2Rvd25yZXYueG1sUEsBAhQA&#10;FAAAAAgAh07iQK9n6sgsAgAAMAQAAA4AAAAAAAAAAQAgAAAAJgEAAGRycy9lMm9Eb2MueG1sUEsF&#10;BgAAAAAGAAYAWQEAAMQFAAAAAA==&#10;">
                        <v:fill on="f" focussize="0,0"/>
                        <v:stroke weight="0.25pt" color="#000000 [3213]" joinstyle="round" endarrow="block" endarrowwidth="narrow" endarrowlength="short"/>
                        <v:imagedata o:title=""/>
                        <o:lock v:ext="edit" aspectratio="f"/>
                      </v:shape>
                      <v:shape id="_x0000_s1026" o:spid="_x0000_s1026" o:spt="32" type="#_x0000_t32" style="position:absolute;left:2204085;top:1944370;height:464185;width:1270;" filled="f" stroked="t" coordsize="21600,21600" o:gfxdata="UEsDBAoAAAAAAIdO4kAAAAAAAAAAAAAAAAAEAAAAZHJzL1BLAwQUAAAACACHTuJAEJ9ds9cAAAAG&#10;AQAADwAAAGRycy9kb3ducmV2LnhtbE2PQUvDQBCF74L/YRnBi9hN0lpLzKagIhQKBWt73+6OyWJ2&#10;NmS3afvvHb3o5cHwHu99Uy3PvhMjDtEFUpBPMhBIJlhHjYLdx9v9AkRMmqzuAqGCC0ZY1tdXlS5t&#10;ONE7jtvUCC6hWGoFbUp9KWU0LXodJ6FHYu8zDF4nPodG2kGfuNx3ssiyufTaES+0useXFs3X9ugV&#10;mLuNeYzFatyv/OvFTeV66p7XSt3e5NkTiITn9BeGH3xGh5qZDuFINopOAT+SfpW9RV7MQRw4lM8e&#10;ZiDrSv7Hr78BUEsDBBQAAAAIAIdO4kC7SwlwLAIAADAEAAAOAAAAZHJzL2Uyb0RvYy54bWytU81u&#10;1DAQviPxDpbvbJLdsC3RZnvYpVwQVAIewOs4iSX/yePuz0vwAkicgBNw6p2ngfIYjJ20S8ulB3KI&#10;xp7x52+++bw422tFtsKDtKamxSSnRBhuG2m6mr57e/7klBIIzDRMWSNqehBAz5aPHy12rhJT21vV&#10;CE8QxEC1czXtQ3BVlgHvhWYwsU4YTLbWaxZw6bus8WyH6Fpl0zyfZzvrG+ctFwC4ux6SdET0DwG0&#10;bSu5WFt+qYUJA6oXigVsCXrpgC4T27YVPLxuWxCBqJpipyH98RKMN/GfLRes6jxzveQjBfYQCvd6&#10;0kwavPQWas0CI5de/gOlJfcWbBsm3OpsaCQpgl0U+T1t3vTMidQLSg3uVnT4f7D81fbCE9mgE+Y4&#10;eMM0jvz6w9Wv95+vv3/7+enq94+PMf76hcQClGvnoMJTK3PhY8MQVnszAMymFIN9TaeDrMI0x1w5&#10;5pLk2R2QuAA3wO1bryMsKkMi0jQv89OnlByQ4LOynJ2MIxP7QDgWFFPcIRzT5bwssBIZZqy6gXEe&#10;wgthNYlBTSF4Jrs+rKwxaA3rizQ0tn0JYTh4cyByMPZcKpUcogzZ1XRWnCAVztD1LboNQ+1QOTAd&#10;JUx1+Jx48AkRrJJNPJ0k8t1mpTzZsmjC9I0075TFq9cM+qEupQYdA5PquWlIODgcTvCSmU4JGhmB&#10;pkQJvBiDoQFlUICjojHa2OZw4WM6rtBISaLR9NGpf69T1fGhL/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J9ds9cAAAAGAQAADwAAAAAAAAABACAAAAAiAAAAZHJzL2Rvd25yZXYueG1sUEsBAhQA&#10;FAAAAAgAh07iQLtLCXAsAgAAMAQAAA4AAAAAAAAAAQAgAAAAJgEAAGRycy9lMm9Eb2MueG1sUEsF&#10;BgAAAAAGAAYAWQEAAMQFAAAAAA==&#10;">
                        <v:fill on="f" focussize="0,0"/>
                        <v:stroke weight="0.25pt" color="#000000 [3213]" joinstyle="round" endarrow="block" endarrowwidth="narrow" endarrowlength="short"/>
                        <v:imagedata o:title=""/>
                        <o:lock v:ext="edit" aspectratio="f"/>
                      </v:shape>
                      <v:shape id="_x0000_s1026" o:spid="_x0000_s1026" o:spt="32" type="#_x0000_t32" style="position:absolute;left:2205355;top:2654300;height:170180;width:0;" filled="f" stroked="t" coordsize="21600,21600" o:gfxdata="UEsDBAoAAAAAAIdO4kAAAAAAAAAAAAAAAAAEAAAAZHJzL1BLAwQUAAAACACHTuJAEJ9ds9cAAAAG&#10;AQAADwAAAGRycy9kb3ducmV2LnhtbE2PQUvDQBCF74L/YRnBi9hN0lpLzKagIhQKBWt73+6OyWJ2&#10;NmS3afvvHb3o5cHwHu99Uy3PvhMjDtEFUpBPMhBIJlhHjYLdx9v9AkRMmqzuAqGCC0ZY1tdXlS5t&#10;ONE7jtvUCC6hWGoFbUp9KWU0LXodJ6FHYu8zDF4nPodG2kGfuNx3ssiyufTaES+0useXFs3X9ugV&#10;mLuNeYzFatyv/OvFTeV66p7XSt3e5NkTiITn9BeGH3xGh5qZDuFINopOAT+SfpW9RV7MQRw4lM8e&#10;ZiDrSv7Hr78BUEsDBBQAAAAIAIdO4kBrToc8LAIAAC0EAAAOAAAAZHJzL2Uyb0RvYy54bWytk81u&#10;00AQx+9IvMNq78R20qTFitNDQrkgiAQ8wGS9tlfaL+1u4+QleAEkTsCJcuqdp4HyGMyu04aWSw/4&#10;YM16Zn8z85/x/HynJNly54XRFS1GOSVcM1ML3Vb0/buLZ2eU+AC6Bmk0r+iee3q+ePpk3tuSj01n&#10;ZM0dQYj2ZW8r2oVgyyzzrOMK/MhYrtHZGKcg4NG1We2gR7qS2TjPZ1lvXG2dYdx7/LoanPRAdI8B&#10;mqYRjK8Mu1Rch4HquISALflOWE8Xqdqm4Sy8aRrPA5EVxU5DemMStDfxnS3mULYObCfYoQR4TAkP&#10;elIgNCa9Q60gALl04h+UEswZb5owYkZlQyNJEeyiyB9o87YDy1MvKLW3d6L7/4dlr7drR0SNmzB7&#10;TokGhSO/+Xj968OXm+9XPz9f//7xKdrfvpIYgHL11pd4a6nXLjbsw3KnB8DkhKKxq+h4kJXr+uib&#10;HHxJ8uweJB68HXC7xqmIRWVIJI3z6WQ6pWSP9mx6MskPI+O7QBgG4BwZ+orTvDgb0FDeMqzz4SU3&#10;ikSjoj44EG0XlkZr3AvjijQx2L7yAfvKoLy9EAvQ5kJImdZDatJXdFKcYh0McOUbXDU0lUXZvG4p&#10;Adniv8SCS0RvpKjj7aSPazdL6cgW4gamJ6qD2e6FxdQr8N0Ql1yDiAGEfKFrEvYWJxOcAN1KTmNF&#10;XlEiOSZGY0BKjeSjnNHamHq/dtEdT7hFKfdh4+Oa/n1OUce/fP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J9ds9cAAAAGAQAADwAAAAAAAAABACAAAAAiAAAAZHJzL2Rvd25yZXYueG1sUEsBAhQA&#10;FAAAAAgAh07iQGtOhzwsAgAALQQAAA4AAAAAAAAAAQAgAAAAJgEAAGRycy9lMm9Eb2MueG1sUEsF&#10;BgAAAAAGAAYAWQEAAMQFAAAAAA==&#10;">
                        <v:fill on="f" focussize="0,0"/>
                        <v:stroke weight="0.25pt" color="#000000 [3213]" joinstyle="round" endarrow="block" endarrowwidth="narrow" endarrowlength="short"/>
                        <v:imagedata o:title=""/>
                        <o:lock v:ext="edit" aspectratio="f"/>
                      </v:shape>
                      <v:shape id="_x0000_s1026" o:spid="_x0000_s1026" o:spt="32" type="#_x0000_t32" style="position:absolute;left:2204720;top:3070225;flip:x;height:202565;width:635;" filled="f" stroked="t" coordsize="21600,21600" o:gfxdata="UEsDBAoAAAAAAIdO4kAAAAAAAAAAAAAAAAAEAAAAZHJzL1BLAwQUAAAACACHTuJAq0DtINUAAAAG&#10;AQAADwAAAGRycy9kb3ducmV2LnhtbE2PzU7DMBCE70i8g7VI3KiTqq1KiNMDEhJCvTT8nJ14SQLx&#10;OsTbNH17Fi5wGWk1o5lv893sezXhGLtABtJFAgqpDq6jxsDL88PNFlRkS872gdDAGSPsisuL3GYu&#10;nOiAU8mNkhKKmTXQMg+Z1rFu0du4CAOSeO9h9JblHBvtRnuSct/rZZJstLcdyUJrB7xvsf4sj97A&#10;hNXr457n2/gx0xt97ctzeCqNub5KkztQjDP/heEHX9ChEKYqHMlF1RuQR/hXxdumyw2oSkLpar0C&#10;XeT6P37xDVBLAwQUAAAACACHTuJAe4IzhzICAAA5BAAADgAAAGRycy9lMm9Eb2MueG1srVPNjtMw&#10;EL4j8Q6W7zRpSlsUNd1Dy8IBQSXgAVzHSSz5Tx5v074EL4DECTgBp73zNLvLYzB2ypZdLnsgh2ic&#10;mflmvi+fF2d7rchOeJDWVHQ8yikRhttamrai79+dP3lGCQRmaqasERU9CKBny8ePFr0rRWE7q2rh&#10;CYIYKHtX0S4EV2YZ8E5oBiPrhMFkY71mAY++zWrPekTXKivyfJb11tfOWy4A8Ot6SNIjon8IoG0a&#10;ycXa8gstTBhQvVAsICXopAO6TNs2jeDhTdOACERVFJmG9MYhGG/jO1suWNl65jrJjyuwh6xwj5Nm&#10;0uDQW6g1C4xcePkPlJbcW7BNGHGrs4FIUgRZjPN72rztmBOJC0oN7lZ0+H+w/PVu44ms0Qlz1MQw&#10;jb/85uPl9YcvNz++X32+/PXzU4y/fSWxAOXqHZTYtTIbHwlDWO3NADCZUAz2FS0GWYWpT7nxMZcw&#10;sjsg8QBugNs3XpNGSfcSN0qKokYkYhb503mBKx4qOsnneVFMj1P2gXAsmE2mlHDMFnkxnaVkxsqI&#10;F9d0HsILYTWJQUUheCbbLqysMegR64dZbPcKAnLExj8NsdnYc6lUsooypMcFxvM4jKH9G7Qdhtqh&#10;hGBaSphq8V7x4NP2YJWsY3fSyrfblfJkx6Ib0xM54LQ7ZXH0mkE31KXUQDUwqZ6bmoSDw78UvGSm&#10;VYLGjUBTogQOxmCAVAaRT9LGaGvrw8bHdDyho9Lso/ujZf8+p6rTjV/+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tA7SDVAAAABgEAAA8AAAAAAAAAAQAgAAAAIgAAAGRycy9kb3ducmV2LnhtbFBL&#10;AQIUABQAAAAIAIdO4kB7gjOHMgIAADkEAAAOAAAAAAAAAAEAIAAAACQBAABkcnMvZTJvRG9jLnht&#10;bFBLBQYAAAAABgAGAFkBAADIBQAAAAA=&#10;">
                        <v:fill on="f" focussize="0,0"/>
                        <v:stroke weight="0.25pt" color="#000000 [3213]" joinstyle="round" endarrow="block" endarrowwidth="narrow" endarrowlength="short"/>
                        <v:imagedata o:title=""/>
                        <o:lock v:ext="edit" aspectratio="f"/>
                      </v:shape>
                      <v:shape id="_x0000_s1026" o:spid="_x0000_s1026" o:spt="32" type="#_x0000_t32" style="position:absolute;left:2202180;top:3518535;flip:x;height:185420;width:2540;" filled="f" stroked="t" coordsize="21600,21600" o:gfxdata="UEsDBAoAAAAAAIdO4kAAAAAAAAAAAAAAAAAEAAAAZHJzL1BLAwQUAAAACACHTuJAq0DtINUAAAAG&#10;AQAADwAAAGRycy9kb3ducmV2LnhtbE2PzU7DMBCE70i8g7VI3KiTqq1KiNMDEhJCvTT8nJ14SQLx&#10;OsTbNH17Fi5wGWk1o5lv893sezXhGLtABtJFAgqpDq6jxsDL88PNFlRkS872gdDAGSPsisuL3GYu&#10;nOiAU8mNkhKKmTXQMg+Z1rFu0du4CAOSeO9h9JblHBvtRnuSct/rZZJstLcdyUJrB7xvsf4sj97A&#10;hNXr457n2/gx0xt97ctzeCqNub5KkztQjDP/heEHX9ChEKYqHMlF1RuQR/hXxdumyw2oSkLpar0C&#10;XeT6P37xDVBLAwQUAAAACACHTuJAaf4CuDMCAAA6BAAADgAAAGRycy9lMm9Eb2MueG1srVPNjtMw&#10;EL4j8Q6W7zRNumWrqOkeWhYOCCrBPoDrOIkl/8njbdqX4AWQOAEn4LR3noZdHoOxU7XsctkDOVjj&#10;zPib+T5/nl/stCJb4UFaU9F8NKZEGG5radqKXr2/fDajBAIzNVPWiIruBdCLxdMn896VorCdVbXw&#10;BEEMlL2raBeCK7MMeCc0g5F1wmCysV6zgFvfZrVnPaJrlRXj8fOst7523nIBgH9XQ5IeEP1jAG3T&#10;SC5Wll9rYcKA6oViASlBJx3QRZq2aQQPb5sGRCCqosg0pBWbYLyJa7aYs7L1zHWSH0ZgjxnhASfN&#10;pMGmR6gVC4xce/kPlJbcW7BNGHGrs4FIUgRZ5OMH2rzrmBOJC0oN7ig6/D9Y/ma79kTW6ITznBLD&#10;NF753ceb2w9f7n58//X55vfPTzH+9pXEApSrd1DiqaVZ+0gYwnJnBoAJAsh6V9FikFWY+pgr0FUp&#10;lyTP7oHEDbgBbtd4TRol3SucKCmKGpGIWYyLfIbXtq/oZJrPppPpocsuEB4LpmeY5ZjG5Fkx9GFl&#10;BIxzOg/hpbCaxKCiEDyTbReW1hg0ifVDM7Z9DQFJZqcD8bCxl1Kp5BVlSI8T5OdTbMbQ/w36DkPt&#10;UEMwLSVMtfiwePBpfLBK1vF0Esu3m6XyZMuiHdMXSWC3e2VxxBWDbqhLqYFrYFK9MDUJe4fXFLxk&#10;plWCxolAU6IENsZggFQGkU/axmhj6/3ax3TcoaVS74P9o2f/3qeq05Nf/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rQO0g1QAAAAYBAAAPAAAAAAAAAAEAIAAAACIAAABkcnMvZG93bnJldi54bWxQ&#10;SwECFAAUAAAACACHTuJAaf4CuDMCAAA6BAAADgAAAAAAAAABACAAAAAkAQAAZHJzL2Uyb0RvYy54&#10;bWxQSwUGAAAAAAYABgBZAQAAyQUAAAAA&#10;">
                        <v:fill on="f" focussize="0,0"/>
                        <v:stroke weight="0.25pt" color="#000000 [3213]" joinstyle="round" endarrow="block" endarrowwidth="narrow" endarrowlength="short"/>
                        <v:imagedata o:title=""/>
                        <o:lock v:ext="edit" aspectratio="f"/>
                      </v:shape>
                      <v:shape id="_x0000_s1026" o:spid="_x0000_s1026" o:spt="202" type="#_x0000_t202" style="position:absolute;left:2522220;top:1073150;height:404495;width:650875;"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mwEDYUQCAAB1BAAADgAAAGRycy9lMm9Eb2MueG1srVTB&#10;btQwEL0j8Q+W7zTZ7S7brpqtllZFSBWtVBBnr+M0kWyPsb1NygfAH3Diwp3v6nfwnGTbUjj0wB68&#10;Y8/TG7834xwdd0azG+VDQ7bgk72cM2UllY29LvjHD2evDjgLUdhSaLKq4Lcq8OPVyxdHrVuqKdWk&#10;S+UZSGxYtq7gdYxumWVB1sqIsEdOWSQr8kZEbP11VnrRgt3obJrnr7OWfOk8SRUCTk+HJB8Z/XMI&#10;qaoaqU5Jbo2ycWD1SosISaFuXOCr/rZVpWS8qKqgItMFh9LYryiCeJPWbHUkltdeuLqR4xXEc67w&#10;RJMRjUXRe6pTEQXb+uYvKtNIT4GquCfJZIOQ3hGomORPvLmqhVO9Flgd3L3p4f/Ryvc3l541JSZh&#10;MeXMCoOW333/dvfj193PrywdwqLWhSWQVw7Y2L2hDvDdecBhUt5V3qR/aGLIT+dT/GDzLbD5Yn8y&#10;H81WXWQSgNfz/GAx50wCMMtns8N5YsweiJwP8a0iw1JQcI9e9haLm/MQB+gOkupaOmu07vupLWtR&#10;YB8l/8iAXFvUSHKGa6codptu1Lih8hYSPQ1zEpw8a1D8XIR4KTwGA3rwdOIFlkoTitAYcVaT//Kv&#10;84RHv5DlrMWgFTx83gqvONPvLDp5OJnN0mT2m9l8kTzzjzObxxm7NSeEWZ7gkTrZhwkf9S6sPJlP&#10;eGHrVBUpYSVqFzzuwpM4jD9eqFTrdQ/CLDoRz+2Vk4l6MG29jVQ1vdPJpsGb0T1MY9+r8eWkcX+8&#10;71EPX4v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pisx3YAAAABgEAAA8AAAAAAAAAAQAgAAAA&#10;IgAAAGRycy9kb3ducmV2LnhtbFBLAQIUABQAAAAIAIdO4kCbAQNhRAIAAHUEAAAOAAAAAAAAAAEA&#10;IAAAACcBAABkcnMvZTJvRG9jLnhtbFBLBQYAAAAABgAGAFkBAADdBQAAAAA=&#10;">
                        <v:fill on="f" focussize="0,0"/>
                        <v:stroke on="f" weight="0.5pt"/>
                        <v:imagedata o:title=""/>
                        <o:lock v:ext="edit" aspectratio="f"/>
                        <v:textbox>
                          <w:txbxContent>
                            <w:p w14:paraId="512201AF">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破碎粉尘、设备噪声</w:t>
                              </w:r>
                            </w:p>
                          </w:txbxContent>
                        </v:textbox>
                      </v:shape>
                      <v:shape id="_x0000_s1026" o:spid="_x0000_s1026" o:spt="32" type="#_x0000_t32" style="position:absolute;left:2392045;top:3826510;flip:y;height:635;width:210185;" filled="f" stroked="t" coordsize="21600,21600" o:gfxdata="UEsDBAoAAAAAAIdO4kAAAAAAAAAAAAAAAAAEAAAAZHJzL1BLAwQUAAAACACHTuJAYCpVodYAAAAG&#10;AQAADwAAAGRycy9kb3ducmV2LnhtbE2PzU7DMBCE70i8g7VI3Kid0p80xOkBiZ8Dh1J4ADfeJhH2&#10;OoqdtPD0LFzgMtJqRjPfltuzd2LCIXaBNGQzBQKpDrajRsP728NNDiImQ9a4QKjhEyNsq8uL0hQ2&#10;nOgVp31qBJdQLIyGNqW+kDLWLXoTZ6FHYu8YBm8Sn0Mj7WBOXO6dnCu1kt50xAut6fG+xfpjP3oN&#10;653rX9T4ONkubJ7y9e34/LVEra+vMnUHIuE5/YXhB5/RoWKmQxjJRuE08CPpV9nLs/kKxIFD2WK5&#10;AFmV8j9+9Q1QSwMEFAAAAAgAh07iQCB3Fow1AgAAOwQAAA4AAABkcnMvZTJvRG9jLnhtbK1TzW4T&#10;MRC+I/EOlu9kf0LSsMqmh4RyQRCJn7tje3ct+U+2m01eghdA4gScCqfeeRooj8HYu21pufTAHqzx&#10;zsw333wzXp4elER77rwwusbFJMeIa2qY0G2N3709e7LAyAeiGZFG8xofucenq8ePlr2teGk6Ixl3&#10;CEC0r3pb4y4EW2WZpx1XxE+M5RqcjXGKBLi6NmOO9ICuZFbm+TzrjWPWGcq9h7+bwYlHRPcQQNM0&#10;gvKNoeeK6zCgOi5JgJZ8J6zHq8S2aTgNr5vG84BkjaHTkE4oAvYuntlqSarWEdsJOlIgD6FwrydF&#10;hIaiN1AbEgg6d+IfKCWoM940YUKNyoZGkiLQRZHf0+ZNRyxPvYDU3t6I7v8fLH213zokGGzCCQxe&#10;EwUjv/p4+evDl6vv335+vvz941O0L76iGABy9dZXkLXWWxcb9mF90ANACQCCHWo8HWTlml37ytl0&#10;9BXRl90BiRdvB7hD4xRqpLDvgVFSFDRCgFlOn5X50xlGR8BflPNZMQ6PHwKiMaDIiwX4KQTMp7NU&#10;hlQRL9K0zocX3CgUjRr74Ihou7A2WsOOGDfUIvuXPkR+twkxWZszIWVaFalRDwSKk1iJwPo3sHZg&#10;KgsSet1iRGQL74oGl9h7IwWL2Ukr1+7W0qE9iduYvpHmnbBIcUN8N8QxsDYmDJIGIuRzzVA4WphT&#10;cILoVnIcOXmFkeRQGoyhBalHpQdxo8w7w45bdz0B2KnU67j/cWn/vqfs2ze/+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KlWh1gAAAAYBAAAPAAAAAAAAAAEAIAAAACIAAABkcnMvZG93bnJldi54&#10;bWxQSwECFAAUAAAACACHTuJAIHcWjDUCAAA7BAAADgAAAAAAAAABACAAAAAlAQAAZHJzL2Uyb0Rv&#10;Yy54bWxQSwUGAAAAAAYABgBZAQAAzAUAAAAA&#10;">
                        <v:fill on="f" focussize="0,0"/>
                        <v:stroke weight="0.25pt" color="#000000 [3213]" joinstyle="round" dashstyle="dashDot" endarrow="block" endarrowwidth="narrow" endarrowlength="short"/>
                        <v:imagedata o:title=""/>
                        <o:lock v:ext="edit" aspectratio="f"/>
                      </v:shape>
                      <v:shape id="_x0000_s1026" o:spid="_x0000_s1026" o:spt="32" type="#_x0000_t32" style="position:absolute;left:4023995;top:2739390;flip:y;height:5080;width:314325;" filled="f" stroked="t" coordsize="21600,21600" o:gfxdata="UEsDBAoAAAAAAIdO4kAAAAAAAAAAAAAAAAAEAAAAZHJzL1BLAwQUAAAACACHTuJAYCpVodYAAAAG&#10;AQAADwAAAGRycy9kb3ducmV2LnhtbE2PzU7DMBCE70i8g7VI3Kid0p80xOkBiZ8Dh1J4ADfeJhH2&#10;OoqdtPD0LFzgMtJqRjPfltuzd2LCIXaBNGQzBQKpDrajRsP728NNDiImQ9a4QKjhEyNsq8uL0hQ2&#10;nOgVp31qBJdQLIyGNqW+kDLWLXoTZ6FHYu8YBm8Sn0Mj7WBOXO6dnCu1kt50xAut6fG+xfpjP3oN&#10;653rX9T4ONkubJ7y9e34/LVEra+vMnUHIuE5/YXhB5/RoWKmQxjJRuE08CPpV9nLs/kKxIFD2WK5&#10;AFmV8j9+9Q1QSwMEFAAAAAgAh07iQH2LehU4AgAAPAQAAA4AAABkcnMvZTJvRG9jLnhtbK1Ty47T&#10;MBTdI/EPlvc0adqh06jpLFqGDYJKPPau4ySW/JKvp4+f4AeQWAErYDV7vgaGz+DayTwYNrMgC+s6&#10;1/fce46PF2cHrchOeJDWVHQ8yikRhttamraib9+cPzmlBAIzNVPWiIoeBdCz5eNHi70rRWE7q2rh&#10;CYIYKPeuol0Irswy4J3QDEbWCYPJxnrNAm59m9We7RFdq6zI86fZ3vraecsFAP5d90k6IPqHANqm&#10;kVysLb/QwoQe1QvFAlKCTjqgyzRt0wgeXjUNiEBURZFpSCs2wXgb12y5YGXrmeskH0ZgDxnhHifN&#10;pMGmN1BrFhi58PIfKC25t2CbMOJWZz2RpAiyGOf3tHndMScSF5Qa3I3o8P9g+cvdxhNZoxNmc0oM&#10;03jlVx8uf73/fPX9289Pl79/fIzx1y8kHkC59g5KrFqZjY+EIawOpgeYonNkfajopJdVmPo6VxTT&#10;ITeOuewvkLgB18MdGq9Jo6R7hxMlRVEjgpjTvJjM5yeUHCtazCbzyXy4PHEIhMem4+mkwDzHAyf5&#10;acpmrIyAcU7nITwXVpMYVBSCZ7Ltwsoagyaxvm/Gdi8gxAFvC2KxsedSqeQVZcg+NpvFVgz936Dv&#10;MNQONQTTUsJUiw+LB5/GB6tkHauTWL7drpQnOxbtmL4kB8p491gccc2g68/VGK1t6DUNTKpnpibh&#10;6PCigpfMtErQOBNoSpTA1hj0FJQZpO7VjTpvbX3c+OsrQFMlrsMDiK69u0/Vt49++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gKlWh1gAAAAYBAAAPAAAAAAAAAAEAIAAAACIAAABkcnMvZG93bnJl&#10;di54bWxQSwECFAAUAAAACACHTuJAfYt6FTgCAAA8BAAADgAAAAAAAAABACAAAAAlAQAAZHJzL2Uy&#10;b0RvYy54bWxQSwUGAAAAAAYABgBZAQAAzwUAAAAA&#10;">
                        <v:fill on="f" focussize="0,0"/>
                        <v:stroke weight="0.25pt" color="#000000 [3213]" joinstyle="round" dashstyle="dashDot" endarrow="block" endarrowwidth="narrow" endarrowlength="short"/>
                        <v:imagedata o:title=""/>
                        <o:lock v:ext="edit" aspectratio="f"/>
                      </v:shape>
                      <v:shape id="_x0000_s1026" o:spid="_x0000_s1026" o:spt="32" type="#_x0000_t32" style="position:absolute;left:2411730;top:2943225;flip:y;height:4445;width:186055;" filled="f" stroked="t" coordsize="21600,21600" o:gfxdata="UEsDBAoAAAAAAIdO4kAAAAAAAAAAAAAAAAAEAAAAZHJzL1BLAwQUAAAACACHTuJAYCpVodYAAAAG&#10;AQAADwAAAGRycy9kb3ducmV2LnhtbE2PzU7DMBCE70i8g7VI3Kid0p80xOkBiZ8Dh1J4ADfeJhH2&#10;OoqdtPD0LFzgMtJqRjPfltuzd2LCIXaBNGQzBQKpDrajRsP728NNDiImQ9a4QKjhEyNsq8uL0hQ2&#10;nOgVp31qBJdQLIyGNqW+kDLWLXoTZ6FHYu8YBm8Sn0Mj7WBOXO6dnCu1kt50xAut6fG+xfpjP3oN&#10;653rX9T4ONkubJ7y9e34/LVEra+vMnUHIuE5/YXhB5/RoWKmQxjJRuE08CPpV9nLs/kKxIFD2WK5&#10;AFmV8j9+9Q1QSwMEFAAAAAgAh07iQPgfmbs5AgAAPAQAAA4AAABkcnMvZTJvRG9jLnhtbK1TS44T&#10;MRDdI3EHy3vS6U4nE6J0ZpEwbBCMxGfvuN3dlvyTy5NOLsEFkFgBK2A1e04DwzEouzMfhs0syKJV&#10;TlW9eu+5vDzda0V2woO0pqL5aEyJMNzW0rQVffvm7MmcEgjM1ExZIyp6EEBPV48fLXu3EIXtrKqF&#10;JwhiYNG7inYhuEWWAe+EZjCyThhMNtZrFvDo26z2rEd0rbJiPJ5lvfW185YLAPx3MyTpEdE/BNA2&#10;jeRiY/mFFiYMqF4oFlASdNIBXSW2TSN4eNU0IAJRFUWlIX1xCMbb+M1WS7ZoPXOd5EcK7CEU7mnS&#10;TBocegO1YYGRCy//gdKSewu2CSNudTYISY6ginx8z5vXHXMiaUGrwd2YDv8Plr/cnXsia9yEeUmJ&#10;YRqv/OrD5a/3n6++f/v56fL3j48x/vqFxAK0q3ewwK61OfdRMIT13gwAkwnFYF/RyWCrMPV1rihm&#10;x1wec9lfIPEAboDbN16TRkn3DhklR9EjgphFmecnE7y2A8ZPy0lRTI9T9oFwLMjns/F0SgnHgrIs&#10;UzZjiwgYeToP4bmwmsSgohA8k20X1tYYXBLrh2Fs9wJCJHjbEJuNPZNKpV1RhvSoMD+Joxjuf4N7&#10;h6F26CGYlhKmWnxYPPhEH6ySdexOZvl2u1ae7Fhcx/RLdqCNd8sixQ2DbqirMdrYMKgNTKpnpibh&#10;4PCigpfMtErQyAk0JUrgaAwGCcocrR7cjT5vbX0499dXgEuVtB4fQNzau+fUffvoV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YCpVodYAAAAGAQAADwAAAAAAAAABACAAAAAiAAAAZHJzL2Rvd25y&#10;ZXYueG1sUEsBAhQAFAAAAAgAh07iQPgfmbs5AgAAPAQAAA4AAAAAAAAAAQAgAAAAJQEAAGRycy9l&#10;Mm9Eb2MueG1sUEsFBgAAAAAGAAYAWQEAANAFAAAAAA==&#10;">
                        <v:fill on="f" focussize="0,0"/>
                        <v:stroke weight="0.25pt" color="#000000 [3213]" joinstyle="round" dashstyle="dashDot" endarrow="block" endarrowwidth="narrow" endarrowlength="short"/>
                        <v:imagedata o:title=""/>
                        <o:lock v:ext="edit" aspectratio="f"/>
                      </v:shape>
                      <v:shape id="_x0000_s1026" o:spid="_x0000_s1026" o:spt="32" type="#_x0000_t32" style="position:absolute;left:2498090;top:2527935;flip:y;height:3810;width:133985;" filled="f" stroked="t" coordsize="21600,21600" o:gfxdata="UEsDBAoAAAAAAIdO4kAAAAAAAAAAAAAAAAAEAAAAZHJzL1BLAwQUAAAACACHTuJAYCpVodYAAAAG&#10;AQAADwAAAGRycy9kb3ducmV2LnhtbE2PzU7DMBCE70i8g7VI3Kid0p80xOkBiZ8Dh1J4ADfeJhH2&#10;OoqdtPD0LFzgMtJqRjPfltuzd2LCIXaBNGQzBQKpDrajRsP728NNDiImQ9a4QKjhEyNsq8uL0hQ2&#10;nOgVp31qBJdQLIyGNqW+kDLWLXoTZ6FHYu8YBm8Sn0Mj7WBOXO6dnCu1kt50xAut6fG+xfpjP3oN&#10;653rX9T4ONkubJ7y9e34/LVEra+vMnUHIuE5/YXhB5/RoWKmQxjJRuE08CPpV9nLs/kKxIFD2WK5&#10;AFmV8j9+9Q1QSwMEFAAAAAgAh07iQLK7v3A5AgAAPAQAAA4AAABkcnMvZTJvRG9jLnhtbK1TS44T&#10;MRDdI3EHy3vS6e4JSVrpzCJh2CAYic/ecbu7LfknlyefS3ABJFbACljNntPAcAzK7syHYTMLsmiV&#10;U1Wv3nsuL073WpGt8CCtqWk+GlMiDLeNNF1N3745ezKjBAIzDVPWiJoeBNDT5eNHi52rRGF7qxrh&#10;CYIYqHaupn0Irsoy4L3QDEbWCYPJ1nrNAh59lzWe7RBdq6wYj59mO+sb5y0XAPjvekjSI6J/CKBt&#10;W8nF2vILLUwYUL1QLKAk6KUDukxs21bw8KptQQSiaopKQ/riEIw38ZstF6zqPHO95EcK7CEU7mnS&#10;TBocegO1ZoGRCy//gdKSewu2DSNudTYISY6ginx8z5vXPXMiaUGrwd2YDv8Plr/cnnsiG9yE2ZQS&#10;wzRe+dWHy1/vP199//bz0+XvHx9j/PULiQVo185BhV0rc+6jYAirvRkAyhOKwb6m5WCrMM11rijQ&#10;8JTLYy77CyQewA1w+9Zr0irp3iGj5Ch6RBCzOJnPxnNEOWA8KabzcnKcsg+EY0FelvPZhBKOBeUs&#10;T1ebsSoCRp7OQ3gurCYxqCkEz2TXh5U1BpfE+mEY276AEAneNsRmY8+kUmlXlCE7HJBP4yiG+9/i&#10;3mGoHXoIpqOEqQ4fFg8+0QerZBO7k1m+26yUJ1sW1zH9kh1o492ySHHNoB/qGozWNgxqA5PqmWlI&#10;ODi8qOAlM50SNHICTYkSOBqDQYIyR6sHd6PPG9sczv31FeBSJa3HBxC39u45dd8++u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YCpVodYAAAAGAQAADwAAAAAAAAABACAAAAAiAAAAZHJzL2Rvd25y&#10;ZXYueG1sUEsBAhQAFAAAAAgAh07iQLK7v3A5AgAAPAQAAA4AAAAAAAAAAQAgAAAAJQEAAGRycy9l&#10;Mm9Eb2MueG1sUEsFBgAAAAAGAAYAWQEAANAFAAAAAA==&#10;">
                        <v:fill on="f" focussize="0,0"/>
                        <v:stroke weight="0.25pt" color="#000000 [3213]" joinstyle="round" dashstyle="dashDot" endarrow="block" endarrowwidth="narrow" endarrowlength="short"/>
                        <v:imagedata o:title=""/>
                        <o:lock v:ext="edit" aspectratio="f"/>
                      </v:shape>
                      <v:shape id="_x0000_s1026" o:spid="_x0000_s1026" o:spt="32" type="#_x0000_t32" style="position:absolute;left:2394585;top:1817370;flip:y;height:4445;width:99060;" filled="f" stroked="t" coordsize="21600,21600" o:gfxdata="UEsDBAoAAAAAAIdO4kAAAAAAAAAAAAAAAAAEAAAAZHJzL1BLAwQUAAAACACHTuJAYCpVodYAAAAG&#10;AQAADwAAAGRycy9kb3ducmV2LnhtbE2PzU7DMBCE70i8g7VI3Kid0p80xOkBiZ8Dh1J4ADfeJhH2&#10;OoqdtPD0LFzgMtJqRjPfltuzd2LCIXaBNGQzBQKpDrajRsP728NNDiImQ9a4QKjhEyNsq8uL0hQ2&#10;nOgVp31qBJdQLIyGNqW+kDLWLXoTZ6FHYu8YBm8Sn0Mj7WBOXO6dnCu1kt50xAut6fG+xfpjP3oN&#10;653rX9T4ONkubJ7y9e34/LVEra+vMnUHIuE5/YXhB5/RoWKmQxjJRuE08CPpV9nLs/kKxIFD2WK5&#10;AFmV8j9+9Q1QSwMEFAAAAAgAh07iQF5NeVM3AgAAOwQAAA4AAABkcnMvZTJvRG9jLnhtbK1TzY7T&#10;MBC+I/EOlu80bdpu26jpHlqWC4JK/Nxdx0ks+U8eb9O+BC+AxAk4LZz2ztPA8hiMk3SXXS57IIdo&#10;nPF8833fTJbnB63IXniQ1uR0NBhSIgy3hTRVTt+9vXg2pwQCMwVT1oicHgXQ89XTJ8vGZSK1tVWF&#10;8ARBDGSNy2kdgsuSBHgtNIOBdcJgsrRes4BHXyWFZw2ia5Wkw+FZ0lhfOG+5AMCvmy5Je0T/GEBb&#10;lpKLjeWXWpjQoXqhWEBJUEsHdNWyLUvBw+uyBBGIyikqDe0bm2C8i+9ktWRZ5ZmrJe8psMdQeKBJ&#10;M2mw6S3UhgVGLr38B0pL7i3YMgy41UknpHUEVYyGD7x5UzMnWi1oNbhb0+H/wfJX+60nssBNmOPg&#10;DdM48puP178+fLn5/u3n5+vfPz7F+OoriRfQrsZBhlVrs/VRMIT1wXQA45RicMjpuLNVmOKUS9NT&#10;bhRzyT2QeADXwR1Kr0mppHuPjFpH0SOCmOl4MZnOp5QcI9XRbDzrhycOgXC8sFgMz3CqHPOTyWTa&#10;tmFZxIs0nYfwQlhNYpBTCJ7Jqg5rawzuiPVdL7Z/CSHyuyuIxcZeSKXaVVGGNChwNEMmnOH6l7h2&#10;GGqHFoKpKGGqwv+KB9+yB6tkEatbr3y1WytP9ixuY/v0NO9dixQ3DOruXoHRxobO0sCkem4KEo4O&#10;5xS8ZKZSgkZOoClRAltj0ElQpne6MzfavLPFcetPE8CdarX2+x+X9u9zW333z6/+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AqVaHWAAAABgEAAA8AAAAAAAAAAQAgAAAAIgAAAGRycy9kb3ducmV2&#10;LnhtbFBLAQIUABQAAAAIAIdO4kBeTXlTNwIAADsEAAAOAAAAAAAAAAEAIAAAACUBAABkcnMvZTJv&#10;RG9jLnhtbFBLBQYAAAAABgAGAFkBAADOBQAAAAA=&#10;">
                        <v:fill on="f" focussize="0,0"/>
                        <v:stroke weight="0.25pt" color="#000000 [3213]" joinstyle="round" dashstyle="dashDot" endarrow="block" endarrowwidth="narrow" endarrowlength="short"/>
                        <v:imagedata o:title=""/>
                        <o:lock v:ext="edit" aspectratio="f"/>
                      </v:shape>
                      <v:shape id="_x0000_s1026" o:spid="_x0000_s1026" o:spt="32" type="#_x0000_t32" style="position:absolute;left:4027170;top:3402965;flip:y;height:635;width:228600;" filled="f" stroked="t" coordsize="21600,21600" o:gfxdata="UEsDBAoAAAAAAIdO4kAAAAAAAAAAAAAAAAAEAAAAZHJzL1BLAwQUAAAACACHTuJAYCpVodYAAAAG&#10;AQAADwAAAGRycy9kb3ducmV2LnhtbE2PzU7DMBCE70i8g7VI3Kid0p80xOkBiZ8Dh1J4ADfeJhH2&#10;OoqdtPD0LFzgMtJqRjPfltuzd2LCIXaBNGQzBQKpDrajRsP728NNDiImQ9a4QKjhEyNsq8uL0hQ2&#10;nOgVp31qBJdQLIyGNqW+kDLWLXoTZ6FHYu8YBm8Sn0Mj7WBOXO6dnCu1kt50xAut6fG+xfpjP3oN&#10;653rX9T4ONkubJ7y9e34/LVEra+vMnUHIuE5/YXhB5/RoWKmQxjJRuE08CPpV9nLs/kKxIFD2WK5&#10;AFmV8j9+9Q1QSwMEFAAAAAgAh07iQD6UVu03AgAAOwQAAA4AAABkcnMvZTJvRG9jLnhtbK1TO27c&#10;MBDtA+QOBPustLK9uxZW62I3ThMkC+TTcylKIsAfOPR+LpELBEiVpHJSuc9pEucYGVLyJ07jIiqE&#10;oWbmzXuPo/nZXiuyFR6kNRUdj3JKhOG2lqat6Lu3589mlEBgpmbKGlHRgwB6tnj6ZL5zpShsZ1Ut&#10;PEEQA+XOVbQLwZVZBrwTmsHIOmEw2VivWcCjb7Pasx2ia5UVeT7JdtbXzlsuAPDrqk/SAdE/BtA2&#10;jeRiZfmFFib0qF4oFlASdNIBXSS2TSN4eN00IAJRFUWlIb1xCMab+M4Wc1a2nrlO8oECewyFB5o0&#10;kwaH3kKtWGDkwst/oLTk3oJtwohbnfVCkiOoYpw/8OZNx5xIWtBqcLemw/+D5a+2a09kjZswO6XE&#10;MI1Xfv3x6teHL9ffv/38fPX7x6cYX34lsQDt2jkosWtp1j4KhrDcmx7geEox2Ff0qLdVmPomVxQn&#10;Q24cc9lfIPEArofbN16TRkn3HhklR9EjgpjHeTEdT/HaDoiPh9PJyTBlHwjHgqKYTXLMcyyYHKVk&#10;xsqIF2k6D+GFsJrEoKIQPJNtF5bWGNwR6/tZbPsSQuR31xCbjT2XSqVVUYbskMB4ino4w/VvcO0w&#10;1A4tBNNSwlSL/xUPPrEHq2Qdu5NXvt0slSdbFrcxPckNdPF+WaS4YtD1dTVGKxt6sYFJ9dzUJBwc&#10;3lPwkplWCRo5gaZECRyNQS9BmcHp3txo88bWh7W/uQHcqaR12P+4tPfPqfvun1/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AqVaHWAAAABgEAAA8AAAAAAAAAAQAgAAAAIgAAAGRycy9kb3ducmV2&#10;LnhtbFBLAQIUABQAAAAIAIdO4kA+lFbtNwIAADsEAAAOAAAAAAAAAAEAIAAAACUBAABkcnMvZTJv&#10;RG9jLnhtbFBLBQYAAAAABgAGAFkBAADOBQAAAAA=&#10;">
                        <v:fill on="f" focussize="0,0"/>
                        <v:stroke weight="0.25pt" color="#000000 [3213]" joinstyle="round" dashstyle="dashDot" endarrow="block" endarrowwidth="narrow" endarrowlength="short"/>
                        <v:imagedata o:title=""/>
                        <o:lock v:ext="edit" aspectratio="f"/>
                      </v:shape>
                      <v:shape id="_x0000_s1026" o:spid="_x0000_s1026" o:spt="32" type="#_x0000_t32" style="position:absolute;left:2403475;top:1275715;flip:y;height:3175;width:118745;" filled="f" stroked="t" coordsize="21600,21600" o:gfxdata="UEsDBAoAAAAAAIdO4kAAAAAAAAAAAAAAAAAEAAAAZHJzL1BLAwQUAAAACACHTuJAYCpVodYAAAAG&#10;AQAADwAAAGRycy9kb3ducmV2LnhtbE2PzU7DMBCE70i8g7VI3Kid0p80xOkBiZ8Dh1J4ADfeJhH2&#10;OoqdtPD0LFzgMtJqRjPfltuzd2LCIXaBNGQzBQKpDrajRsP728NNDiImQ9a4QKjhEyNsq8uL0hQ2&#10;nOgVp31qBJdQLIyGNqW+kDLWLXoTZ6FHYu8YBm8Sn0Mj7WBOXO6dnCu1kt50xAut6fG+xfpjP3oN&#10;653rX9T4ONkubJ7y9e34/LVEra+vMnUHIuE5/YXhB5/RoWKmQxjJRuE08CPpV9nLs/kKxIFD2WK5&#10;AFmV8j9+9Q1QSwMEFAAAAAgAh07iQLzc23E0AgAAPAQAAA4AAABkcnMvZTJvRG9jLnhtbK1TzY7T&#10;MBC+I/EOlu80TX/oEjXdQ8tyQVCJn/vUcRJL/pPtbdqX4AWQOAGnhdPeeRpYHoNxHAq7XPZADtE4&#10;M/N9830ZL88PSpI9d14YXdJ8NKaEa2YqoZuSvnl98eiMEh9AVyCN5iU9ck/PVw8fLDtb8Ilpjay4&#10;IwiifdHZkrYh2CLLPGu5Aj8ylmtM1sYpCHh0TVY56BBdyWwyHj/OOuMq6wzj3uPXTUrSAdHdB9DU&#10;tWB8Y9il4jokVMclBJTkW2E9XfXT1jVn4WVdex6ILCkqDf0bSTDexXe2WkLROLCtYMMIcJ8R7mhS&#10;IDSSnqA2EIBcOvEPlBLMGW/qMGJGZUlI7wiqyMd3vHnVguW9FrTa25Pp/v/Bshf7rSOiwk14gp5o&#10;UPjLb95f/3j36ebrl+8fr39++xDjq88kFqBdnfUFdq311kXBPqwPOgFM5xSDQ0mnyVauq1NuMRly&#10;ecxlt0DiwdsEd6idIrUU9i1O1DuKHhHEnMzG09kCGY6YmCzmi3w+sBwCYViQ52eLGeYZFkxzrIw8&#10;UETAOKd1PjzjRpEYlNQHB6Jpw9pojUtiXCKD/XMfUuPvhtiszYWQEr9DITXpBgLCAPe/xr1DVmXR&#10;Q68bSkA2eLFYcP343khRxe7eLNfs1tKRPcR17J9hzFtlkXoDvk11FUYbE5LaAEI+1RUJR4s/KjgB&#10;upGcxpm8okRypMYgSZB6sDq5G33emeq4dTEdT7hUvUnDBYhb+/e5r/pz6V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AqVaHWAAAABgEAAA8AAAAAAAAAAQAgAAAAIgAAAGRycy9kb3ducmV2Lnht&#10;bFBLAQIUABQAAAAIAIdO4kC83NtxNAIAADwEAAAOAAAAAAAAAAEAIAAAACUBAABkcnMvZTJvRG9j&#10;LnhtbFBLBQYAAAAABgAGAFkBAADLBQAAAAA=&#10;">
                        <v:fill on="f" focussize="0,0"/>
                        <v:stroke weight="0.25pt" color="#000000 [3213]" joinstyle="round" dashstyle="dashDot" endarrow="block" endarrowwidth="narrow" endarrowlength="short"/>
                        <v:imagedata o:title=""/>
                        <o:lock v:ext="edit" aspectratio="f"/>
                      </v:shape>
                      <v:shape id="_x0000_s1026" o:spid="_x0000_s1026" o:spt="34" type="#_x0000_t34" style="position:absolute;left:1999615;top:1278255;height:542925;width:13970;rotation:11796480f;" filled="f" stroked="t" coordsize="21600,21600" o:gfxdata="UEsDBAoAAAAAAIdO4kAAAAAAAAAAAAAAAAAEAAAAZHJzL1BLAwQUAAAACACHTuJANDt6oNQAAAAG&#10;AQAADwAAAGRycy9kb3ducmV2LnhtbE2PQUvDQBCF74L/YRnBm92ktiHGbHoIeBOhtfS8zU6TaHY2&#10;ZKdp/feOXvTyYHiP974pN1c/qBmn2AcykC4SUEhNcD21BvbvLw85qMiWnB0CoYEvjLCpbm9KW7hw&#10;oS3OO26VlFAsrIGOeSy0jk2H3sZFGJHEO4XJW5ZzarWb7EXK/aCXSZJpb3uShc6OWHfYfO7O3sDr&#10;x3Z8G/Onej6t9/XjIXMcGjbm/i5NnkExXvkvDD/4gg6VMB3DmVxUgwF5hH9VvDxdZqCOEkpX6xXo&#10;qtT/8atvUEsDBBQAAAAIAIdO4kAVGp5FSAIAAGUEAAAOAAAAZHJzL2Uyb0RvYy54bWytVEuO1DAQ&#10;3SNxB8t7Op+mpztRp2fRzbBBMBJwALftJEb+yfb0Z8sBWLNigQQrroA4DTDHoOyE6ZlhMwsSySrn&#10;lV9VvSpneX5QEu2488LoBheTHCOuqWFCdw1+++biyQIjH4hmRBrNG3zkHp+vHj9a7m3NS9MbybhD&#10;QKJ9vbcN7kOwdZZ52nNF/MRYrgFsjVMkwNZ1GXNkD+xKZmWen2V745h1hnLv4etmAPHI6B5CaNpW&#10;UL4x9EpxHQZWxyUJUJLvhfV4lbJtW07Dq7b1PCDZYKg0pBWCgL2Na7ZakrpzxPaCjimQh6RwryZF&#10;hIagN1QbEgi6cuIfKiWoM960YUKNyoZCkiJQRZHf0+Z1TyxPtYDU3t6I7v8fLX25u3RIMJiEqsBI&#10;EwUtv37/8ef3z9c/Pv368OX3t68oQiDU3voa/Nf60sVSfVgf9HB0WmIwDkAyCMo1O2Gz21h2hyRu&#10;vB3oDq1TyBnoUJEv8vgkQUEiFImrqjorgOoIdjlflLPZGOoQEI0O02oOTaWAz56WVZngjNSRNmZr&#10;nQ/PuVEoGg3ewuCsjdYwIMZNUySye+FD6iEbdSDsHWjSKgkjsSMSFYu8gjcGBubRH6y/3PGwNhdC&#10;yjRWUqN9g6fFHNKmBK5KCyMKprIgt9cdRkR2cAdpcCkBb6Rg8XRS13XbtXQI4sKcDnoMce+4xdAb&#10;4vvBL0GDLoEI+UwzFI4WOhqcILqTHMeMvMJIcggMxkApNVR0aka0toYdL12E4w6mL9U83pQ43rf3&#10;yev0d1j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Q7eqDUAAAABgEAAA8AAAAAAAAAAQAgAAAA&#10;IgAAAGRycy9kb3ducmV2LnhtbFBLAQIUABQAAAAIAIdO4kAVGp5FSAIAAGUEAAAOAAAAAAAAAAEA&#10;IAAAACMBAABkcnMvZTJvRG9jLnhtbFBLBQYAAAAABgAGAFkBAADdBQAAAAA=&#10;" adj="390763">
                        <v:fill on="f" focussize="0,0"/>
                        <v:stroke weight="0.25pt" color="#000000 [3213]" joinstyle="round" endarrow="block" endarrowwidth="narrow" endarrowlength="short"/>
                        <v:imagedata o:title=""/>
                        <o:lock v:ext="edit" aspectratio="f"/>
                      </v:shape>
                      <v:shape id="_x0000_s1026" o:spid="_x0000_s1026" o:spt="202" type="#_x0000_t202" style="position:absolute;left:1223645;top:1370330;height:379730;width:637540;"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GeVstEUCAAB1BAAADgAAAGRycy9lMm9Eb2MueG1srVRL&#10;btswEN0X6B0I7mv5G9dG5MBNkKJA0ARwi65piooE8FeStpQeoL1BVt1033PlHH2kZCdIu8iiG2rI&#10;eXwz82ao07NWSbIXztdG53Q0GFIiNDdFrW9z+vnT5Zu3lPjAdMGk0SKnd8LTs9XrV6eNXYqxqYws&#10;hCMg0X7Z2JxWIdhllnleCcX8wFih4SyNUyxg626zwrEG7Epm4+HwJGuMK6wzXHiP04vOSXtG9xJC&#10;U5Y1FxeG75TQoWN1QrKAknxVW09XKduyFDxcl6UXgcicotKQVgSBvY1rtjply1vHbFXzPgX2khSe&#10;1aRYrRH0SHXBAiM7V/9FpWrujDdlGHCjsq6QpAiqGA2fabOpmBWpFkjt7VF0//9o+cf9jSN1gUlY&#10;zCjRTKHlD/c/Hn7+fvj1ncRDSNRYvwRyY4EN7TvTAn449ziMlbelU/GLmkj0j8eTkyko72BP5sPJ&#10;pBdbtIFwAE4m89kUbeAATOaLeefPHoms8+G9MIpEI6cOvUwSs/2VD0gK0AMkxtXmspYy9VNq0sQA&#10;s2G6cPTghtS4GMvp0o5WaLdtX+PWFHco0ZluTrzllzWCXzEfbpjDYCBfPJ1wjaWUBkFMb1FSGfft&#10;X+cRj37BS0mDQcup/7pjTlAiP2h0cjGaRhlC2kxn8zE27qln+9Sjd+rcYJZHeKSWJzPigzyYpTPq&#10;C17YOkaFi2mO2DkNB/M8dOOPF8rFep1AmEXLwpXeWB6pOznXu2DKOikdZeq06dXDNKYG9C8njvvT&#10;fUI9/i1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qYrMd2AAAAAYBAAAPAAAAAAAAAAEAIAAA&#10;ACIAAABkcnMvZG93bnJldi54bWxQSwECFAAUAAAACACHTuJAGeVstEUCAAB1BAAADgAAAAAAAAAB&#10;ACAAAAAnAQAAZHJzL2Uyb0RvYy54bWxQSwUGAAAAAAYABgBZAQAA3gUAAAAA&#10;">
                        <v:fill on="f" focussize="0,0"/>
                        <v:stroke on="f" weight="0.5pt"/>
                        <v:imagedata o:title=""/>
                        <o:lock v:ext="edit" aspectratio="f"/>
                        <v:textbox>
                          <w:txbxContent>
                            <w:p w14:paraId="62C45E55">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不合格料＞25mm</w:t>
                              </w:r>
                            </w:p>
                          </w:txbxContent>
                        </v:textbox>
                      </v:shape>
                      <v:shape id="_x0000_s1026" o:spid="_x0000_s1026" o:spt="202" type="#_x0000_t202" style="position:absolute;left:1369060;top:1970405;height:392430;width:908685;"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NW+ugkgCAAB1BAAADgAAAGRycy9lMm9Eb2MueG1srVTN&#10;jtowEL5X6jtYvpeE3wVEWNFFVJVW3ZVo1bNxHBLJ9ri2IaEP0L5BT7303ufiOTp2gEXbHvbQSxh7&#10;Pn/j75sxs9tGSbIX1lWgM9rtpJQIzSGv9Dajnz6u3owpcZ7pnEnQIqMH4ejt/PWrWW2mogclyFxY&#10;giTaTWuT0dJ7M00Sx0uhmOuAERqTBVjFPC7tNsktq5FdyaSXpqOkBpsbC1w4h7vLNklPjPYlhFAU&#10;FRdL4DsltG9ZrZDMoyRXVsbRebxtUQjuH4rCCU9kRlGpj18sgvEmfJP5jE23lpmy4qcrsJdc4Zkm&#10;xSqNRS9US+YZ2dnqLypVcQsOCt/hoJJWSHQEVXTTZ96sS2ZE1IJWO3Mx3f0/Wv5h/2hJleMkTLDx&#10;mils+fHH9+PP38df30jYRItq46aIXBvE+uYtNAg/7zvcDMqbwqrwi5pIyPdHk3SENh8C9U06SIet&#10;2aLxhCNgko5H4yElHAH9SW/Qj81InoiMdf6dAEVCkFGLvYwWs/2983gphJ4hoa6GVSVl7KfUpM7o&#10;qD9M44FLBk9IjQeDnPbaIfLNpjlp3EB+QIkW2jlxhq8qLH7PnH9kFgcD9eDT8Q/4KSRgEThFlJRg&#10;v/5rP+CxX5ilpMZBy6j7smNWUCLfa+zkpDsYhMmMi8HwpocLe53ZXGf0Tt0BznIXH6nhMQx4L89h&#10;YUF9xhe2CFUxxTTH2hn15/DOt+OPL5SLxSKCcBYN8/d6bXigbu1c7DwUVXQ62NR6c3IPpzE24PRy&#10;wrhfryPq6d9i/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qYrMd2AAAAAYBAAAPAAAAAAAAAAEA&#10;IAAAACIAAABkcnMvZG93bnJldi54bWxQSwECFAAUAAAACACHTuJANW+ugkgCAAB1BAAADgAAAAAA&#10;AAABACAAAAAnAQAAZHJzL2Uyb0RvYy54bWxQSwUGAAAAAAYABgBZAQAA4QUAAAAA&#10;">
                        <v:fill on="f" focussize="0,0"/>
                        <v:stroke on="f" weight="0.5pt"/>
                        <v:imagedata o:title=""/>
                        <o:lock v:ext="edit" aspectratio="f"/>
                        <v:textbox>
                          <w:txbxContent>
                            <w:p w14:paraId="648FE769">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合格料0-13mm,13-25mm</w:t>
                              </w:r>
                            </w:p>
                          </w:txbxContent>
                        </v:textbox>
                      </v:shape>
                      <v:shape id="_x0000_s1026" o:spid="_x0000_s1026" o:spt="32" type="#_x0000_t32" style="position:absolute;left:3839845;top:1943735;flip:x;height:196215;width:4445;" filled="f" stroked="t" coordsize="21600,21600" o:gfxdata="UEsDBAoAAAAAAIdO4kAAAAAAAAAAAAAAAAAEAAAAZHJzL1BLAwQUAAAACACHTuJAq0DtINUAAAAG&#10;AQAADwAAAGRycy9kb3ducmV2LnhtbE2PzU7DMBCE70i8g7VI3KiTqq1KiNMDEhJCvTT8nJ14SQLx&#10;OsTbNH17Fi5wGWk1o5lv893sezXhGLtABtJFAgqpDq6jxsDL88PNFlRkS872gdDAGSPsisuL3GYu&#10;nOiAU8mNkhKKmTXQMg+Z1rFu0du4CAOSeO9h9JblHBvtRnuSct/rZZJstLcdyUJrB7xvsf4sj97A&#10;hNXr457n2/gx0xt97ctzeCqNub5KkztQjDP/heEHX9ChEKYqHMlF1RuQR/hXxdumyw2oSkLpar0C&#10;XeT6P37xDVBLAwQUAAAACACHTuJAuw2QjDQCAAA6BAAADgAAAGRycy9lMm9Eb2MueG1srVPNjtMw&#10;EL4j8Q6W7zRNf3bbqOkeWhYOCCoBD+A6TmLJf/J4m/YleAEkTsAJOO2dp4HlMRg7pcsulz2QQzTO&#10;N/PNfF/Gi4u9VmQnPEhrSpoPhpQIw20lTVPSt28un8wogcBMxZQ1oqQHAfRi+fjRonOFGNnWqkp4&#10;giQGis6VtA3BFVkGvBWawcA6YRCsrdcs4NE3WeVZh+xaZaPh8CzrrK+ct1wA4Nd1D9Ijo38Ioa1r&#10;ycXa8istTOhZvVAsoCRopQO6TNPWteDhVV2DCESVFJWG9MYmGG/jO1suWNF45lrJjyOwh4xwT5Nm&#10;0mDTE9WaBUauvPyHSkvuLdg6DLjVWS8kOYIq8uE9b163zImkBa0GdzId/h8tf7nbeCKrko6GY0oM&#10;0/jLb95f/3z36ebb1x8fr399/xDjL59JTEC7OgcFVq3MxkfBEFZ7kwjyKZoqqz1S9bYKU52wyfyI&#10;JcuzOyTxAK6n29dek1pJ9xx3MzmKHhHkHM/G89lkSskBgflkfD6eHrvsA+GYMJlElCf4bJQnNGNF&#10;JIxzOg/hmbCaxKCkEDyTTRtW1hhcEuv7Zmz3AgKKxMI/BbHY2EupVNoVZUiH0+TnsRnD/a9x7zDU&#10;Dj0E01DCVIMXiwefxgerZBWrk1m+2a6UJzsW1zE9UQR2u5MWW68ZtH1egnqtgUn11FQkHBz+puAl&#10;M40SNE4EmhIlsDEGPaUyyHzrbYy2tjpsfITjCVcq9T6uf9zZv88p6/bKL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0DtINUAAAAGAQAADwAAAAAAAAABACAAAAAiAAAAZHJzL2Rvd25yZXYueG1s&#10;UEsBAhQAFAAAAAgAh07iQLsNkIw0AgAAOgQAAA4AAAAAAAAAAQAgAAAAJAEAAGRycy9lMm9Eb2Mu&#10;eG1sUEsFBgAAAAAGAAYAWQEAAMoFAAAAAA==&#10;">
                        <v:fill on="f" focussize="0,0"/>
                        <v:stroke weight="0.25pt" color="#000000 [3213]" joinstyle="round" endarrow="block" endarrowwidth="narrow" endarrowlength="short"/>
                        <v:imagedata o:title=""/>
                        <o:lock v:ext="edit" aspectratio="f"/>
                      </v:shape>
                      <v:shape id="_x0000_s1026" o:spid="_x0000_s1026" o:spt="32" type="#_x0000_t32" style="position:absolute;left:3830955;top:3967480;flip:x;height:619125;width:4445;" filled="f" stroked="t" coordsize="21600,21600" o:gfxdata="UEsDBAoAAAAAAIdO4kAAAAAAAAAAAAAAAAAEAAAAZHJzL1BLAwQUAAAACACHTuJAq0DtINUAAAAG&#10;AQAADwAAAGRycy9kb3ducmV2LnhtbE2PzU7DMBCE70i8g7VI3KiTqq1KiNMDEhJCvTT8nJ14SQLx&#10;OsTbNH17Fi5wGWk1o5lv893sezXhGLtABtJFAgqpDq6jxsDL88PNFlRkS872gdDAGSPsisuL3GYu&#10;nOiAU8mNkhKKmTXQMg+Z1rFu0du4CAOSeO9h9JblHBvtRnuSct/rZZJstLcdyUJrB7xvsf4sj97A&#10;hNXr457n2/gx0xt97ctzeCqNub5KkztQjDP/heEHX9ChEKYqHMlF1RuQR/hXxdumyw2oSkLpar0C&#10;XeT6P37xDVBLAwQUAAAACACHTuJANpRcSjUCAAA6BAAADgAAAGRycy9lMm9Eb2MueG1srVPNjtMw&#10;EL4j8Q6W7zRNm+22UdM9tCwcEFQCHsB1nMSS/+Tx9ucleAEkTsAJOO2dp4HlMRg7Zcsulz2QQzTO&#10;zHzzzecv84u9VmQrPEhrKpoPhpQIw20tTVvRt28un0wpgcBMzZQ1oqIHAfRi8fjRfOdKMbKdVbXw&#10;BEEMlDtX0S4EV2YZ8E5oBgPrhMFkY71mAY++zWrPdoiuVTYaDifZzvraecsFAH5d9Ul6RPQPAbRN&#10;I7lYWX6lhQk9qheKBVwJOumALhLbphE8vGoaEIGoiuKmIb1xCMab+M4Wc1a2nrlO8iMF9hAK93bS&#10;TBocegu1YoGRKy//gdKSewu2CQNuddYvkhTBLfLhPW1ed8yJtAtKDe5WdPh/sPzldu2JrCs6Gp5R&#10;YpjGK795f/3z3aebb19/fLz+9f1DjL98JrEA5do5KLFradY+LgxhuTcJIC8KisEeoXpZhalPufEx&#10;lyTP7oDEA7gebt94TRol3XP0ZlIUNSKIOZ6Oh7MzpHjAeDY5L6bHyxP7QDgWFEWBWY7pST7LR4lr&#10;xsoIGHk6D+GZsJrEoKIQPJNtF5bWGDSJ9f0wtn0BAZfExj8NsdnYS6lU8ooyZIcM8vM4jKH/G/Qd&#10;htqhhmBaSphq8cfiwSf6YJWsY3cSy7ebpfJky6Id0xOlwml3yuLoFYOur0upXtHApHpqahIODq8p&#10;eMlMqwSNjEBTogQOxqCHVAaRT9rGaGPrw9rHdDyhpdLso/2jZ/8+p6rTL7/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tA7SDVAAAABgEAAA8AAAAAAAAAAQAgAAAAIgAAAGRycy9kb3ducmV2Lnht&#10;bFBLAQIUABQAAAAIAIdO4kA2lFxKNQIAADoEAAAOAAAAAAAAAAEAIAAAACQBAABkcnMvZTJvRG9j&#10;LnhtbFBLBQYAAAAABgAGAFkBAADLBQAAAAA=&#10;">
                        <v:fill on="f" focussize="0,0"/>
                        <v:stroke weight="0.25pt" color="#000000 [3213]" joinstyle="round" endarrow="block" endarrowwidth="narrow" endarrowlength="short"/>
                        <v:imagedata o:title=""/>
                        <o:lock v:ext="edit" aspectratio="f"/>
                      </v:shape>
                      <v:shape id="_x0000_s1026" o:spid="_x0000_s1026" o:spt="32" type="#_x0000_t32" style="position:absolute;left:3835400;top:3526155;flip:x;height:195580;width:1905;" filled="f" stroked="t" coordsize="21600,21600" o:gfxdata="UEsDBAoAAAAAAIdO4kAAAAAAAAAAAAAAAAAEAAAAZHJzL1BLAwQUAAAACACHTuJAq0DtINUAAAAG&#10;AQAADwAAAGRycy9kb3ducmV2LnhtbE2PzU7DMBCE70i8g7VI3KiTqq1KiNMDEhJCvTT8nJ14SQLx&#10;OsTbNH17Fi5wGWk1o5lv893sezXhGLtABtJFAgqpDq6jxsDL88PNFlRkS872gdDAGSPsisuL3GYu&#10;nOiAU8mNkhKKmTXQMg+Z1rFu0du4CAOSeO9h9JblHBvtRnuSct/rZZJstLcdyUJrB7xvsf4sj97A&#10;hNXr457n2/gx0xt97ctzeCqNub5KkztQjDP/heEHX9ChEKYqHMlF1RuQR/hXxdumyw2oSkLpar0C&#10;XeT6P37xDVBLAwQUAAAACACHTuJAL2e0ojQCAAA6BAAADgAAAGRycy9lMm9Eb2MueG1srVPNbtQw&#10;EL4j8Q6W72yS7Wa7jTbbwy6FA4JKwAN4HSex5D953P15CV4AiRNwKpx652mgPAZjZ9Wl5dIDOVjj&#10;zPib+T5/np/vtCIb4UFaU9NilFMiDLeNNF1N37+7eDajBAIzDVPWiJruBdDzxdMn862rxNj2VjXC&#10;EwQxUG1dTfsQXJVlwHuhGYysEwaTrfWaBdz6Lms82yK6Vtk4z6fZ1vrGecsFAP5dDUl6QPSPAbRt&#10;K7lYWX6lhQkDqheKBaQEvXRAF2nathU8vGlbEIGomiLTkFZsgvE6rtlizqrOM9dLfhiBPWaEB5w0&#10;kwab3kGtWGDkyst/oLTk3oJtw4hbnQ1EkiLIosgfaPO2Z04kLig1uDvR4f/B8tebS09kU9NxPqXE&#10;MI1Xfvvx5teHL7ffv/38fPP7x6cYX38lsQDl2jqo8NTSXPpIGMJyZxJAMTmlGOwQapBVmOaYmxxy&#10;SfLsHkjcgBvgdq3XpFXSvURvJkVRI4KYJ7OTcpLjte0xLsfToiwPXXaBcCwozvKSEo7p4qwsZ0Mf&#10;VkXAOKfzEF4Iq0kMagrBM9n1YWmNQZNYPzRjm1cQkGR2PBAPG3shlUpeUYZscYLiNDZj6P8WfYeh&#10;dqghmI4Spjp8WDz4ND5YJZt4Oonlu/VSebJh0Y7piySw272yOOKKQT/UpdTANTCpnpuGhL3Dawpe&#10;MtMpQeNEoClRAhtjMEAqg8hHbWO0ts3+0sd03KGlUu+D/aNn/96nquOTX/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0DtINUAAAAGAQAADwAAAAAAAAABACAAAAAiAAAAZHJzL2Rvd25yZXYueG1s&#10;UEsBAhQAFAAAAAgAh07iQC9ntKI0AgAAOgQAAA4AAAAAAAAAAQAgAAAAJAEAAGRycy9lMm9Eb2Mu&#10;eG1sUEsFBgAAAAAGAAYAWQEAAMoFAAAAAA==&#10;">
                        <v:fill on="f" focussize="0,0"/>
                        <v:stroke weight="0.25pt" color="#000000 [3213]" joinstyle="round" endarrow="block" endarrowwidth="narrow" endarrowlength="short"/>
                        <v:imagedata o:title=""/>
                        <o:lock v:ext="edit" aspectratio="f"/>
                      </v:shape>
                      <v:shape id="_x0000_s1026" o:spid="_x0000_s1026" o:spt="32" type="#_x0000_t32" style="position:absolute;left:3842385;top:1489075;height:208915;width:1905;" filled="f" stroked="t" coordsize="21600,21600" o:gfxdata="UEsDBAoAAAAAAIdO4kAAAAAAAAAAAAAAAAAEAAAAZHJzL1BLAwQUAAAACACHTuJAEJ9ds9cAAAAG&#10;AQAADwAAAGRycy9kb3ducmV2LnhtbE2PQUvDQBCF74L/YRnBi9hN0lpLzKagIhQKBWt73+6OyWJ2&#10;NmS3afvvHb3o5cHwHu99Uy3PvhMjDtEFUpBPMhBIJlhHjYLdx9v9AkRMmqzuAqGCC0ZY1tdXlS5t&#10;ONE7jtvUCC6hWGoFbUp9KWU0LXodJ6FHYu8zDF4nPodG2kGfuNx3ssiyufTaES+0useXFs3X9ugV&#10;mLuNeYzFatyv/OvFTeV66p7XSt3e5NkTiITn9BeGH3xGh5qZDuFINopOAT+SfpW9RV7MQRw4lM8e&#10;ZiDrSv7Hr78BUEsDBBQAAAAIAIdO4kA4c/PBLgIAADAEAAAOAAAAZHJzL2Uyb0RvYy54bWytk89y&#10;0zAQxu/M8A4a3YnttIHEE6eHhHJhIDPQB1Bk2daM/o1WjZOX4AWY4QScgFPvPA0tj8FKThtaLj3g&#10;g2fllX6736f1/GynFdkKD9KaihajnBJhuK2laSt68f782ZQSCMzUTFkjKroXQM8WT5/Me1eKse2s&#10;qoUnCDFQ9q6iXQiuzDLgndAMRtYJg8nGes0CLn2b1Z71SNcqG+f586y3vnbecgGAX1dDkh6I/jFA&#10;2zSSi5Xll1qYMFC9UCygJOikA7pI3TaN4OFt04AIRFUUlYb0xiIYb+I7W8xZ2XrmOskPLbDHtPBA&#10;k2bSYNE71IoFRi69/AelJfcWbBNG3OpsEJIcQRVF/sCbdx1zImlBq8HdmQ7/D8vfbNeeyLqi4xwv&#10;3jCNV37z8er6w5ebH99/fb76/fNTjL99JXED2tU7KPHU0qx9FAxhuTMJUEwKisEOUYOtwtTHHBqe&#10;csny7B4kLsANuF3jdcSiMwRJJ9PT8cl0QskeR/V0OstfTA7sXSAcNxSzHLMc09jerEjZjJW3GOch&#10;vBJWkxhUFIJnsu3C0hqDo2F9kS6NbV9DQGl48PZA7MHYc6lUmhBlSI/dFFiecIZT3+C0YagdOgem&#10;pYSpFn8nHnwiglWyjqeTRb7dLJUnWxaHMD1RBFa7ty2WXjHohn0pNWgNTKqXpiZh7/BygpfMtErQ&#10;2BFoSpTAwhgMSGWQfHQ0Rhtb79c+puMKBynVPgx9nNS/12nX8Udf/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Qn12z1wAAAAYBAAAPAAAAAAAAAAEAIAAAACIAAABkcnMvZG93bnJldi54bWxQSwEC&#10;FAAUAAAACACHTuJAOHPzwS4CAAAwBAAADgAAAAAAAAABACAAAAAmAQAAZHJzL2Uyb0RvYy54bWxQ&#10;SwUGAAAAAAYABgBZAQAAxgUAAAAA&#10;">
                        <v:fill on="f" focussize="0,0"/>
                        <v:stroke weight="0.25pt" color="#000000 [3213]" joinstyle="round" endarrow="block" endarrowwidth="narrow" endarrowlength="short"/>
                        <v:imagedata o:title=""/>
                        <o:lock v:ext="edit" aspectratio="f"/>
                      </v:shape>
                      <v:shape id="_x0000_s1026" o:spid="_x0000_s1026" o:spt="32" type="#_x0000_t32" style="position:absolute;left:3834130;top:2385695;flip:x;height:235585;width:5715;" filled="f" stroked="t" coordsize="21600,21600" o:gfxdata="UEsDBAoAAAAAAIdO4kAAAAAAAAAAAAAAAAAEAAAAZHJzL1BLAwQUAAAACACHTuJAq0DtINUAAAAG&#10;AQAADwAAAGRycy9kb3ducmV2LnhtbE2PzU7DMBCE70i8g7VI3KiTqq1KiNMDEhJCvTT8nJ14SQLx&#10;OsTbNH17Fi5wGWk1o5lv893sezXhGLtABtJFAgqpDq6jxsDL88PNFlRkS872gdDAGSPsisuL3GYu&#10;nOiAU8mNkhKKmTXQMg+Z1rFu0du4CAOSeO9h9JblHBvtRnuSct/rZZJstLcdyUJrB7xvsf4sj97A&#10;hNXr457n2/gx0xt97ctzeCqNub5KkztQjDP/heEHX9ChEKYqHMlF1RuQR/hXxdumyw2oSkLpar0C&#10;XeT6P37xDVBLAwQUAAAACACHTuJAko9KmzUCAAA6BAAADgAAAGRycy9lMm9Eb2MueG1srVPNjtMw&#10;EL4j8Q6W7zRNu9ntRk330LJwQFAJeADXcRJL/pPH27QvwQsgcQJOwGnvPA0sj8HYKVt2ueyBHKJx&#10;Zuab+T5/mV/stCJb4UFaU9F8NKZEGG5radqKvn1z+WRGCQRmaqasERXdC6AXi8eP5r0rxcR2VtXC&#10;EwQxUPauol0Irswy4J3QDEbWCYPJxnrNAh59m9We9YiuVTYZj0+z3vraecsFAH5dDUl6QPQPAbRN&#10;I7lYWX6lhQkDqheKBaQEnXRAF2nbphE8vGoaEIGoiiLTkN44BONNfGeLOStbz1wn+WEF9pAV7nHS&#10;TBocegu1YoGRKy//gdKSewu2CSNudTYQSYogi3x8T5vXHXMicUGpwd2KDv8Plr/crj2RdUUn43NK&#10;DNN45Tfvr3+++3Tz7euPj9e/vn+I8ZfPJBagXL2DEruWZu0jYQjLnUkA+QkCyHqHUIOswtTHHLoq&#10;5ZLk2R2QeAA3wO0ar0mjpHuO3kyKokYEMaez6Uk+xWvbI/50VpyeF4cpu0A4FhRneUEJT+mimKVs&#10;xsoIGPd0HsIzYTWJQUUheCbbLiytMWgS64dhbPsCApLExj8NsdnYS6lU8ooypMdt8rM4jKH/G/Qd&#10;htqhhmBaSphq8cfiwaf1wSpZx+4klm83S+XJlkU7pieSwGl3yuLoFYNuqEupgWtgUj01NQl7h9cU&#10;vGSmVYLGjUBTogQOxmCAVAaRj9rGaGPr/drHdDyhpdLsg/2jZ/8+p6rjL7/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tA7SDVAAAABgEAAA8AAAAAAAAAAQAgAAAAIgAAAGRycy9kb3ducmV2Lnht&#10;bFBLAQIUABQAAAAIAIdO4kCSj0qbNQIAADoEAAAOAAAAAAAAAAEAIAAAACQBAABkcnMvZTJvRG9j&#10;LnhtbFBLBQYAAAAABgAGAFkBAADLBQAAAAA=&#10;">
                        <v:fill on="f" focussize="0,0"/>
                        <v:stroke weight="0.25pt" color="#000000 [3213]" joinstyle="round" endarrow="block" endarrowwidth="narrow" endarrowlength="short"/>
                        <v:imagedata o:title=""/>
                        <o:lock v:ext="edit" aspectratio="f"/>
                      </v:shape>
                      <v:shape id="_x0000_s1026" o:spid="_x0000_s1026" o:spt="32" type="#_x0000_t32" style="position:absolute;left:3834130;top:2867025;height:413385;width:3175;" filled="f" stroked="t" coordsize="21600,21600" o:gfxdata="UEsDBAoAAAAAAIdO4kAAAAAAAAAAAAAAAAAEAAAAZHJzL1BLAwQUAAAACACHTuJAEJ9ds9cAAAAG&#10;AQAADwAAAGRycy9kb3ducmV2LnhtbE2PQUvDQBCF74L/YRnBi9hN0lpLzKagIhQKBWt73+6OyWJ2&#10;NmS3afvvHb3o5cHwHu99Uy3PvhMjDtEFUpBPMhBIJlhHjYLdx9v9AkRMmqzuAqGCC0ZY1tdXlS5t&#10;ONE7jtvUCC6hWGoFbUp9KWU0LXodJ6FHYu8zDF4nPodG2kGfuNx3ssiyufTaES+0useXFs3X9ugV&#10;mLuNeYzFatyv/OvFTeV66p7XSt3e5NkTiITn9BeGH3xGh5qZDuFINopOAT+SfpW9RV7MQRw4lM8e&#10;ZiDrSv7Hr78BUEsDBBQAAAAIAIdO4kAlRE7fKQIAADAEAAAOAAAAZHJzL2Uyb0RvYy54bWytk8+O&#10;0zAQxu9IvIPlO03S7m6rqOkeWpYLgkrAA7iOk1jyP3m8TfsSvAASJ+AEnPbO08DyGIydbssulz2Q&#10;Q2Rnxr+Z7/NkfrnTimyFB2lNRYtRTokw3NbStBV99/bq2YwSCMzUTFkjKroXQC8XT5/Me1eKse2s&#10;qoUnCDFQ9q6iXQiuzDLgndAMRtYJg8HGes0Cbn2b1Z71SNcqG+f5RdZbXztvuQDAr6shSA9E/xig&#10;bRrJxcryay1MGKheKBZQEnTSAV2kbptG8PC6aUAEoiqKSkN6YxFcb+I7W8xZ2XrmOskPLbDHtPBA&#10;k2bSYNEjasUCI9de/oPSknsLtgkjbnU2CEmOoIoif+DNm445kbSg1eCOpsP/w/JX27Unsq7ouEBP&#10;DNN45bcfbn69/3z7/dvPTze/f3yM669fSExAu3oHJZ5amrWPgiEsdyYBijOcHFnvEDXYKkx9ik0P&#10;scTI7kHiBtyA2zVeRyw6Q5A0mU3Oigk2tkfq7GKaj88P7F0gPCYU03NKOIYxbzJL0YyVdxjnIbwQ&#10;VpO4qCgEz2TbhaU1BkfD+iJdGtu+hIDS8ODdgdiDsVdSqTQhypD+WIzh1Dc4bVhXO3QOTEsJUy3+&#10;Tjz4RASrZB1PJ4t8u1kqT7YsDmF6ogisdi8tll4x6Ia8FBq0BibVc1OTsHd4OcFLZlolaOwINCVK&#10;YGFcDEhlkHxyNK42tt6vfQzHHQ5Sqn0Y+jipf+9T1ulHX/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J9ds9cAAAAGAQAADwAAAAAAAAABACAAAAAiAAAAZHJzL2Rvd25yZXYueG1sUEsBAhQAFAAA&#10;AAgAh07iQCVETt8pAgAAMAQAAA4AAAAAAAAAAQAgAAAAJgEAAGRycy9lMm9Eb2MueG1sUEsFBgAA&#10;AAAGAAYAWQEAAMEFAAAAAA==&#10;">
                        <v:fill on="f" focussize="0,0"/>
                        <v:stroke weight="0.25pt" color="#000000 [3213]" joinstyle="round" endarrow="block" endarrowwidth="narrow" endarrowlength="short"/>
                        <v:imagedata o:title=""/>
                        <o:lock v:ext="edit" aspectratio="f"/>
                      </v:shape>
                      <v:shape id="_x0000_s1026" o:spid="_x0000_s1026" o:spt="32" type="#_x0000_t32" style="position:absolute;left:4681855;top:3063240;flip:x;height:5080;width:199390;" filled="f" stroked="t" coordsize="21600,21600" o:gfxdata="UEsDBAoAAAAAAIdO4kAAAAAAAAAAAAAAAAAEAAAAZHJzL1BLAwQUAAAACACHTuJAq0DtINUAAAAG&#10;AQAADwAAAGRycy9kb3ducmV2LnhtbE2PzU7DMBCE70i8g7VI3KiTqq1KiNMDEhJCvTT8nJ14SQLx&#10;OsTbNH17Fi5wGWk1o5lv893sezXhGLtABtJFAgqpDq6jxsDL88PNFlRkS872gdDAGSPsisuL3GYu&#10;nOiAU8mNkhKKmTXQMg+Z1rFu0du4CAOSeO9h9JblHBvtRnuSct/rZZJstLcdyUJrB7xvsf4sj97A&#10;hNXr457n2/gx0xt97ctzeCqNub5KkztQjDP/heEHX9ChEKYqHMlF1RuQR/hXxdumyw2oSkLpar0C&#10;XeT6P37xDVBLAwQUAAAACACHTuJAuDUDDjYCAAA6BAAADgAAAGRycy9lMm9Eb2MueG1srVNLjtNA&#10;EN0jcYdW74nj/EiiOLNIGFggiAQcoNNu2y31T109cXIJLoDEClgBq9lzGhiOQXXb82HYzAIvrGpX&#10;16tXr55XZ0etyEF4kNYUNB8MKRGG21KauqDv3p4/mVMCgZmSKWtEQU8C6Nn68aNV65ZiZBurSuEJ&#10;ghhYtq6gTQhumWXAG6EZDKwTBpOV9ZoFPPo6Kz1rEV2rbDQczrLW+tJ5ywUAft12Sdoj+ocA2qqS&#10;XGwtv9DChA7VC8UCjgSNdEDXiW1VCR5eVxWIQFRBcdKQ3tgE4318Z+sVW9aeuUbyngJ7CIV7M2km&#10;DTa9gdqywMiFl/9Aacm9BVuFAbc66wZJiuAU+fCeNm8a5kSaBaUGdyM6/D9Y/uqw80SWBR3lOSWG&#10;aVz51YfLX+8/X33/9vPT5e8fH2P89QuJF1Cu1sESqzZm5+PAEDZH0wPMKAZHNFUnqzDldS6fIHjK&#10;jWMu+wskHsB1cMfKa1Ip6V5EmNgANSKIOZnN8/l0SsmpoOPhbDya9MsTx0B4bLpYjBe4Vo4XpsN5&#10;ymZsGQEjjPMQngurSQwKCsEzWTdhY41Bk1jfNWOHlxAiwduCWGzsuVQqeUUZ0iKD/ClS4Qz9X6Hv&#10;MNQONQRTU8JUjT8WDz7RB6tkGauTWL7eb5QnBxbtmJ4kB8p491qkuGXQdPdSqlM0MKmemZKEk8M1&#10;BS+ZqZWgkRFoSpTAxhh0AyjTC91pG1Xe2/K089cLQEulSXv7R8/ePafq219+/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rQO0g1QAAAAYBAAAPAAAAAAAAAAEAIAAAACIAAABkcnMvZG93bnJldi54&#10;bWxQSwECFAAUAAAACACHTuJAuDUDDjYCAAA6BAAADgAAAAAAAAABACAAAAAkAQAAZHJzL2Uyb0Rv&#10;Yy54bWxQSwUGAAAAAAYABgBZAQAAzAUAAAAA&#10;">
                        <v:fill on="f" focussize="0,0"/>
                        <v:stroke weight="0.25pt" color="#000000 [3213]" joinstyle="round" endarrow="block" endarrowwidth="narrow" endarrowlength="short"/>
                        <v:imagedata o:title=""/>
                        <o:lock v:ext="edit" aspectratio="f"/>
                      </v:shape>
                      <v:shape id="_x0000_s1026" o:spid="_x0000_s1026" o:spt="32" type="#_x0000_t32" style="position:absolute;left:3842385;top:1087120;flip:x;height:156210;width:2540;" filled="f" stroked="t" coordsize="21600,21600" o:gfxdata="UEsDBAoAAAAAAIdO4kAAAAAAAAAAAAAAAAAEAAAAZHJzL1BLAwQUAAAACACHTuJAq0DtINUAAAAG&#10;AQAADwAAAGRycy9kb3ducmV2LnhtbE2PzU7DMBCE70i8g7VI3KiTqq1KiNMDEhJCvTT8nJ14SQLx&#10;OsTbNH17Fi5wGWk1o5lv893sezXhGLtABtJFAgqpDq6jxsDL88PNFlRkS872gdDAGSPsisuL3GYu&#10;nOiAU8mNkhKKmTXQMg+Z1rFu0du4CAOSeO9h9JblHBvtRnuSct/rZZJstLcdyUJrB7xvsf4sj97A&#10;hNXr457n2/gx0xt97ctzeCqNub5KkztQjDP/heEHX9ChEKYqHMlF1RuQR/hXxdumyw2oSkLpar0C&#10;XeT6P37xDVBLAwQUAAAACACHTuJAMpavGTMCAAA6BAAADgAAAGRycy9lMm9Eb2MueG1srVPNbhMx&#10;EL4j8Q6W72R/2rTRKpseEgoHBJGAB3C83l1L/pPHzSYvwQsgcQJOlFPvPA2Ux2DsjRpaLj2wB2tm&#10;x/7mm8+f5xc7rchWeJDW1LSY5JQIw20jTVfT9+8un80ogcBMw5Q1oqZ7AfRi8fTJfHCVKG1vVSM8&#10;QRAD1eBq2ofgqiwD3gvNYGKdMFhsrdcsYOq7rPFsQHStsjLPz7LB+sZ5ywUA/l2NRXpA9I8BtG0r&#10;uVhZfqWFCSOqF4oFHAl66YAuEtu2FTy8aVsQgaia4qQhrdgE401cs8WcVZ1nrpf8QIE9hsKDmTST&#10;BpveQa1YYOTKy3+gtOTegm3DhFudjYMkRXCKIn+gzdueOZFmQanB3YkO/w+Wv96uPZFNTcuipMQw&#10;jVd++/Hm14cvt9+vf36++f3jU4y/fSVxA8o1OKjw1NKsfRwYwnJnEkAxRQDZ7BBqlFWY5lgrDrUk&#10;eXYPJCbgRrhd6zVplXQv0ZtJUdSIIObJ7LQ8mU0p2WMhn50X5eHyxC4QHptOT/FSeSxPz8pi7MOq&#10;CBh5Og/hhbCaxKCmEDyTXR+W1hg0ifVjM7Z9BQGHzI4H4mFjL6VSySvKkAHZFOdIhTP0f4u+w1A7&#10;1BBMRwlTHT4sHnyiD1bJJp5OYvlus1SebFm0Y/qiVNjt3rZIccWgH/el0qhoYFI9Nw0Je4fXFLxk&#10;plOCRkagKVECG2MwQiqDyEdtY7SxzX7tYzlmaKnU+2D/6Nm/87Tr+OQ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rQO0g1QAAAAYBAAAPAAAAAAAAAAEAIAAAACIAAABkcnMvZG93bnJldi54bWxQ&#10;SwECFAAUAAAACACHTuJAMpavGTMCAAA6BAAADgAAAAAAAAABACAAAAAkAQAAZHJzL2Uyb0RvYy54&#10;bWxQSwUGAAAAAAYABgBZAQAAyQUAAAAA&#10;">
                        <v:fill on="f" focussize="0,0"/>
                        <v:stroke weight="0.25pt" color="#000000 [3213]" joinstyle="round" endarrow="block" endarrowwidth="narrow" endarrowlength="short"/>
                        <v:imagedata o:title=""/>
                        <o:lock v:ext="edit" aspectratio="f"/>
                      </v:shape>
                      <v:shape id="_x0000_s1026" o:spid="_x0000_s1026" o:spt="32" type="#_x0000_t32" style="position:absolute;left:1812290;top:2945130;height:2540;width:186690;" filled="f" stroked="t" coordsize="21600,21600" o:gfxdata="UEsDBAoAAAAAAIdO4kAAAAAAAAAAAAAAAAAEAAAAZHJzL1BLAwQUAAAACACHTuJAEJ9ds9cAAAAG&#10;AQAADwAAAGRycy9kb3ducmV2LnhtbE2PQUvDQBCF74L/YRnBi9hN0lpLzKagIhQKBWt73+6OyWJ2&#10;NmS3afvvHb3o5cHwHu99Uy3PvhMjDtEFUpBPMhBIJlhHjYLdx9v9AkRMmqzuAqGCC0ZY1tdXlS5t&#10;ONE7jtvUCC6hWGoFbUp9KWU0LXodJ6FHYu8zDF4nPodG2kGfuNx3ssiyufTaES+0useXFs3X9ugV&#10;mLuNeYzFatyv/OvFTeV66p7XSt3e5NkTiITn9BeGH3xGh5qZDuFINopOAT+SfpW9RV7MQRw4lM8e&#10;ZiDrSv7Hr78BUEsDBBQAAAAIAIdO4kCL1Q6nLAIAADAEAAAOAAAAZHJzL2Uyb0RvYy54bWytU81u&#10;EzEQviPxDpbvZLNJU9pVNj0klAuCSsADTL3eXUv+k8fNz0vwAkicgBNw6p2ngfIYjL1JKeXSA3uw&#10;xjsz38z3zXh+tjWarWVA5WzNy9GYM2mFa5Ttav72zfmTE84wgm1AOytrvpPIzxaPH803vpIT1zvd&#10;yMAIxGK18TXvY/RVUaDopQEcOS8tOVsXDES6hq5oAmwI3ehiMh4fFxsXGh+ckIj0dzU4+R4xPATQ&#10;ta0ScuXElZE2DqhBaohECXvlkS9yt20rRXzVtigj0zUnpjGfVITsy3QWizlUXQDfK7FvAR7Swj1O&#10;BpSlordQK4jAroL6B8ooERy6No6EM8VAJCtCLMrxPW1e9+Bl5kJSo78VHf8frHi5vghMNTWflDPO&#10;LBga+c3765/vPt18+/rj4/Wv7x+S/eUzSwEk18ZjRVlLexESYYzLrc0A5WzKydjWfDrIKm1z65se&#10;fGXyFX+BpAv6AW7bBpNgSRlGSOVJOZmc0rB21ODp0ayc7kcmt5GJHHB8nPwiBcyOsreA6gDjA8bn&#10;0hmWjJpjDKC6Pi6dtbQaLpR5aLB+gTG1BdUhIfVg3bnSOm+ItmxDvMqnpJEA2vqWto1M40k5tB1n&#10;oDt6TiKGjIhOqyZlZ4lCd7nUga0hLWH+sggk3t2wVHoF2A9x2TXoGEHpZ7ZhcedpODEosJ2WPHWE&#10;hjMtqTAZAwFt9/IOiiZtL12zuwgH2WmRMtP90qdNvXvP2X8e+u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J9ds9cAAAAGAQAADwAAAAAAAAABACAAAAAiAAAAZHJzL2Rvd25yZXYueG1sUEsBAhQA&#10;FAAAAAgAh07iQIvVDqcsAgAAMAQAAA4AAAAAAAAAAQAgAAAAJgEAAGRycy9lMm9Eb2MueG1sUEsF&#10;BgAAAAAGAAYAWQEAAMQFAAAAAA==&#10;">
                        <v:fill on="f" focussize="0,0"/>
                        <v:stroke weight="0.25pt" color="#000000 [3213]" joinstyle="round" endarrow="block" endarrowwidth="narrow" endarrowlength="short"/>
                        <v:imagedata o:title=""/>
                        <o:lock v:ext="edit" aspectratio="f"/>
                      </v:shape>
                      <v:shape id="_x0000_s1026" o:spid="_x0000_s1026" o:spt="202" type="#_x0000_t202" style="position:absolute;left:4881245;top:2765425;height:594995;width:227965;"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7cNEksCAAB1BAAADgAAAGRycy9lMm9Eb2MueG1srVRB&#10;btswELwX6B8I3htZquTYRuTAjeGiQNAESIueaYqyBJBclqQjpQ9of5BTL733XX5Hl5ScBGkPOfQi&#10;L7nLWc7s0GfnvZLkVljXgi5pejKhRGgOVat3Jf38afNmRonzTFdMghYlvROOni9fvzrrzEJk0ICs&#10;hCUIot2iMyVtvDeLJHG8EYq5EzBCY7IGq5jHpd0llWUdoiuZZJPJNOnAVsYCF87h7npI0hHRvgQQ&#10;6rrlYg18r4T2A6oVknmk5JrWOLqMt61rwf1VXTvhiSwpMvXxi00w3oZvsjxji51lpmn5eAX2kis8&#10;46RYq7HpA9SaeUb2tv0LSrXcgoPan3BQyUAkKoIs0skzbW4aZkTkglI78yC6+3+w/OPttSVtVdIs&#10;nVKimcKRH+5/HH7+Pvz6TsImStQZt8DKG4O1vn8HPRrnuO9wMzDva6vCL3IimM9nszTLC0ruEPp0&#10;WuRZMYgtek84FmTZ6XyKeY4FxTyfz2M+eQQy1vn3AhQJQUktzjJKzG4vncdLYemxJPTVsGmljPOU&#10;mnQlnb4tJvHAQwZPSI0HA53h2iHy/bYfOW6hukOKFgafOMM3LTa/ZM5fM4vGQNvg0/FX+KklYBMY&#10;I0oasN/+tR/qcV6YpaRDo5XUfd0zKyiRHzROcp7meXBmXOTFaYYL+zSzfZrRe3UB6OUUH6nhMQz1&#10;Xh7D2oL6gi9sFbpiimmOvUvqj+GFH+yPL5SL1SoWoRcN85f6xvAAPci52nuo26h0kGnQZlQP3RgH&#10;ML6cYPen61j1+G+x/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qYrMd2AAAAAYBAAAPAAAAAAAA&#10;AAEAIAAAACIAAABkcnMvZG93bnJldi54bWxQSwECFAAUAAAACACHTuJA+7cNEksCAAB1BAAADgAA&#10;AAAAAAABACAAAAAnAQAAZHJzL2Uyb0RvYy54bWxQSwUGAAAAAAYABgBZAQAA5AUAAAAA&#10;">
                        <v:fill on="f" focussize="0,0"/>
                        <v:stroke on="f" weight="0.5pt"/>
                        <v:imagedata o:title=""/>
                        <o:lock v:ext="edit" aspectratio="f"/>
                        <v:textbox>
                          <w:txbxContent>
                            <w:p w14:paraId="4368803E">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天然气</w:t>
                              </w:r>
                            </w:p>
                          </w:txbxContent>
                        </v:textbox>
                      </v:shape>
                      <v:shape id="_x0000_s1026" o:spid="_x0000_s1026" o:spt="33" type="#_x0000_t33" style="position:absolute;left:3945255;top:3068320;flip:y;height:212090;width:260350;rotation:11796480f;" filled="f" stroked="t" coordsize="21600,21600" o:gfxdata="UEsDBAoAAAAAAIdO4kAAAAAAAAAAAAAAAAAEAAAAZHJzL1BLAwQUAAAACACHTuJAySR+vdcAAAAG&#10;AQAADwAAAGRycy9kb3ducmV2LnhtbE2PzU7DMBCE70i8g7VIXBC1U9qqCnF6AIEEt4S/qxsvcSBe&#10;h9hNC0/PwgUuI61mNPNtsTn4Xkw4xi6QhmymQCA1wXbUanh8uDlfg4jJkDV9INTwiRE25fFRYXIb&#10;9lThVKdWcAnF3GhwKQ25lLFx6E2chQGJvdcwepP4HFtpR7Pnct/LuVIr6U1HvODMgFcOm/d65zU8&#10;f32ol9vlXXxy7fXbfVW7s4up0vr0JFOXIBIe0l8YfvAZHUpm2oYd2Sh6DfxI+lX21tl8BWLLoWyx&#10;XIAsC/kfv/wGUEsDBBQAAAAIAIdO4kD2v9pAHgIAAP0DAAAOAAAAZHJzL2Uyb0RvYy54bWytU72O&#10;EzEQ7pF4B8s92Z+QkIuyuSLhaBCcxE/veO1dS/7T2JdNWh6AmooCCSpeAfE0wD0GY2844GiuYIvV&#10;2DPzzXzfjFfnB6PJXkBQzja0mpSUCMtdq2zX0FcvLx4sKAmR2ZZpZ0VDjyLQ8/X9e6vBL0Xteqdb&#10;AQRBbFgOvqF9jH5ZFIH3wrAwcV5YdEoHhkU8Qle0wAZEN7qoy3JeDA5aD46LEPB2OzrpCRHuAuik&#10;VFxsHb8ywsYRFYRmESmFXvlA17lbKQWPz6UMIhLdUGQa8x+LoL1L/2K9YssOmO8VP7XA7tLCLU6G&#10;KYtFb6C2LDJyBeofKKM4uOBknHBnipFIVgRZVOUtbV70zIvMBaUO/kb08P9g+bP9JRDVNrSucPCW&#10;GRz59Zt33758uP76/vvbjz8+fyLJhUINPiwxfmMv4XQK/hIS64MEQ8ChulW5KNNHidTKv8aLLAsS&#10;JYeGTs8ezurZjJIj2uV8Ma1PExCHSDgG1PNyOsNkjgF1VZdn2V+MFVIlDyE+Ec6QZDR0h/PfOGtx&#10;zg7qXIrtn4aI/WHSr+CUaN2F0jqPW1syYP3qETbCGa6wxNVB03iUIdiOEqY7fBs8QkYMTqs2ZSec&#10;AN1uo4HsWdqoketY7a+wVHrLQj/GZde4a5Ep/di2JB49Kh1BMdtpQVNHwVCiBRZGY4TUFnkk2Ueh&#10;k7Vz7THrn+9xKzLT0wantfvznLN/v9r1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kkfr3XAAAA&#10;BgEAAA8AAAAAAAAAAQAgAAAAIgAAAGRycy9kb3ducmV2LnhtbFBLAQIUABQAAAAIAIdO4kD2v9pA&#10;HgIAAP0DAAAOAAAAAAAAAAEAIAAAACYBAABkcnMvZTJvRG9jLnhtbFBLBQYAAAAABgAGAFkBAAC2&#10;BQAAAAA=&#10;">
                        <v:fill on="f" focussize="0,0"/>
                        <v:stroke weight="0.25pt" color="#000000 [3213]" joinstyle="round" endarrow="block" endarrowwidth="narrow" endarrowlength="short"/>
                        <v:imagedata o:title=""/>
                        <o:lock v:ext="edit" aspectratio="f"/>
                      </v:shape>
                      <v:shape id="_x0000_s1026" o:spid="_x0000_s1026" o:spt="202" type="#_x0000_t202" style="position:absolute;left:4324350;top:2146300;height:230505;width:782955;"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Hpgpv0YCAAB1BAAADgAAAGRycy9lMm9Eb2MueG1srVTN&#10;jtMwEL4j8Q6W7zRp+rPbqumqbFWEVLErFcTZdZwmku0xttukPAC8wZ64cOe5+hyMk3S3LBz2wMUZ&#10;z4y+8ffNTGY3tZLkIKwrQae034spEZpDVupdSj99XL25psR5pjMmQYuUHoWjN/PXr2aVmYoECpCZ&#10;sARBtJtWJqWF92YaRY4XQjHXAyM0BnOwinm82l2UWVYhupJREsfjqAKbGQtcOIfeZRukHaJ9CSDk&#10;ecnFEvheCe1bVCsk80jJFaVxdN68Ns8F93d57oQnMqXI1DcnFkF7G85oPmPTnWWmKHn3BPaSJzzj&#10;pFipsegj1JJ5Rva2/AtKldyCg9z3OKioJdIogiz68TNtNgUzouGCUjvzKLr7f7D8w+HekjJLadKf&#10;UKKZwpafHr6ffvw6/fxGghMlqoybYubGYK6v30KNg3P2O3QG5nVuVfgiJ4Lx4SAZDkYo8zFAD8eD&#10;uBNb1J5wTLi6TiajESU8JAziUTwKiNETkLHOvxOgSDBSarGXjcTssHa+TT2nhLoaVqWUTT+lJlVK&#10;x6H8HxEElxprBDrts4Pl623dcdxCdkSKFto5cYavSiy+Zs7fM4uDgXxwdfwdHrkELAKdRUkB9uu/&#10;/CEf+4VRSioctJS6L3tmBSXyvcZOTvrDYZjM5jIcXSV4sZeR7WVE79Ut4Cz3cUkNb8yQ7+XZzC2o&#10;z7hhi1AVQ0xzrJ1SfzZvfTv+uKFcLBZNEs6iYX6tN4YH6Fa0xd5DXjZKB5labTr1cBqbXnWbE8b9&#10;8t5kPf0t5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mKzHdgAAAAGAQAADwAAAAAAAAABACAA&#10;AAAiAAAAZHJzL2Rvd25yZXYueG1sUEsBAhQAFAAAAAgAh07iQB6YKb9GAgAAdQQAAA4AAAAAAAAA&#10;AQAgAAAAJwEAAGRycy9lMm9Eb2MueG1sUEsFBgAAAAAGAAYAWQEAAN8FAAAAAA==&#10;">
                        <v:fill on="f" focussize="0,0"/>
                        <v:stroke on="f" weight="0.5pt"/>
                        <v:imagedata o:title=""/>
                        <o:lock v:ext="edit" aspectratio="f"/>
                        <v:textbox>
                          <w:txbxContent>
                            <w:p w14:paraId="21CFC7A2">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皮带输送粉尘</w:t>
                              </w:r>
                            </w:p>
                          </w:txbxContent>
                        </v:textbox>
                      </v:shape>
                      <v:shape id="_x0000_s1026" o:spid="_x0000_s1026" o:spt="202" type="#_x0000_t202" style="position:absolute;left:2632075;top:2327275;height:400685;width:674370;"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e4Um40cCAAB1BAAADgAAAGRycy9lMm9Eb2MueG1srVRL&#10;btswEN0X6B0I7mvZsh2nRuTAjeGiQNAESIuuaYqyBPBXko6UHqC9QVbddN9z5Rx9pOzESLvIohtq&#10;yBm+4Xszo7PzTklyK5xvjC7oaDCkRGhuykZvC/r50/rNKSU+MF0yabQo6J3w9Hzx+tVZa+ciN7WR&#10;pXAEINrPW1vQOgQ7zzLPa6GYHxgrNJyVcYoFbN02Kx1rga5klg+HJ1lrXGmd4cJ7nK56J90jupcA&#10;mqpquFgZvlNChx7VCckCKPm6sZ4u0murSvBwVVVeBCILCqYhrUgCexPXbHHG5lvHbN3w/RPYS57w&#10;jJNijUbSR6gVC4zsXPMXlGq4M95UYcCNynoiSRGwGA2faXNTMysSF0jt7aPo/v/B8o+31440ZUHz&#10;HJpoplDyh/sfDz9/P/z6TuIhJGqtnyPyxiI2dO9Mh8Y5nHscRuZd5VT8ghOBPz8Z58PZlJI72ON8&#10;lsNOYosuEI6Ak9lkPENKjoAJ+uI0+bMnIOt8eC+MItEoqEMtk8Ts9tIHQCH0EBLzarNupEwppCYt&#10;Eoynw3Th0YMbUuNipNM/O1qh23R7jhtT3oGiM32feMvXDZJfMh+umUNj4L0YnXCFpZIGSczeoqQ2&#10;7tu/zmM86gUvJS0araD+6445QYn8oFHJt6PJBLAhbSbTWSyDO/Zsjj16py4MenmEIbU8mTE+yINZ&#10;OaO+YMKWMStcTHPkLmg4mBehb39MKBfLZQpCL1oWLvWN5RG6l3O5C6ZqktJRpl6bvXroxlSA/eTE&#10;dj/ep6inv8Xi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pisx3YAAAABgEAAA8AAAAAAAAAAQAg&#10;AAAAIgAAAGRycy9kb3ducmV2LnhtbFBLAQIUABQAAAAIAIdO4kB7hSbjRwIAAHUEAAAOAAAAAAAA&#10;AAEAIAAAACcBAABkcnMvZTJvRG9jLnhtbFBLBQYAAAAABgAGAFkBAADgBQAAAAA=&#10;">
                        <v:fill on="f" focussize="0,0"/>
                        <v:stroke on="f" weight="0.5pt"/>
                        <v:imagedata o:title=""/>
                        <o:lock v:ext="edit" aspectratio="f"/>
                        <v:textbox>
                          <w:txbxContent>
                            <w:p w14:paraId="2EEB60F7">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堆场扬尘、设备噪声</w:t>
                              </w:r>
                            </w:p>
                          </w:txbxContent>
                        </v:textbox>
                      </v:shape>
                      <v:shape id="_x0000_s1026" o:spid="_x0000_s1026" o:spt="202" type="#_x0000_t202" style="position:absolute;left:2493645;top:1620520;height:393065;width:674370;"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zcjyTkkCAAB1BAAADgAAAGRycy9lMm9Eb2MueG1srVRL&#10;btswEN0X6B0I7hvJ8ieNETlwY7goYDQB3KJrmiIjASSHJelI7gHaG2TVTfc9V87RISUnQdpFFt3Q&#10;Q87zG743Q51fdFqRW+F8A6ako5OcEmE4VI25KennT+s3bynxgZmKKTCipAfh6cXi9avz1s5FATWo&#10;SjiCJMbPW1vSOgQ7zzLPa6GZPwErDCYlOM0Cbt1NVjnWIrtWWZHns6wFV1kHXHiPp6s+SQdG9xJC&#10;kLLhYgV8r4UJPasTigWU5OvGerpIt5VS8HAlpReBqJKi0pBWLILxLq7Z4pzNbxyzdcOHK7CXXOGZ&#10;Js0ag0UfqFYsMLJ3zV9UuuEOPMhwwkFnvZDkCKoY5c+82dbMiqQFrfb2wXT//2j5x9trR5qqpEVR&#10;UGKYxpbf3/24//n7/td3Eg/Rotb6OSK3FrGhewcdDs7x3ONhVN5Jp+MvaiKYLyZn49lkSskBsbMi&#10;nxaD2aILhCNgdjoZn2IbOALGZ+N8No2M2SORdT68F6BJDErqsJfJYna78aGHHiGxroF1o1TqpzKk&#10;xQLjaZ7+8JBBcmWwRpTTXztGodt1g8YdVAeU6KCfE2/5usHiG+bDNXM4GHhffDrhChepAIvAEFFS&#10;g/v2r/OIx35hlpIWB62k/uueOUGJ+mCwk2ejySROZtpMpqfoE3FPM7unGbPXl4CzPMJHankKIz6o&#10;Yygd6C/4wpaxKqaY4Vi7pOEYXoZ+/PGFcrFcJhDOomVhY7aWR+rezuU+gGyS09Gm3pvBPZzG1Kvh&#10;5cRxf7pPqMevxeI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qmKzHdgAAAAGAQAADwAAAAAAAAAB&#10;ACAAAAAiAAAAZHJzL2Rvd25yZXYueG1sUEsBAhQAFAAAAAgAh07iQM3I8k5JAgAAdQQAAA4AAAAA&#10;AAAAAQAgAAAAJwEAAGRycy9lMm9Eb2MueG1sUEsFBgAAAAAGAAYAWQEAAOIFAAAAAA==&#10;">
                        <v:fill on="f" focussize="0,0"/>
                        <v:stroke on="f" weight="0.5pt"/>
                        <v:imagedata o:title=""/>
                        <o:lock v:ext="edit" aspectratio="f"/>
                        <v:textbox>
                          <w:txbxContent>
                            <w:p w14:paraId="6951FAAE">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筛分粉尘、设备噪声</w:t>
                              </w:r>
                            </w:p>
                          </w:txbxContent>
                        </v:textbox>
                      </v:shape>
                      <v:shape id="_x0000_s1026" o:spid="_x0000_s1026" o:spt="202" type="#_x0000_t202" style="position:absolute;left:4338320;top:2623820;height:230505;width:586105;"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rLiuq0UCAAB1BAAADgAAAGRycy9lMm9Eb2MueG1srVTN&#10;jtMwEL4j8Q6W7zTpL6VquipbFSFV7EoFcXYdp4lke4ztNikPAG/AiQt3nqvPwdjpnxYOe+Dijmcm&#10;3/j7ZqbTu0ZJshfWVaAz2u2klAjNIa/0NqOfPi5fjSlxnumcSdAiowfh6N3s5YtpbSaiByXIXFiC&#10;INpNapPR0nszSRLHS6GY64ARGoMFWMU8Xu02yS2rEV3JpJemo6QGmxsLXDiH3kUbpCdE+xxAKIqK&#10;iwXwnRLat6hWSOaRkisr4+gsvrYoBPcPReGEJzKjyNTHE4ugvQlnMpuyydYyU1b89AT2nCc84aRY&#10;pbHoBWrBPCM7W/0FpSpuwUHhOxxU0hKJiiCLbvpEm3XJjIhcUGpnLqK7/wfLP+wfLanyjPZ6A0o0&#10;U9jy44/vx5+/j7++keBEiWrjJpi5Npjrm7fQ4OCc/Q6dgXlTWBV+kRPB+KDfH/d7KPMBoUe9/hjt&#10;KLZoPOGYMByPuumQEh4S+ukQbYwnVyBjnX8nQJFgZNRiL6PEbL9yvk09p4S6GpaVlLGE1KTO6Kg/&#10;TOMHlwiCS401Ap322cHyzabBz4K5gfyAFC20c+IMX1ZYfMWcf2QWBwP54Or4BzwKCVgEThYlJdiv&#10;//KHfOwXRimpcdAy6r7smBWUyPcaO/mmOxiEyYyXwfB10MzeRja3Eb1T94Cz3MUlNTyaId/Ls1lY&#10;UJ9xw+ahKoaY5lg7o/5s3vt2/HFDuZjPYxLOomF+pdeGB+hWzvnOQ1FFpa/anNTDaYy9Om1OGPfb&#10;e8y6/lvM/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qYrMd2AAAAAYBAAAPAAAAAAAAAAEAIAAA&#10;ACIAAABkcnMvZG93bnJldi54bWxQSwECFAAUAAAACACHTuJArLiuq0UCAAB1BAAADgAAAAAAAAAB&#10;ACAAAAAnAQAAZHJzL2Uyb0RvYy54bWxQSwUGAAAAAAYABgBZAQAA3gUAAAAA&#10;">
                        <v:fill on="f" focussize="0,0"/>
                        <v:stroke on="f" weight="0.5pt"/>
                        <v:imagedata o:title=""/>
                        <o:lock v:ext="edit" aspectratio="f"/>
                        <v:textbox>
                          <w:txbxContent>
                            <w:p w14:paraId="47925675">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提升粉尘</w:t>
                              </w:r>
                            </w:p>
                          </w:txbxContent>
                        </v:textbox>
                      </v:shape>
                      <v:shape id="_x0000_s1026" o:spid="_x0000_s1026" o:spt="202" type="#_x0000_t202" style="position:absolute;left:4255770;top:3202940;height:399415;width:810260;"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Dti14kkCAAB1BAAADgAAAGRycy9lMm9Eb2MueG1srVTB&#10;btswDL0P2D8Iuq923CRtgjhF1qLDgGIt0A07K7IUG5BETVJqZx+w/cFOu+y+7+p3jJKdNOh26GEX&#10;mSIpku+R9OKi04o8COcbMCUdneSUCMOhasympJ8+Xr85p8QHZiqmwIiS7oSnF8vXrxatnYsCalCV&#10;cASDGD9vbUnrEOw8yzyvhWb+BKwwaJTgNAt4dZuscqzF6FplRZ5PsxZcZR1w4T1qr3ojHSK6lwQE&#10;KRsuroBvtTChj+qEYgEh+bqxni5TtVIKHm6l9CIQVVJEGtKJSVBexzNbLth845itGz6UwF5SwjNM&#10;mjUGkx5CXbHAyNY1f4XSDXfgQYYTDjrrgSRGEMUof8bNfc2sSFiQam8PpPv/F5Z/eLhzpKlKWhQT&#10;SgzT2PLHH98ff/5+/PWNRCVS1Fo/R897i76hewsdDs5e71EZkXfS6fhFTATt42IyOTtDmnclPS3y&#10;YjYeyBZdIBwdzkd5MUU7jw6z2XiUMmVPgazz4Z0ATaJQUoe9TBSzhxsfsCh03bvEvAauG6VSP5Uh&#10;bUmnp5M8PThY8IUy+DDC6cuOUujW3YBxDdUOITro58Rbft1g8hvmwx1zOBhYL65OuMVDKsAkMEiU&#10;1OC+/ksf/bFfaKWkxUErqf+yZU5Qot4b7ORsNEZqSEiX8eSswIs7tqyPLWarLwFneYRLankSo39Q&#10;e1E60J9xw1YxK5qY4Zi7pGEvXoZ+/HFDuVitkhPOomXhxtxbHkP3dK62AWSTmI409dwM7OE0pgYM&#10;mxPH/fievJ7+Fs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qmKzHdgAAAAGAQAADwAAAAAAAAAB&#10;ACAAAAAiAAAAZHJzL2Rvd25yZXYueG1sUEsBAhQAFAAAAAgAh07iQA7YteJJAgAAdQQAAA4AAAAA&#10;AAAAAQAgAAAAJwEAAGRycy9lMm9Eb2MueG1sUEsFBgAAAAAGAAYAWQEAAOIFAAAAAA==&#10;">
                        <v:fill on="f" focussize="0,0"/>
                        <v:stroke on="f" weight="0.5pt"/>
                        <v:imagedata o:title=""/>
                        <o:lock v:ext="edit" aspectratio="f"/>
                        <v:textbox>
                          <w:txbxContent>
                            <w:p w14:paraId="09AD7CF6">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烘干粉尘、天然气燃烧废气</w:t>
                              </w:r>
                            </w:p>
                          </w:txbxContent>
                        </v:textbox>
                      </v:shape>
                      <v:shape id="_x0000_s1026" o:spid="_x0000_s1026" o:spt="202" type="#_x0000_t202" style="position:absolute;left:2597785;top:2740660;height:404495;width:650875;"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PUnyCkgCAAB1BAAADgAAAGRycy9lMm9Eb2MueG1srVRB&#10;btswELwX6B8I3mvJqmQ7RuTATeCiQNAESIueaYqKBJBclqQtuQ9of5BTL733XXlHl5ScBGkPOfRC&#10;L7nrWc7sUKdnvZJkL6xrQZd0OkkpEZpD1erbkn7+tHmzoMR5pismQYuSHoSjZ6vXr047sxQZNCAr&#10;YQmCaLfsTEkb780ySRxvhGJuAkZoTNZgFfO4tbdJZVmH6EomWZrOkg5sZSxw4RyeXgxJOiLalwBC&#10;XbdcXADfKaH9gGqFZB4puaY1jq7ibetacH9V1054IkuKTH1csQnG27Amq1O2vLXMNC0fr8BecoVn&#10;nBRrNTZ9gLpgnpGdbf+CUi234KD2Ew4qGYhERZDFNH2mzU3DjIhcUGpnHkR3/w+Wf9xfW9JWJc2y&#10;GSWaKRz5/d2P+5+/7399J+EQJeqMW2LljcFa37+DHo1zPHd4GJj3tVXhFzkRzGfFyXy+KCg5YDzP&#10;09lsFFv0nnAsmBXpYo55jgV5mucnRUBMHoGMdf69AEVCUFKLs4wSs/2l80PpsST01bBppYzzlJp0&#10;2OBtkcY/PGQQXGrsEegM1w6R77f9yHEL1QEpWhh84gzftNj8kjl/zSwaA22DT8df4VJLwCYwRpQ0&#10;YL/96zzU47wwS0mHRiup+7pjVlAiP2ic5Mk0z4Mz4yYv5hlu7NPM9mlG79Q5oJen+EgNj2Go9/IY&#10;1hbUF3xh69AVU0xz7F1SfwzP/WB/fKFcrNexCL1omL/UN4YH6EHO9c5D3Ualg0yDNqN66MY4q/Hl&#10;BLs/3ceqx6/F6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qYrMd2AAAAAYBAAAPAAAAAAAAAAEA&#10;IAAAACIAAABkcnMvZG93bnJldi54bWxQSwECFAAUAAAACACHTuJAPUnyCkgCAAB1BAAADgAAAAAA&#10;AAABACAAAAAnAQAAZHJzL2Uyb0RvYy54bWxQSwUGAAAAAAYABgBZAQAA4QUAAAAA&#10;">
                        <v:fill on="f" focussize="0,0"/>
                        <v:stroke on="f" weight="0.5pt"/>
                        <v:imagedata o:title=""/>
                        <o:lock v:ext="edit" aspectratio="f"/>
                        <v:textbox>
                          <w:txbxContent>
                            <w:p w14:paraId="2647FCAC">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投料粉尘、设备噪声</w:t>
                              </w:r>
                            </w:p>
                          </w:txbxContent>
                        </v:textbox>
                      </v:shape>
                      <v:shape id="_x0000_s1026" o:spid="_x0000_s1026" o:spt="32" type="#_x0000_t32" style="position:absolute;left:2497455;top:3389630;flip:y;height:6350;width:158750;" filled="f" stroked="t" coordsize="21600,21600" o:gfxdata="UEsDBAoAAAAAAIdO4kAAAAAAAAAAAAAAAAAEAAAAZHJzL1BLAwQUAAAACACHTuJAYCpVodYAAAAG&#10;AQAADwAAAGRycy9kb3ducmV2LnhtbE2PzU7DMBCE70i8g7VI3Kid0p80xOkBiZ8Dh1J4ADfeJhH2&#10;OoqdtPD0LFzgMtJqRjPfltuzd2LCIXaBNGQzBQKpDrajRsP728NNDiImQ9a4QKjhEyNsq8uL0hQ2&#10;nOgVp31qBJdQLIyGNqW+kDLWLXoTZ6FHYu8YBm8Sn0Mj7WBOXO6dnCu1kt50xAut6fG+xfpjP3oN&#10;653rX9T4ONkubJ7y9e34/LVEra+vMnUHIuE5/YXhB5/RoWKmQxjJRuE08CPpV9nLs/kKxIFD2WK5&#10;AFmV8j9+9Q1QSwMEFAAAAAgAh07iQDhSz2g6AgAAPAQAAA4AAABkcnMvZTJvRG9jLnhtbK1TzW7U&#10;MBC+I/EOlu80m2y320bN9rBLuSCoxM991nESS/6Tx92fl+AFkDgBJ+DUO08D5TEYJ2mh5dIDOUQz&#10;nplvvvk8Pj3bGc02MqBytuL5wYQzaYWrlW0r/ub1+ZNjzjCCrUE7Kyu+l8jPFo8fnW59KQvXOV3L&#10;wAjEYrn1Fe9i9GWWoeikATxwXloKNi4YiOSGNqsDbAnd6KyYTI6yrQu1D05IRDpdDUE+IoaHALqm&#10;UUKunLg00sYBNUgNkUbCTnnki55t00gRXzYNysh0xWnS2P+pCdnr9M8Wp1C2AXynxEgBHkLh3kwG&#10;lKWmt1AriMAug/oHyigRHLomHghnsmGQXhGaIp/c0+ZVB172s5DU6G9Fx/8HK15sLgJTdcWLYs6Z&#10;BUNXfv3+6ue7T9ffvv74ePXr+4dkf/nMUgLJtfVYUtXSXoQ0MMblzvYA+TTnZOwqPh1klba+iRWz&#10;YozlKZbdAUkO+gFu1wTDGq38W9rNXlHSiBFmcXgyP5zNONsT/vT45Gg6Xp7cRSYoIZ8dz2d0rYIS&#10;jqZkpT5QJsDE0weMz6QzLBkVxxhAtV1cOmtpSVwYmsHmOcah8KYgFVt3rrSmcyi1ZVtikM+JigDa&#10;/4b2jkzjSUO0LWegW3pYIoaePjqt6lTdixXa9VIHtoG0jv030ryTllqvALshryZr5eKgaQSln9qa&#10;xb2ni4pBgW215IkTGs60pNZkDCNoO0o9qJt0Xrt6fxFSOHm0VL1I4wNIW/u332f9efS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AqVaHWAAAABgEAAA8AAAAAAAAAAQAgAAAAIgAAAGRycy9kb3du&#10;cmV2LnhtbFBLAQIUABQAAAAIAIdO4kA4Us9oOgIAADwEAAAOAAAAAAAAAAEAIAAAACUBAABkcnMv&#10;ZTJvRG9jLnhtbFBLBQYAAAAABgAGAFkBAADRBQAAAAA=&#10;">
                        <v:fill on="f" focussize="0,0"/>
                        <v:stroke weight="0.25pt" color="#000000 [3213]" joinstyle="round" dashstyle="dashDot" endarrow="block" endarrowwidth="narrow" endarrowlength="short"/>
                        <v:imagedata o:title=""/>
                        <o:lock v:ext="edit" aspectratio="f"/>
                      </v:shape>
                      <v:shape id="_x0000_s1026" o:spid="_x0000_s1026" o:spt="32" type="#_x0000_t32" style="position:absolute;left:4135120;top:1363980;flip:y;height:2540;width:208915;" filled="f" stroked="t" coordsize="21600,21600" o:gfxdata="UEsDBAoAAAAAAIdO4kAAAAAAAAAAAAAAAAAEAAAAZHJzL1BLAwQUAAAACACHTuJAYCpVodYAAAAG&#10;AQAADwAAAGRycy9kb3ducmV2LnhtbE2PzU7DMBCE70i8g7VI3Kid0p80xOkBiZ8Dh1J4ADfeJhH2&#10;OoqdtPD0LFzgMtJqRjPfltuzd2LCIXaBNGQzBQKpDrajRsP728NNDiImQ9a4QKjhEyNsq8uL0hQ2&#10;nOgVp31qBJdQLIyGNqW+kDLWLXoTZ6FHYu8YBm8Sn0Mj7WBOXO6dnCu1kt50xAut6fG+xfpjP3oN&#10;653rX9T4ONkubJ7y9e34/LVEra+vMnUHIuE5/YXhB5/RoWKmQxjJRuE08CPpV9nLs/kKxIFD2WK5&#10;AFmV8j9+9Q1QSwMEFAAAAAgAh07iQHst5IM6AgAAPAQAAA4AAABkcnMvZTJvRG9jLnhtbK1TzY7T&#10;MBC+I/EOlu80TdoubdR0Dy3LBcFK/NynjpNY8p9sb39eghdA4gScgNPeeRpYHoOxk/1hueyBHKxx&#10;Zuab+b4ZL08PSpIdd14YXdF8NKaEa2ZqoduKvn1z9mROiQ+ga5BG84oeuaenq8ePlntb8sJ0Rtbc&#10;EQTRvtzbinYh2DLLPOu4Aj8ylmt0NsYpCHh1bVY72CO6klkxHp9ke+Nq6wzj3uPfTe+kA6J7CKBp&#10;GsH4xrALxXXoUR2XEJCS74T1dJW6bRrOwqum8TwQWVFkGtKJRdDexjNbLaFsHdhOsKEFeEgL9zgp&#10;EBqL3kBtIAC5cOIfKCWYM940YcSMynoiSRFkkY/vafO6A8sTF5Ta2xvR/f+DZS93546IuqLFZEKJ&#10;BoUjv/pw+ev956vv335+uvz942O0v34hMQDl2ltfYtZan7tI2If1QSeAfJZTNA4VTXFQcl1f+4rp&#10;YvDlESP7CyRevO3hDo1TpJHCvsPdTIqiRgQxp/lklhc4tiM6JieTxXwYHj8EwjCgGM8X+YwShgHF&#10;bJq8GZQRMPZpnQ/PuVEkGhX1wYFou7A2WuOSGNcXg90LH2KDtwkxWZszIWXaFanJHhnmT2MpwP1v&#10;cO/QVBY19LqlBGSLD4sFl9r3Roo6ZiexXLtdS0d2ENcxfUkOlPFuWGxxA77r42q0Nib0qxpAyGe6&#10;JuFocVDBCdCt5DT25BUlkmNpNHoKUg9S9+pGnbemPp676xHgUiWuwwOIW3v3nrJvH/3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AqVaHWAAAABgEAAA8AAAAAAAAAAQAgAAAAIgAAAGRycy9kb3du&#10;cmV2LnhtbFBLAQIUABQAAAAIAIdO4kB7LeSDOgIAADwEAAAOAAAAAAAAAAEAIAAAACUBAABkcnMv&#10;ZTJvRG9jLnhtbFBLBQYAAAAABgAGAFkBAADRBQAAAAA=&#10;">
                        <v:fill on="f" focussize="0,0"/>
                        <v:stroke weight="0.25pt" color="#000000 [3213]" joinstyle="round" dashstyle="dashDot" endarrow="block" endarrowwidth="narrow" endarrowlength="short"/>
                        <v:imagedata o:title=""/>
                        <o:lock v:ext="edit" aspectratio="f"/>
                      </v:shape>
                      <v:shape id="_x0000_s1026" o:spid="_x0000_s1026" o:spt="32" type="#_x0000_t32" style="position:absolute;left:4041775;top:3841750;flip:y;height:3175;width:186055;" filled="f" stroked="t" coordsize="21600,21600" o:gfxdata="UEsDBAoAAAAAAIdO4kAAAAAAAAAAAAAAAAAEAAAAZHJzL1BLAwQUAAAACACHTuJAYCpVodYAAAAG&#10;AQAADwAAAGRycy9kb3ducmV2LnhtbE2PzU7DMBCE70i8g7VI3Kid0p80xOkBiZ8Dh1J4ADfeJhH2&#10;OoqdtPD0LFzgMtJqRjPfltuzd2LCIXaBNGQzBQKpDrajRsP728NNDiImQ9a4QKjhEyNsq8uL0hQ2&#10;nOgVp31qBJdQLIyGNqW+kDLWLXoTZ6FHYu8YBm8Sn0Mj7WBOXO6dnCu1kt50xAut6fG+xfpjP3oN&#10;653rX9T4ONkubJ7y9e34/LVEra+vMnUHIuE5/YXhB5/RoWKmQxjJRuE08CPpV9nLs/kKxIFD2WK5&#10;AFmV8j9+9Q1QSwMEFAAAAAgAh07iQIEkRnw1AgAAPAQAAA4AAABkcnMvZTJvRG9jLnhtbK1TzY7T&#10;MBC+I/EOlu80SbfdraKme2hZLggq8XN3HSex5D95vE37ErwAEifgBJz2ztPA8hiMnbDLLpc9kIM1&#10;zoy/+b7P4+X5QSuyFx6kNRUtJjklwnBbS9NW9M3riycLSiAwUzNljajoUQA9Xz1+tOxdKaa2s6oW&#10;niCIgbJ3Fe1CcGWWAe+EZjCxThhMNtZrFnDr26z2rEd0rbJpnp9mvfW185YLAPy7GZJ0RPQPAbRN&#10;I7nYWH6phQkDqheKBZQEnXRAV4lt0wgeXjYNiEBURVFpSCs2wXgX12y1ZGXrmeskHymwh1C4p0kz&#10;abDpDdSGBUYuvfwHSkvuLdgmTLjV2SAkOYIqivyeN6865kTSglaDuzEd/h8sf7HfeiLrik5PZpQY&#10;pvHKr99f/Xz36frb1x8fr359/xDjL59JLEC7egclnlqbrY+CIawPJgEUMwSQ9aGiJ4OtwtR/ctM5&#10;Gp5yRcxld0DiBtwAd2i8Jo2S7i3OZnIUPSKIOctnxdnZnJIj4i8wRsR0eeIQCMeCYnGazzHPYwGm&#10;Ux9WRsDI03kIz4TVJAYVheCZbLuwtsbgkFg/NGP75xAiwdsD8bCxF1Kp1E4Z0o8NCGc4/w3OHXbV&#10;Dj0E01LCVIsPiwef6INVso6nk1m+3a2VJ3sWxzF9I807ZZHihkE31NUYbWwY1AYm1VNTk3B0eFHB&#10;S2ZaJWjkBJoSJbA1BoMEZUarB3ejzztbH7c+puMOhyppHR9AnNq/96nq9tGv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KlWh1gAAAAYBAAAPAAAAAAAAAAEAIAAAACIAAABkcnMvZG93bnJldi54&#10;bWxQSwECFAAUAAAACACHTuJAgSRGfDUCAAA8BAAADgAAAAAAAAABACAAAAAlAQAAZHJzL2Uyb0Rv&#10;Yy54bWxQSwUGAAAAAAYABgBZAQAAzAUAAAAA&#10;">
                        <v:fill on="f" focussize="0,0"/>
                        <v:stroke weight="0.25pt" color="#000000 [3213]" joinstyle="round" dashstyle="dashDot" endarrow="block" endarrowwidth="narrow" endarrowlength="short"/>
                        <v:imagedata o:title=""/>
                        <o:lock v:ext="edit" aspectratio="f"/>
                      </v:shape>
                      <v:shape id="_x0000_s1026" o:spid="_x0000_s1026" o:spt="32" type="#_x0000_t32" style="position:absolute;left:4050665;top:1818640;flip:y;height:2540;width:267970;" filled="f" stroked="t" coordsize="21600,21600" o:gfxdata="UEsDBAoAAAAAAIdO4kAAAAAAAAAAAAAAAAAEAAAAZHJzL1BLAwQUAAAACACHTuJAYCpVodYAAAAG&#10;AQAADwAAAGRycy9kb3ducmV2LnhtbE2PzU7DMBCE70i8g7VI3Kid0p80xOkBiZ8Dh1J4ADfeJhH2&#10;OoqdtPD0LFzgMtJqRjPfltuzd2LCIXaBNGQzBQKpDrajRsP728NNDiImQ9a4QKjhEyNsq8uL0hQ2&#10;nOgVp31qBJdQLIyGNqW+kDLWLXoTZ6FHYu8YBm8Sn0Mj7WBOXO6dnCu1kt50xAut6fG+xfpjP3oN&#10;653rX9T4ONkubJ7y9e34/LVEra+vMnUHIuE5/YXhB5/RoWKmQxjJRuE08CPpV9nLs/kKxIFD2WK5&#10;AFmV8j9+9Q1QSwMEFAAAAAgAh07iQMmxIIE6AgAAPAQAAA4AAABkcnMvZTJvRG9jLnhtbK1Tu44T&#10;MRTtkfgHyz2ZB8kkjDLZImFpEKzEo3dsz4wlv2R7M8lP8ANIVEC1UG3P18DyGVx7sg+WZgumsK7n&#10;3nt8zvH18mSvJNpx54XRDS4mOUZcU8OE7hr87u3pkwVGPhDNiDSaN/jAPT5ZPX60HGzNS9MbybhD&#10;AKJ9PdgG9yHYOss87bkifmIs15BsjVMkwNZ1GXNkAHQlszLPq2wwjllnKPce/m7GJD4iuocAmrYV&#10;lG8MPVdchxHVcUkCSPK9sB6vEtu25TS8blvPA5INBqUhrXAIxNu4ZqslqTtHbC/okQJ5CIV7mhQR&#10;Gg69gdqQQNC5E/9AKUGd8aYNE2pUNgpJjoCKIr/nzZueWJ60gNXe3pju/x8sfbU7c0iwBpfTCiNN&#10;FFz51cfLXx++XH3/9vPz5e8fn2J88RXFArBrsL6GrrU+c1GwD+u9TgDFDEwVbN/gp6OtXLPrXDmF&#10;qUq5Iuayv0DixtsRbt86hVop7HuYzeQoeIQAc5rP8qqaYXSAxKJYVNPj5fF9QBQKymr+bA4MKBSU&#10;szGbkToCRp7W+fCCG4Vi0GAfHBFdH9ZGaxgS48bDyO6lD5HgbUNs1uZUSJlmRWo0gMJiDlQogflv&#10;Ye4gVBY89LrDiMgOHhYNLtH3RgoWu5NZrtuupUM7EscxfckOsPFuWaS4Ib4f6xhEGxNGTwMR8rlm&#10;KBwsXFRwguhOchw5eYWR5HA0BKMEqY9Wj+5Gn7eGHc7c9RXAUCWtxwcQp/buPnXfPvrV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AqVaHWAAAABgEAAA8AAAAAAAAAAQAgAAAAIgAAAGRycy9kb3du&#10;cmV2LnhtbFBLAQIUABQAAAAIAIdO4kDJsSCBOgIAADwEAAAOAAAAAAAAAAEAIAAAACUBAABkcnMv&#10;ZTJvRG9jLnhtbFBLBQYAAAAABgAGAFkBAADRBQAAAAA=&#10;">
                        <v:fill on="f" focussize="0,0"/>
                        <v:stroke weight="0.25pt" color="#000000 [3213]" joinstyle="round" dashstyle="dashDot" endarrow="block" endarrowwidth="narrow" endarrowlength="short"/>
                        <v:imagedata o:title=""/>
                        <o:lock v:ext="edit" aspectratio="f"/>
                      </v:shape>
                      <v:shape id="_x0000_s1026" o:spid="_x0000_s1026" o:spt="32" type="#_x0000_t32" style="position:absolute;left:4132580;top:2261870;flip:y;height:1270;width:191770;" filled="f" stroked="t" coordsize="21600,21600" o:gfxdata="UEsDBAoAAAAAAIdO4kAAAAAAAAAAAAAAAAAEAAAAZHJzL1BLAwQUAAAACACHTuJAYCpVodYAAAAG&#10;AQAADwAAAGRycy9kb3ducmV2LnhtbE2PzU7DMBCE70i8g7VI3Kid0p80xOkBiZ8Dh1J4ADfeJhH2&#10;OoqdtPD0LFzgMtJqRjPfltuzd2LCIXaBNGQzBQKpDrajRsP728NNDiImQ9a4QKjhEyNsq8uL0hQ2&#10;nOgVp31qBJdQLIyGNqW+kDLWLXoTZ6FHYu8YBm8Sn0Mj7WBOXO6dnCu1kt50xAut6fG+xfpjP3oN&#10;653rX9T4ONkubJ7y9e34/LVEra+vMnUHIuE5/YXhB5/RoWKmQxjJRuE08CPpV9nLs/kKxIFD2WK5&#10;AFmV8j9+9Q1QSwMEFAAAAAgAh07iQMpiMy45AgAAPAQAAA4AAABkcnMvZTJvRG9jLnhtbK1TvW7b&#10;MBDeC/QdCO61LMWJHcFyBrvpUrQB+rPTFCUR4B94jGW/RF+gQKe2U9ope5+mTR+jR8pO0nTJUA3C&#10;kXf33X3fHednW63IRniQ1lQ0H40pEYbbWpq2ou/enj+bUQKBmZopa0RFdwLo2eLpk3nvSlHYzqpa&#10;eIIgBsreVbQLwZVZBrwTmsHIOmHQ2VivWcCjb7Pasx7RtcqK8fgk662vnbdcAODtanDSPaJ/DKBt&#10;GsnFyvJLLUwYUL1QLCAl6KQDukjdNo3g4XXTgAhEVRSZhvTHImiv4z9bzFnZeuY6yfctsMe08ICT&#10;ZtJg0VuoFQuMXHr5D5SW3FuwTRhxq7OBSFIEWeTjB9q86ZgTiQtKDe5WdPh/sPzV5sITWVe0mEwp&#10;MUzjyG8+Xv/68OXm+7efn69///gU7auvJAagXL2DErOW5sJHwhCWW5MA8skpRWNb0aNBVmHqg6/I&#10;D748+rK/QOIB3AC3bbwmjZLuPe5mUhQ1Iog5yY+K4xmObYetFif5bLofntgGwjEgP82neEc4BuTF&#10;4M1YGQFjn85DeCGsJtGoKATPZNuFpTUGl8T6oRjbvIQQG7xLiMnGnkul0q4oQ3pkmE+PsRTD/W9w&#10;79DUDjUE01LCVIsPiwef2gerZB2zk1i+XS+VJxsW1zF9SQ6U8X5YbHHFoBviarRWNgyaBibVc1OT&#10;sHM4qOAlM60SNPYEmhIlsDQaAwVl9lIP6kad17beXfjDCHCpEtf9A4hbe/+csu8e/e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YCpVodYAAAAGAQAADwAAAAAAAAABACAAAAAiAAAAZHJzL2Rvd25y&#10;ZXYueG1sUEsBAhQAFAAAAAgAh07iQMpiMy45AgAAPAQAAA4AAAAAAAAAAQAgAAAAJQEAAGRycy9l&#10;Mm9Eb2MueG1sUEsFBgAAAAAGAAYAWQEAANAFAAAAAA==&#10;">
                        <v:fill on="f" focussize="0,0"/>
                        <v:stroke weight="0.25pt" color="#000000 [3213]" joinstyle="round" dashstyle="dashDot" endarrow="block" endarrowwidth="narrow" endarrowlength="short"/>
                        <v:imagedata o:title=""/>
                        <o:lock v:ext="edit" aspectratio="f"/>
                      </v:shape>
                      <v:shape id="_x0000_s1026" o:spid="_x0000_s1026" o:spt="202" type="#_x0000_t202" style="position:absolute;left:4318635;top:1616075;height:404495;width:739775;"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uQhqjUkCAAB1BAAADgAAAGRycy9lMm9Eb2MueG1srVRL&#10;btswEN0X6B0I7hvJtmwnRuTAjeGiQNAESIuuaYqKBPBXko6UHqC9QVfddN9z5Rx9pOwkSLvIohtq&#10;OPM4w3nzqNOzXklyK5xvjS7p6CinRGhuqlbflPTTx82bY0p8YLpi0mhR0jvh6dny9avTzi7E2DRG&#10;VsIRJNF+0dmSNiHYRZZ53gjF/JGxQiNYG6dYwNbdZJVjHbIrmY3zfJZ1xlXWGS68h3c9BOk+o3tJ&#10;QlPXLRdrw3dK6DBkdUKygJZ801pPl+m2dS14uKxrLwKRJUWnIa0oAnsb12x5yhY3jtmm5fsrsJdc&#10;4VlPirUaRR9SrVlgZOfav1KpljvjTR2OuFHZ0EhiBF2M8mfcXDfMitQLqPb2gXT//9LyD7dXjrRV&#10;SccFBq+Zwsjvf3y///n7/tc3Ep2gqLN+AeS1BTb0b00P4Rz8Hs7YeV87Fb/oiSBeTEbHs8mUkjtg&#10;Z6NZPp8OZIs+EA7AfHIyh49wAIq8KE5SPHtMZJ0P74RRJBoldZhlopjdXviASwF6gMS62mxaKdM8&#10;pSZdSVE9TwceIjghNQ7GdoZrRyv0237f49ZUd2jRmUEn3vJNi+IXzIcr5iAMyAZPJ1xiqaVBEbO3&#10;KGmM+/ovf8RjXohS0kFoJfVfdswJSuR7jUmejIoiKjNtiul8jI17Gtk+jeidOjfQ8giP1PJkRnyQ&#10;B7N2Rn3GC1vFqggxzVG7pOFgnodB/nihXKxWCQQtWhYu9LXlMfVA52oXTN0mpiNNAzd79qDGNID9&#10;y4lyf7pPqMe/xfI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qmKzHdgAAAAGAQAADwAAAAAAAAAB&#10;ACAAAAAiAAAAZHJzL2Rvd25yZXYueG1sUEsBAhQAFAAAAAgAh07iQLkIao1JAgAAdQQAAA4AAAAA&#10;AAAAAQAgAAAAJwEAAGRycy9lMm9Eb2MueG1sUEsFBgAAAAAGAAYAWQEAAOIFAAAAAA==&#10;">
                        <v:fill on="f" focussize="0,0"/>
                        <v:stroke on="f" weight="0.5pt"/>
                        <v:imagedata o:title=""/>
                        <o:lock v:ext="edit" aspectratio="f"/>
                        <v:textbox>
                          <w:txbxContent>
                            <w:p w14:paraId="24046B72">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投料粉尘、设备噪声</w:t>
                              </w:r>
                            </w:p>
                          </w:txbxContent>
                        </v:textbox>
                      </v:shape>
                      <v:shape id="_x0000_s1026" o:spid="_x0000_s1026" o:spt="202" type="#_x0000_t202" style="position:absolute;left:4344035;top:1248410;height:230505;width:586105;"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MQq1w0gCAAB1BAAADgAAAGRycy9lMm9Eb2MueG1srVRL&#10;btswFNwX6B0I7hvJtpwmRuTATZCiQNAESIuuaYqyBPBXko6UHqC9QVbddN9z5RwdUnJipF1k0Q39&#10;yDd+jzNvqJPTXklyK5xvjS7p5CCnRGhuqlZvSvr508WbI0p8YLpi0mhR0jvh6eny9auTzi7E1DRG&#10;VsIRFNF+0dmSNiHYRZZ53gjF/IGxQiNZG6dYwNZtssqxDtWVzKZ5fph1xlXWGS68x+n5kKRjRfeS&#10;gqauWy7ODd8qocNQ1QnJAij5prWeLtNt61rwcFXXXgQiSwqmIa1ogngd12x5whYbx2zT8vEK7CVX&#10;eMZJsVaj6WOpcxYY2br2r1Kq5c54U4cDblQ2EEmKgMUkf6bNTcOsSFwgtbePovv/V5Z/vL12pK1K&#10;Oi2OKdFMYeQP9z8efv5++PWdxENI1Fm/APLGAhv6d6aHcXbnHoeReV87FX/BiSBfzIoin80puQN2&#10;WhwVk1Fs0QfCAZgfHU5y5DkA01k+R4xO2VMh63x4L4wiMSipwyyTxOz20ocBuoPEvtpctFKmeUpN&#10;upIezuZ5+sNjBsWlRo9IZ7h2jEK/7keOa1PdgaIzg0+85Rctml8yH66ZgzFgGzydcIWllgZNzBhR&#10;0hj37V/nEY95IUtJB6OV1H/dMicokR80Jnk8gVBwZtoU87dTbNx+Zr2f0Vt1ZuDlCR6p5SmM+CB3&#10;Ye2M+oIXtopdkWKao3dJwy48C4P98UK5WK0SCF60LFzqG8tj6UHO1TaYuk1KR5kGbUb14MY0q/Hl&#10;RLvv7xPq6Wux/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qYrMd2AAAAAYBAAAPAAAAAAAAAAEA&#10;IAAAACIAAABkcnMvZG93bnJldi54bWxQSwECFAAUAAAACACHTuJAMQq1w0gCAAB1BAAADgAAAAAA&#10;AAABACAAAAAnAQAAZHJzL2Uyb0RvYy54bWxQSwUGAAAAAAYABgBZAQAA4QUAAAAA&#10;">
                        <v:fill on="f" focussize="0,0"/>
                        <v:stroke on="f" weight="0.5pt"/>
                        <v:imagedata o:title=""/>
                        <o:lock v:ext="edit" aspectratio="f"/>
                        <v:textbox>
                          <w:txbxContent>
                            <w:p w14:paraId="679C00C0">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装卸扬尘</w:t>
                              </w:r>
                            </w:p>
                          </w:txbxContent>
                        </v:textbox>
                      </v:shape>
                      <v:shape id="_x0000_s1026" o:spid="_x0000_s1026" o:spt="202" type="#_x0000_t202" style="position:absolute;left:4221480;top:3645535;height:392430;width:938530;"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QEvI3UYCAAB1BAAADgAAAGRycy9lMm9Eb2MueG1srVTB&#10;btQwEL0j8Q+W7zS72WxpV81WS6sipIpWKoiz13GaSLbH2N4m5QPgDzhx4c539Tt4TnbbUjj0wMUZ&#10;z4zezHszztFxbzS7UT60ZEs+3ZtwpqykqrXXJf/44ezVAWchClsJTVaV/FYFfrx8+eKocwuVU0O6&#10;Up4BxIZF50rexOgWWRZko4wIe+SURbAmb0TE1V9nlRcd0I3O8slkP+vIV86TVCHAezoG+RbRPweQ&#10;6rqV6pTkxigbR1SvtIigFJrWBb4cuq1rJeNFXQcVmS45mMbhRBHY63RmyyOxuPbCNa3ctiCe08IT&#10;Tka0FkXvoU5FFGzj27+gTCs9BarjniSTjUQGRcBiOnmizVUjnBq4QOrg7kUP/w9Wvr+59KytSp7P&#10;oYkVBiO/+/7t7sevu59fWXJCos6FBTKvHHJj/4Z6LM7OH+BMzPvam/QFJ4Z4kefT4gCQtyWf7Rfz&#10;+Ww+iq36yCQSDmcH8xniMiUc5gVsVMoegJwP8a0iw5JRco9ZDhKLm/MQx9RdSqpr6azVepintqwr&#10;+f4Mzf8RAbi2qJHojG0nK/brfstxTdUtKHoa9yQ4edai+LkI8VJ4LAb6xdOJFzhqTShCW4uzhvyX&#10;f/lTPuaFKGcdFq3k4fNGeMWZfmcxycNpUQA2Dpdi/jrHxT+OrB9H7MacEHZ5ikfq5GCm/Kh3Zu3J&#10;fMILW6WqCAkrUbvkcWeexHH98UKlWq2GJOyiE/HcXjmZoEfRVptIdTsonWQatdmqh20cZrV9OWnd&#10;H9+HrIe/xf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mKzHdgAAAAGAQAADwAAAAAAAAABACAA&#10;AAAiAAAAZHJzL2Rvd25yZXYueG1sUEsBAhQAFAAAAAgAh07iQEBLyN1GAgAAdQQAAA4AAAAAAAAA&#10;AQAgAAAAJwEAAGRycy9lMm9Eb2MueG1sUEsFBgAAAAAGAAYAWQEAAN8FAAAAAA==&#10;">
                        <v:fill on="f" focussize="0,0"/>
                        <v:stroke on="f" weight="0.5pt"/>
                        <v:imagedata o:title=""/>
                        <o:lock v:ext="edit" aspectratio="f"/>
                        <v:textbox>
                          <w:txbxContent>
                            <w:p w14:paraId="3C67172B">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筛分粉尘、筛分废料（＞31.5mm）</w:t>
                              </w:r>
                            </w:p>
                          </w:txbxContent>
                        </v:textbox>
                      </v:shape>
                      <v:shape id="_x0000_s1026" o:spid="_x0000_s1026" o:spt="32" type="#_x0000_t32" style="position:absolute;left:3829050;top:4832350;flip:x;height:1249045;width:1905;" filled="f" stroked="t" coordsize="21600,21600" o:gfxdata="UEsDBAoAAAAAAIdO4kAAAAAAAAAAAAAAAAAEAAAAZHJzL1BLAwQUAAAACACHTuJAq0DtINUAAAAG&#10;AQAADwAAAGRycy9kb3ducmV2LnhtbE2PzU7DMBCE70i8g7VI3KiTqq1KiNMDEhJCvTT8nJ14SQLx&#10;OsTbNH17Fi5wGWk1o5lv893sezXhGLtABtJFAgqpDq6jxsDL88PNFlRkS872gdDAGSPsisuL3GYu&#10;nOiAU8mNkhKKmTXQMg+Z1rFu0du4CAOSeO9h9JblHBvtRnuSct/rZZJstLcdyUJrB7xvsf4sj97A&#10;hNXr457n2/gx0xt97ctzeCqNub5KkztQjDP/heEHX9ChEKYqHMlF1RuQR/hXxdumyw2oSkLpar0C&#10;XeT6P37xDVBLAwQUAAAACACHTuJAaOnYHDQCAAA7BAAADgAAAGRycy9lMm9Eb2MueG1srVPNjtMw&#10;EL4j8Q6W7zRN2kI3arqHloUDgkrAA7iOk1jynzzepn0JXgCJE3ACTnvnaWB5DMZO2bLLZQ/0EI37&#10;zXwz3+fx4nyvFdkJD9KaiuajMSXCcFtL01b07ZuLR3NKIDBTM2WNqOhBAD1fPnyw6F0pCttZVQtP&#10;kMRA2buKdiG4MsuAd0IzGFknDIKN9ZoFPPo2qz3rkV2rrBiPH2e99bXzlgsA/Hc9gPTI6O9DaJtG&#10;crG2/FILEwZWLxQLKAk66YAu07RNI3h41TQgAlEVRaUhfbEJxtv4zZYLVraeuU7y4wjsPiPc0aSZ&#10;NNj0hmrNAiOXXv5DpSX3FmwTRtzqbBCSHEEV+fiON6875kTSglaDuzEd/h8tf7nbeCLrihaznBLD&#10;NF759furn+8+XX/7+uPj1a/vH2L85TOJCWhX76DEqpXZ+CgYwmpvEkE+nVAM9kg12CpMfcJmRyxZ&#10;nt0iiQdwA92+8Zo0SrrnuJvJUfSIIOdkXpyNZ3hth4pO55NignG6PLEPhGNCjjAlHOG8mJ6Np7MI&#10;Z6yMjHFQ5yE8E1aTGFQUgmey7cLKGoNbYv3Qje1eQBgK/xTEYmMvpFKpnzKkx3HyJ7EbwwfQ4OJh&#10;qB2aCKalhKkWXxYPPs0PVsk6Vie3fLtdKU92LO5j+h3HvJUWW68ZdENeggaxgUn11NQkHBzeU/CS&#10;mVYJGicCTYkS2BiDQYAyaMDJ3BhtbX3Y+AjHE+5Usui4/3Fp/z6nrNObX/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0DtINUAAAAGAQAADwAAAAAAAAABACAAAAAiAAAAZHJzL2Rvd25yZXYueG1s&#10;UEsBAhQAFAAAAAgAh07iQGjp2Bw0AgAAOwQAAA4AAAAAAAAAAQAgAAAAJAEAAGRycy9lMm9Eb2Mu&#10;eG1sUEsFBgAAAAAGAAYAWQEAAMoFAAAAAA==&#10;">
                        <v:fill on="f" focussize="0,0"/>
                        <v:stroke weight="0.25pt" color="#000000 [3213]" joinstyle="round" endarrow="block" endarrowwidth="narrow" endarrowlength="short"/>
                        <v:imagedata o:title=""/>
                        <o:lock v:ext="edit" aspectratio="f"/>
                      </v:shape>
                      <v:shape id="_x0000_s1026" o:spid="_x0000_s1026" o:spt="202" type="#_x0000_t202" style="position:absolute;left:2656205;top:3189605;height:399415;width:497205;"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YFizEEgCAAB1BAAADgAAAGRycy9lMm9Eb2MueG1srVTB&#10;jtowEL1X6j9YvpcEFuiCCCu6iKrSqrsSrXo2jkMi2R7XNiT0A9o/2FMvvfe7+I6OncCibQ976MUZ&#10;e8Zv/J6fM7tplCR7YV0FOqP9XkqJ0BzySm8z+vnT6s01Jc4znTMJWmT0IBy9mb9+NavNVAygBJkL&#10;SxBEu2ltMlp6b6ZJ4ngpFHM9MEJjsgCrmMep3Sa5ZTWiK5kM0nSc1GBzY4EL53B12SZph2hfAghF&#10;UXGxBL5TQvsW1QrJPFJyZWUcncfTFoXg/r4onPBEZhSZ+jhiE4w3YUzmMzbdWmbKindHYC85wjNO&#10;ilUam56hlswzsrPVX1Cq4hYcFL7HQSUtkagIsuinz7RZl8yIyAWlduYsuvt/sPzj/sGSKs/oYDSg&#10;RDOFV358/HH8+fv46zsJiyhRbdwUK9cGa33zDho0zmnd4WJg3hRWhS9yIpgfjEfjQTqi5JDRq/71&#10;ZIxxFFs0nnAsGE7exjwPBZPJsB/zyROQsc6/F6BICDJq8S6jxGx/5zxCYempJPTVsKqkjC2kJnVG&#10;x1ejNG44Z3CH1Lgx0GmPHSLfbJqO4wbyA1K00PrEGb6qsPkdc/6BWTQG2gafjr/HoZCATaCLKCnB&#10;fvvXeqjH+8IsJTUaLaPu645ZQYn8oPEmJ/3hMDgzToYjFIUSe5nZXGb0Tt0CermPj9TwGIZ6L09h&#10;YUF9wRe2CF0xxTTH3hn1p/DWt/bHF8rFYhGL0IuG+Tu9NjxAt3Iudh6KKiodZGq16dRDN8YL6F5O&#10;sPvlPFY9/S3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qYrMd2AAAAAYBAAAPAAAAAAAAAAEA&#10;IAAAACIAAABkcnMvZG93bnJldi54bWxQSwECFAAUAAAACACHTuJAYFizEEgCAAB1BAAADgAAAAAA&#10;AAABACAAAAAnAQAAZHJzL2Uyb0RvYy54bWxQSwUGAAAAAAYABgBZAQAA4QUAAAAA&#10;">
                        <v:fill on="f" focussize="0,0"/>
                        <v:stroke on="f" weight="0.5pt"/>
                        <v:imagedata o:title=""/>
                        <o:lock v:ext="edit" aspectratio="f"/>
                        <v:textbox>
                          <w:txbxContent>
                            <w:p w14:paraId="2CDE4C6B">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皮带输送粉尘</w:t>
                              </w:r>
                            </w:p>
                          </w:txbxContent>
                        </v:textbox>
                      </v:shape>
                      <v:shape id="_x0000_s1026" o:spid="_x0000_s1026" o:spt="202" type="#_x0000_t202" style="position:absolute;left:2602230;top:3710940;height:230505;width:586105;"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JJ60gCAAB1BAAADgAAAGRycy9lMm9Eb2MueG1srVRL&#10;btswFNwX6B0I7hvJcuwkRuTATZCiQNAESIuuaYqyBPBXko6UHqC9QVfddN9z5RwdUnJipF1k0Q39&#10;yDeex5n3qNOzXklyJ5xvjS7p5CCnRGhuqlZvSvrp4+WbY0p8YLpi0mhR0nvh6dny9avTzi5EYRoj&#10;K+EISLRfdLakTQh2kWWeN0Ixf2Cs0EjWxikWsHWbrHKsA7uSWZHn86wzrrLOcOE9Ti+GJB0Z3UsI&#10;TV23XFwYvlVCh4HVCckCJPmmtZ4u023rWvBwXddeBCJLCqUhrSiCeB3XbHnKFhvHbNPy8QrsJVd4&#10;pkmxVqPoI9UFC4xsXfsXlWq5M97U4YAblQ1CkiNQMcmfeXPbMCuSFljt7aPp/v/R8g93N460VUmL&#10;2ZQSzRRa/vDj+8PP3w+/vpF4CIs66xdA3lpgQ//W9Bic3bnHYVTe107FX2giyBfzvCimsPm+pNOj&#10;SX5yOJot+kA4ALPj+SSfUcIBAHCGGJWyJyLrfHgnjCIxKKlDL5PF7O7KhwG6g8S62ly2UqZ+Sk26&#10;ks6nszz94TEDcqlRI8oZrh2j0K/7UePaVPeQ6MwwJ97yyxbFr5gPN8xhMKAHTydcY6mlQREzRpQ0&#10;xn3913nEo1/IUtJh0Erqv2yZE5TI9xqdPJkcwhoS0uZwdlRg4/Yz6/2M3qpzg1me4JFansKID3IX&#10;1s6oz3hhq1gVKaY5apc07MLzMIw/XigXq1UCYRYtC1f61vJIPdi52gZTt8npaNPgzegepjH1anw5&#10;cdz39wn19LVY/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qYrMd2AAAAAYBAAAPAAAAAAAAAAEA&#10;IAAAACIAAABkcnMvZG93bnJldi54bWxQSwECFAAUAAAACACHTuJA//JJ60gCAAB1BAAADgAAAAAA&#10;AAABACAAAAAnAQAAZHJzL2Uyb0RvYy54bWxQSwUGAAAAAAYABgBZAQAA4QUAAAAA&#10;">
                        <v:fill on="f" focussize="0,0"/>
                        <v:stroke on="f" weight="0.5pt"/>
                        <v:imagedata o:title=""/>
                        <o:lock v:ext="edit" aspectratio="f"/>
                        <v:textbox>
                          <w:txbxContent>
                            <w:p w14:paraId="4FDA5C0C">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提升粉尘</w:t>
                              </w:r>
                            </w:p>
                          </w:txbxContent>
                        </v:textbox>
                      </v:shape>
                      <v:shape id="_x0000_s1026" o:spid="_x0000_s1026" o:spt="202" type="#_x0000_t202" style="position:absolute;left:1278255;top:3900805;height:245745;width:476250;" filled="f" stroked="t" coordsize="21600,21600" o:gfxdata="UEsDBAoAAAAAAIdO4kAAAAAAAAAAAAAAAAAEAAAAZHJzL1BLAwQUAAAACACHTuJAQ4vKJ9cAAAAG&#10;AQAADwAAAGRycy9kb3ducmV2LnhtbE2PwU7DMBBE70j8g7VI3KiTqi1VGqcHRA9ICIkWUY5OvI0j&#10;7HWI3bTw9Sxc4DLSakYzb8v12Tsx4hC7QArySQYCqQmmo1bBy25zswQRkyajXSBU8IkR1tXlRakL&#10;E070jOM2tYJLKBZagU2pL6SMjUWv4yT0SOwdwuB14nNopRn0icu9k9MsW0ivO+IFq3u8s9i8b49e&#10;wePr/uN+8/SW7bF23Xx0t/bhq1bq+irPViASntNfGH7wGR0qZqrDkUwUTgE/kn6VvWU+XYCoOZTP&#10;5jOQVSn/41ffUEsDBBQAAAAIAIdO4kByh7BUXgIAAJ0EAAAOAAAAZHJzL2Uyb0RvYy54bWytVM1u&#10;EzEQviPxDpbvZDfbJG2jbqqQqggpopUK4ux4vVkL22NsJ7vhAegbcOLCnefqczD2Jm1UOPTAxZm/&#10;fPb3zcxeXHZaka1wXoIp6XCQUyIMh0qadUk/fbx+c0aJD8xUTIERJd0JTy9nr19dtHYqCmhAVcIR&#10;BDF+2tqSNiHYaZZ53gjN/ACsMJiswWkW0HXrrHKsRXStsiLPJ1kLrrIOuPAeo1d9ku4R3UsAoa4l&#10;F1fAN1qY0KM6oVhASr6R1tNZem1dCx5u6tqLQFRJkWlIJ16C9iqe2eyCTdeO2Uby/RPYS57wjJNm&#10;0uClj1BXLDCycfIvKC25Aw91GHDQWU8kKYIshvkzbe4aZkXiglJ7+yi6/3+w/MP21hFZlbQYjygx&#10;TGPLH37cP/z8/fDrO4lBlKi1foqVdxZrQ/cWOhycQ9xjMDLvaqfjL3IiMV+cnhXjMSW7kp6c5/lZ&#10;Pu7FFl0gHAtGp5NijG3gWFCMxqejlM+egKzz4Z0ATaJRUoe9TBKz7dIHfBSWHkrivQaupVKpn8qQ&#10;tqSTE4SPGQ9KVjEZnfiXhXJky3AiVorxL/FZiHVUhZ4yGIy0e3rRCt2q22uxgmqHUjjo58lbfi0R&#10;d8l8uGUOBwh54YqFGzxqBfgY2FuUNOC+/Sse67GvmKWkxYEsqf+6YU5Qot4b7Pj5cDSKE5wc1KtA&#10;xx1nVscZs9ELQIZDXGbLkxnrgzqYtQP9GTdxHm/FFDMc7y5pOJiL0K8JbjIX83kqwpm1LCzNneUR&#10;upd9vglQy9SRKFOvzV49nNok7n7D4loc+6nq6asy+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D&#10;i8on1wAAAAYBAAAPAAAAAAAAAAEAIAAAACIAAABkcnMvZG93bnJldi54bWxQSwECFAAUAAAACACH&#10;TuJAcoewVF4CAACdBAAADgAAAAAAAAABACAAAAAmAQAAZHJzL2Uyb0RvYy54bWxQSwUGAAAAAAYA&#10;BgBZAQAA9gUAAAAA&#10;">
                        <v:fill on="f" focussize="0,0"/>
                        <v:stroke weight="0.5pt" color="#000000 [3204]" joinstyle="round"/>
                        <v:imagedata o:title=""/>
                        <o:lock v:ext="edit" aspectratio="f"/>
                        <v:textbox>
                          <w:txbxContent>
                            <w:p w14:paraId="202F127D">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燃烧器</w:t>
                              </w:r>
                            </w:p>
                          </w:txbxContent>
                        </v:textbox>
                      </v:shape>
                      <v:shape id="_x0000_s1026" o:spid="_x0000_s1026" o:spt="33" type="#_x0000_t33" style="position:absolute;left:1760855;top:4023995;height:121920;width:311150;" filled="f" stroked="t" coordsize="21600,21600" o:gfxdata="UEsDBAoAAAAAAIdO4kAAAAAAAAAAAAAAAAAEAAAAZHJzL1BLAwQUAAAACACHTuJAsBU75dMAAAAG&#10;AQAADwAAAGRycy9kb3ducmV2LnhtbE2PT0vDQBDF74LfYRnBm92k1FDSbHpI8VowUXqdZsckmJ2N&#10;2e2/b+/oRWEYGN7jze8V26sb1ZnmMHg2kC4SUMSttwN3Bt6al6c1qBCRLY6eycCNAmzL+7sCc+sv&#10;/ErnOnZKQjjkaKCPccq1Dm1PDsPCT8SiffjZYZRz7rSd8SLhbtTLJMm0w4HlQ48TVT21n/XJGZiy&#10;3V6G6/3h0FTvX7ddlXWNMY8PabIBFeka/8zwgy/oUArT0Z/YBjUakCLxd4u2TpcZqKOY0tXzCnRZ&#10;6P/45TdQSwMEFAAAAAgAh07iQKEHcc4RAgAA5AMAAA4AAABkcnMvZTJvRG9jLnhtbK1TzW4TMRC+&#10;I/UdLN/J/pS0zSqbHpKWC4JI0AdwvN5dS/6Tx80mVx6AMycOSHDqKyCeBtrHYOwNLZRLD+zBO7Zn&#10;vpnvm/H8fKcV2QoP0pqaFpOcEmG4baTpanr17vL5GSUQmGmYskbUdC+Ani+Ons0HV4nS9lY1whME&#10;MVANrqZ9CK7KMuC90Awm1gmDl631mgXc+i5rPBsQXauszPOTbLC+cd5yAYCnq/GSHhD9UwBt20ou&#10;VpZfa2HCiOqFYgEpQS8d0EWqtm0FD2/aFkQgqqbINKQVk6C9iWu2mLOq88z1kh9KYE8p4REnzaTB&#10;pPdQKxYYufbyHygtubdg2zDhVmcjkaQIsijyR9q87ZkTiQtKDe5edPh/sPz1du2JbGpaTqeUGKax&#10;5XfvP/749vnu+6efH77c3nwl8QqFGhxU6L80a3/YgVv7yHrXeh3/yIfscKhOT/KzCLev6Yu8PJ7N&#10;UjyrxC4Qjg7HRVFMsQUcHYqymJWpEdkDkPMQXgqrSTRqusE2L60x2E7ryyQ0276CgGVg0G/nWIGx&#10;l1Kp1FVlyBBTnWIhnOGktjghaGqHbMF0lDDV4RPgwSdEsEo2MTrigO82S+XJlsXBSV+UALP95RZT&#10;rxj0o1+6GkcqMKkuTEPC3qGgwUtmOiVorAg0JUpgYjRGSGUQOao76hmtjW32SeZ0js1PuQ+DGqfr&#10;z32Kfnici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FTvl0wAAAAYBAAAPAAAAAAAAAAEAIAAA&#10;ACIAAABkcnMvZG93bnJldi54bWxQSwECFAAUAAAACACHTuJAoQdxzhECAADkAwAADgAAAAAAAAAB&#10;ACAAAAAiAQAAZHJzL2Uyb0RvYy54bWxQSwUGAAAAAAYABgBZAQAApQUAAAAA&#10;">
                        <v:fill on="f" focussize="0,0"/>
                        <v:stroke weight="0.25pt" color="#000000 [3213]" joinstyle="round" endarrow="block" endarrowwidth="narrow" endarrowlength="short"/>
                        <v:imagedata o:title=""/>
                        <o:lock v:ext="edit" aspectratio="f"/>
                      </v:shape>
                      <v:shape id="_x0000_s1026" o:spid="_x0000_s1026" o:spt="202" type="#_x0000_t202" style="position:absolute;left:621665;top:3907155;height:227330;width:499745;"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UJPVyUoCAAB0BAAADgAAAGRycy9lMm9Eb2MueG1srVTN&#10;jtowEL5X6jtYvpdA+CuIsKKLqCqtuivRqmfjOCSS7XFtQ0IfoH2DPfXSe5+L5+jYARZte9hDL87Y&#10;M56Z75vPmd00SpK9sK4CndFep0uJ0BzySm8z+vnT6s1bSpxnOmcStMjoQTh6M3/9alabqUihBJkL&#10;SzCJdtPaZLT03kyTxPFSKOY6YIRGZwFWMY9bu01yy2rMrmSSdrujpAabGwtcOIeny9ZJTxntSxJC&#10;UVRcLIHvlNC+zWqFZB4hubIyjs5jt0UhuL8vCic8kRlFpD6uWATtTViT+YxNt5aZsuKnFthLWniG&#10;SbFKY9FLqiXzjOxs9VcqVXELDgrf4aCSFkhkBFH0us+4WZfMiIgFqXbmQrr7f2n5x/2DJVWe0XQ4&#10;okQzhSM/Pv44/vx9/PWdhEOkqDZuipFrg7G+eQcNCud87vAwIG8Kq8IXMRH0j9LeaDSk5JDR/qQ7&#10;7g2HLdei8YSjfzCZjAfo5xiQpuN+P84iecpjrPPvBSgSjIxaHGVkmO3vnMeeMPQcEspqWFVSxnFK&#10;TWpsoD/sxgsXD96QGi8GNG3XwfLNpjlB3EB+QIQWWpk4w1cVFr9jzj8wi7pA1eDL8fe4FBKwCJws&#10;Skqw3/51HuJxXOilpEadZdR93TErKJEfNA5y0hsMgjDjZjAcp7ix157NtUfv1C2glHv4Rg2PZoj3&#10;8mwWFtQXfGCLUBVdTHOsnVF/Nm99q358oFwsFjEIpWiYv9Nrw0Pqls7FzkNRRaYDTS03J/ZQjHEA&#10;p4cT1H69j1FPP4v5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pisx3YAAAABgEAAA8AAAAAAAAA&#10;AQAgAAAAIgAAAGRycy9kb3ducmV2LnhtbFBLAQIUABQAAAAIAIdO4kBQk9XJSgIAAHQEAAAOAAAA&#10;AAAAAAEAIAAAACcBAABkcnMvZTJvRG9jLnhtbFBLBQYAAAAABgAGAFkBAADjBQAAAAA=&#10;">
                        <v:fill on="f" focussize="0,0"/>
                        <v:stroke on="f" weight="0.5pt"/>
                        <v:imagedata o:title=""/>
                        <o:lock v:ext="edit" aspectratio="f"/>
                        <v:textbox>
                          <w:txbxContent>
                            <w:p w14:paraId="69DDE117">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天然气</w:t>
                              </w:r>
                            </w:p>
                          </w:txbxContent>
                        </v:textbox>
                      </v:shape>
                      <v:shape id="_x0000_s1026" o:spid="_x0000_s1026" o:spt="32" type="#_x0000_t32" style="position:absolute;left:1121410;top:4020820;height:3175;width:156845;" filled="f" stroked="t" coordsize="21600,21600" o:gfxdata="UEsDBAoAAAAAAIdO4kAAAAAAAAAAAAAAAAAEAAAAZHJzL1BLAwQUAAAACACHTuJAEJ9ds9cAAAAG&#10;AQAADwAAAGRycy9kb3ducmV2LnhtbE2PQUvDQBCF74L/YRnBi9hN0lpLzKagIhQKBWt73+6OyWJ2&#10;NmS3afvvHb3o5cHwHu99Uy3PvhMjDtEFUpBPMhBIJlhHjYLdx9v9AkRMmqzuAqGCC0ZY1tdXlS5t&#10;ONE7jtvUCC6hWGoFbUp9KWU0LXodJ6FHYu8zDF4nPodG2kGfuNx3ssiyufTaES+0useXFs3X9ugV&#10;mLuNeYzFatyv/OvFTeV66p7XSt3e5NkTiITn9BeGH3xGh5qZDuFINopOAT+SfpW9RV7MQRw4lM8e&#10;ZiDrSv7Hr78BUEsDBBQAAAAIAIdO4kARSlENKwIAADAEAAAOAAAAZHJzL2Uyb0RvYy54bWytU82O&#10;0zAQviPxDpbvNEm37VZR0z20LBcElYAHmDpOYsl/sr39eQleAIkTcAJOe+dpYHkMxk66yy6XPZCD&#10;Nc7MfDPfN+PFxUFJsuPOC6MrWoxySrhmpha6rei7t5fP5pT4ALoGaTSv6JF7erF8+mSxtyUfm87I&#10;mjuCINqXe1vRLgRbZplnHVfgR8Zyjc7GOAUBr67Nagd7RFcyG+f5LNsbV1tnGPce/657Jx0Q3WMA&#10;TdMIxteGXSmuQ4/quISAlHwnrKfL1G3TcBZeN43ngciKItOQTiyC9jae2XIBZevAdoINLcBjWnjA&#10;SYHQWPQWag0ByJUT/0ApwZzxpgkjZlTWE0mKIIsif6DNmw4sT1xQam9vRff/D5a92m0cEXVFx9Nz&#10;SjQoHPnNh+tf7z/ffP/289P17x8fo/31C4kBKNfe+hKzVnrjImEfVgc9AMwoGoeKnvWycl3f+SaD&#10;r4i+7B5IvHjbwx0apyIsKkMQqSjGxaTAYR0rOsnH+Xw8jIwfAmExYDqbT6aUMAw4K86nCR3KE4x1&#10;PrzgRpFoVNQHB6LtwspojathXJGGBruXPsS2oDwlxB60uRRSpg2RmuyHAoQBbn2D24ZVlUXlvG4p&#10;Adnic2LBJURvpKhjdpLItduVdGQHcQnTN7R5LyyWXoPv+rjk6nUMIORzXZNwtDic4AToVnIaO/KK&#10;EsmxMBo9AakHeXtFo7ZbUx837iQ7LlJiOix93NS/7yn77qE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Qn12z1wAAAAYBAAAPAAAAAAAAAAEAIAAAACIAAABkcnMvZG93bnJldi54bWxQSwECFAAU&#10;AAAACACHTuJAEUpRDSsCAAAwBAAADgAAAAAAAAABACAAAAAmAQAAZHJzL2Uyb0RvYy54bWxQSwUG&#10;AAAAAAYABgBZAQAAwwUAAAAA&#10;">
                        <v:fill on="f" focussize="0,0"/>
                        <v:stroke weight="0.25pt" color="#000000 [3213]" joinstyle="round" endarrow="block" endarrowwidth="narrow" endarrowlength="short"/>
                        <v:imagedata o:title=""/>
                        <o:lock v:ext="edit" aspectratio="f"/>
                      </v:shape>
                      <v:shape id="_x0000_s1026" o:spid="_x0000_s1026" o:spt="202" type="#_x0000_t202" style="position:absolute;left:2512695;top:4064635;height:399415;width:810260;"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P9/0/EoCAAB1BAAADgAAAGRycy9lMm9Eb2MueG1srVTN&#10;bhMxEL4j8Q6W73R/moQm6qYKrYqQKlopIM6O19tdyX/YTnfLA8Ab9MSFO8/V5+CzN2mrwqEHLt7x&#10;zHhmvm9m9vhkUJLcCOc7oytaHOSUCM1N3enrin7+dP7miBIfmK6ZNFpU9FZ4erJ8/eq4twtRmtbI&#10;WjiCINovelvRNgS7yDLPW6GYPzBWaBgb4xQLuLrrrHasR3QlszLPZ1lvXG2d4cJ7aM9GI91FdC8J&#10;aJqm4+LM8K0SOoxRnZAsAJJvO+vpMlXbNIKHy6bxIhBZUSAN6UQSyJt4Zstjtrh2zLYd35XAXlLC&#10;M0yKdRpJH0KdscDI1nV/hVIdd8abJhxwo7IRSGIEKIr8GTfrllmRsIBqbx9I9/8vLP94c+VIV1e0&#10;nKLxmim0/P7ux/3P3/e/vpOoBEW99Qt4ri18w/DODBicvd5DGZEPjVPxC0wE9nJalLP5lJLbik7y&#10;2WR2OB3JFkMgHA5HRV7O0AYOh8P5fFIke/YYyDof3gujSBQq6tDLRDG7ufABRcF17xLzanPeSZn6&#10;KTXpK4qMeXrwYMELqfEwwhnLjlIYNsMO48bUt4DozDgn3vLzDskvmA9XzGEwUC9WJ1ziaKRBErOT&#10;KGmN+/YvffRHv2ClpMegVdR/3TInKJEfNDo5LyaTOJnpMpm+LXFxTy2bpxa9VacGs1xgSS1PYvQP&#10;ci82zqgv2LBVzAoT0xy5Kxr24mkYxx8bysVqlZwwi5aFC722PIYe6Vxtg2m6xHSkaeRmxx6mMTVg&#10;tzlx3J/ek9fj32L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pisx3YAAAABgEAAA8AAAAAAAAA&#10;AQAgAAAAIgAAAGRycy9kb3ducmV2LnhtbFBLAQIUABQAAAAIAIdO4kA/3/T8SgIAAHUEAAAOAAAA&#10;AAAAAAEAIAAAACcBAABkcnMvZTJvRG9jLnhtbFBLBQYAAAAABgAGAFkBAADjBQAAAAA=&#10;">
                        <v:fill on="f" focussize="0,0"/>
                        <v:stroke on="f" weight="0.5pt"/>
                        <v:imagedata o:title=""/>
                        <o:lock v:ext="edit" aspectratio="f"/>
                        <v:textbox>
                          <w:txbxContent>
                            <w:p w14:paraId="60546126">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烘干粉尘、天然气燃烧废气</w:t>
                              </w:r>
                            </w:p>
                          </w:txbxContent>
                        </v:textbox>
                      </v:shape>
                      <v:shape id="_x0000_s1026" o:spid="_x0000_s1026" o:spt="32" type="#_x0000_t32" style="position:absolute;left:2388870;top:4264660;flip:y;height:4445;width:123825;" filled="f" stroked="t" coordsize="21600,21600" o:gfxdata="UEsDBAoAAAAAAIdO4kAAAAAAAAAAAAAAAAAEAAAAZHJzL1BLAwQUAAAACACHTuJAYCpVodYAAAAG&#10;AQAADwAAAGRycy9kb3ducmV2LnhtbE2PzU7DMBCE70i8g7VI3Kid0p80xOkBiZ8Dh1J4ADfeJhH2&#10;OoqdtPD0LFzgMtJqRjPfltuzd2LCIXaBNGQzBQKpDrajRsP728NNDiImQ9a4QKjhEyNsq8uL0hQ2&#10;nOgVp31qBJdQLIyGNqW+kDLWLXoTZ6FHYu8YBm8Sn0Mj7WBOXO6dnCu1kt50xAut6fG+xfpjP3oN&#10;653rX9T4ONkubJ7y9e34/LVEra+vMnUHIuE5/YXhB5/RoWKmQxjJRuE08CPpV9nLs/kKxIFD2WK5&#10;AFmV8j9+9Q1QSwMEFAAAAAgAh07iQAui0Kg5AgAAPAQAAA4AAABkcnMvZTJvRG9jLnhtbK1TS24U&#10;MRDdI3EHy3ump3s+GVrTk8UMYYMgEp+9x+3utuSfXM58LsEFkFgBK2CVPaeBcAzK7k5CwiYLZtEq&#10;T1W9qvf8vDw9aEV2woO0pqL5aEyJMNzW0rQVffvm7MmCEgjM1ExZIyp6FEBPV48fLfeuFIXtrKqF&#10;JwhioNy7inYhuDLLgHdCMxhZJwwmG+s1C3j0bVZ7tkd0rbJiPJ5ne+tr5y0XAPjvpk/SAdE/BNA2&#10;jeRiY/mFFib0qF4oFpASdNIBXaVtm0bw8KppQASiKopMQ/riEIy38ZutlqxsPXOd5MMK7CEr3OOk&#10;mTQ49AZqwwIjF17+A6Ul9xZsE0bc6qwnkhRBFvn4njavO+ZE4oJSg7sRHf4fLH+5O/dE1hUtZk8p&#10;MUzjlV99uPz1/vPV928/P13+/vExxl+/kFiAcu0dlNi1Nuc+EoawPpgEkE9QVFkfKjrpZRWmvs4V&#10;M3RVyuUxl90BiQdwPdyh8Zo0Srp36M2kKGpEELOYLBaLE5xwrOi0mE/n8+HyxCEQjgU5VhQzSngs&#10;mE5naQ4rI2Dc03kIz4XVJAYVheCZbLuwtsagSazvh7HdCwhxwduG2GzsmVQqeUUZskeG+UkcxdD/&#10;DfoOQ+1QQzAtJUy1+LB48Gl9sErWsTuJ5dvtWnmyY9GO6Teseacsrrhh0PV1NUYbG3pNA5PqmalJ&#10;ODq8qOAlM60SNO4EmhIlcDQGPQVlBql7daPOW1sfz/31FaCpEtfhAUTX/n1O3bePfvU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YCpVodYAAAAGAQAADwAAAAAAAAABACAAAAAiAAAAZHJzL2Rvd25y&#10;ZXYueG1sUEsBAhQAFAAAAAgAh07iQAui0Kg5AgAAPAQAAA4AAAAAAAAAAQAgAAAAJQEAAGRycy9l&#10;Mm9Eb2MueG1sUEsFBgAAAAAGAAYAWQEAANAFAAAAAA==&#10;">
                        <v:fill on="f" focussize="0,0"/>
                        <v:stroke weight="0.25pt" color="#000000 [3213]" joinstyle="round" dashstyle="dashDot" endarrow="block" endarrowwidth="narrow" endarrowlength="short"/>
                        <v:imagedata o:title=""/>
                        <o:lock v:ext="edit" aspectratio="f"/>
                      </v:shape>
                      <v:shape id="_x0000_s1026" o:spid="_x0000_s1026" o:spt="202" type="#_x0000_t202" style="position:absolute;left:3766820;top:4060190;height:393065;width:1172845;"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a7KYMkoCAAB2BAAADgAAAGRycy9lMm9Eb2MueG1srVTN&#10;btswDL4P2DsIuq+28+OkQZwia9FhQLAW6IadFVmODUiiJim1uwfY3mCnXXbfc/U5RslOGnQ79LCL&#10;QpHMR30fSS8vOiXJvbCuAV3Q7CylRGgOZaN3Bf308frNnBLnmS6ZBC0K+iAcvVi9frVszUKMoAZZ&#10;CksQRLtFawpae28WSeJ4LRRzZ2CExmAFVjGPV7tLSstaRFcyGaVpnrRgS2OBC+fQe9UH6YBoXwII&#10;VdVwcQV8r4T2PaoVknmk5OrGOLqKr60qwf1NVTnhiSwoMvXxxCJob8OZrJZssbPM1A0fnsBe8oRn&#10;nBRrNBY9Ql0xz8jeNn9BqYZbcFD5Mw4q6YlERZBFlj7T5q5mRkQuKLUzR9Hd/4PlH+5vLWnKgo5y&#10;1EQzhS1//PH98efvx1/fSHCiRK1xC8y8M5jru7fQ4eAc/A6dgXlXWRV+kRPB+HiW5/MRQj4UdJLm&#10;aXY+iC06T3gAyGaj+WRKCceM8fk4zacBMnlCMtb5dwIUCUZBLTYzaszuN873qYeUUFjDdSNlbKjU&#10;pC1oPp6m8Q/HCIJLjTUCn/7dwfLdthtIbqF8QI4W+kFxhl83WHzDnL9lFicDCeHu+Bs8KglYBAaL&#10;khrs13/5Qz42DKOUtDhpBXVf9swKSuR7ja08zyYThPXxMpnOgmj2NLI9jei9ugQc5gy31PBohnwv&#10;D2ZlQX3GFVuHqhhimmPtgvqDeen7+ccV5WK9jkk4jIb5jb4zPED3cq73HqomKh1k6rUZ1MNxjL0a&#10;VifM++k9Zj19Ll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pisx3YAAAABgEAAA8AAAAAAAAA&#10;AQAgAAAAIgAAAGRycy9kb3ducmV2LnhtbFBLAQIUABQAAAAIAIdO4kBrspgySgIAAHYEAAAOAAAA&#10;AAAAAAEAIAAAACcBAABkcnMvZTJvRG9jLnhtbFBLBQYAAAAABgAGAFkBAADjBQAAAAA=&#10;">
                        <v:fill on="f" focussize="0,0"/>
                        <v:stroke on="f" weight="0.5pt"/>
                        <v:imagedata o:title=""/>
                        <o:lock v:ext="edit" aspectratio="f"/>
                        <v:textbox>
                          <w:txbxContent>
                            <w:p w14:paraId="131B8764">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0-4.75mm、4.75-9.5mm、9.5-19mm、19-31.5mm</w:t>
                              </w:r>
                            </w:p>
                          </w:txbxContent>
                        </v:textbox>
                      </v:shape>
                      <v:shape id="_x0000_s1026" o:spid="_x0000_s1026" o:spt="202" type="#_x0000_t202" style="position:absolute;left:2118995;top:4802505;height:229235;width:962025;"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79XPxkoCAAB1BAAADgAAAGRycy9lMm9Eb2MueG1srVTN&#10;bhMxEL4j8Q6W72R/moQkyqYKrYKQKlqpIM6O1+6uZHuM7XS3PAC8QU9cuPNcfQ7G3qSNCoceuGzG&#10;M+OZ+b75nOVprxW5Fc63YCpajHJKhOFQt+amop8/bd7MKPGBmZopMKKid8LT09XrV8vOLkQJDaha&#10;OIJFjF90tqJNCHaRZZ43QjM/AisMBiU4zQIe3U1WO9Zhda2yMs+nWQeutg648B6950OQ7iu6lxQE&#10;KVsuzoHvtDBhqOqEYgEh+aa1nq7StFIKHi6l9CIQVVFEGtIXm6C9jd9stWSLG8ds0/L9COwlIzzD&#10;pFlrsOljqXMWGNm59q9SuuUOPMgw4qCzAUhiBFEU+TNurhtmRcKCVHv7SLr/f2X5x9srR9q6ouW0&#10;oMQwjSt/uP/x8PP3w6/vJDqRos76BWZeW8wN/TvoUTgHv0dnRN5Lp+MvYiIYL4tiNp9PKLmr6HiW&#10;l5N8MpAt+kA4JsynJXop4ZhQlvPyJMWzp0LW+fBegCbRqKjDXSaK2e2FDzgUph5SYl8Dm1aptE9l&#10;SFfR6ckkTxceI3hDGbwY4QxjRyv0236PcQv1HUJ0MOjEW75psfkF8+GKORQGygafTrjEj1SATWBv&#10;UdKA+/Yvf8zHfWGUkg6FVlH/dcecoER9MLjJeTEeR2Wmw3jytsSDO45sjyNmp88AtYy7wumSGfOD&#10;OpjSgf6CL2wdu2KIGY69KxoO5lkY5I8vlIv1OiWhFi0LF+ba8lh6oHO9CyDbxHSkaeBmzx6qMS1g&#10;/3Ki3I/PKevp32L1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pisx3YAAAABgEAAA8AAAAAAAAA&#10;AQAgAAAAIgAAAGRycy9kb3ducmV2LnhtbFBLAQIUABQAAAAIAIdO4kDv1c/GSgIAAHUEAAAOAAAA&#10;AAAAAAEAIAAAACcBAABkcnMvZTJvRG9jLnhtbFBLBQYAAAAABgAGAFkBAADjBQAAAAA=&#10;">
                        <v:fill on="f" focussize="0,0"/>
                        <v:stroke on="f" weight="0.5pt"/>
                        <v:imagedata o:title=""/>
                        <o:lock v:ext="edit" aspectratio="f"/>
                        <v:textbox>
                          <w:txbxContent>
                            <w:p w14:paraId="35EA0506">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0-13mm、13-25mm</w:t>
                              </w:r>
                            </w:p>
                          </w:txbxContent>
                        </v:textbox>
                      </v:shape>
                      <v:shape id="_x0000_s1026" o:spid="_x0000_s1026" o:spt="202" type="#_x0000_t202" style="position:absolute;left:2628900;top:4539615;height:269240;width:591185;"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x/N9KksCAAB1BAAADgAAAGRycy9lMm9Eb2MueG1srVTN&#10;btswDL4P2DsIuq+O3SRLgjhF1qLDgGIt0A07K7JcG9DfJKV29wDbG/S0y+57rj7HPslJG3Q79LCL&#10;TJEUye8j6eVJryS5Fc63Rpc0PxpRIjQ3VatvSvr50/mbGSU+MF0xabQo6Z3w9GT1+tWyswtRmMbI&#10;SjiCINovOlvSJgS7yDLPG6GYPzJWaBhr4xQLuLqbrHKsQ3Qls2I0mmadcZV1hgvvoT0bjHQX0b0k&#10;oKnrloszw7dK6DBEdUKyAEi+aa2nq1RtXQseLuvai0BkSYE0pBNJIG/ima2WbHHjmG1aviuBvaSE&#10;Z5gUazWSPoY6Y4GRrWv/CqVa7ow3dTjiRmUDkMQIUOSjZ9xcN8yKhAVUe/tIuv9/YfnH2ytH2qqk&#10;xbSgRDOFlj/c/3j4+fvh13cSlaCos34Bz2sL39C/Mz0GZ6/3UEbkfe1U/AITgR0vZ/MRaL4r6Xhy&#10;PJ/mk4Fs0QfC4TCZ5/lsQgmHQzGdF+PUjOwpkHU+vBdGkSiU1KGXiWJ2e+EDioLr3iXm1ea8lTL1&#10;U2rSlXR6PBmlB48WvJAaDyOcoewohX7T7zBuTHUHiM4Mc+ItP2+R/IL5cMUcBgN4sDrhEkctDZKY&#10;nURJY9y3f+mjP/oFKyUdBq2k/uuWOUGJ/KDRyXk+BnQS0mU8eVvg4g4tm0OL3qpTg1nOsaSWJzH6&#10;B7kXa2fUF2zYOmaFiWmO3CUNe/E0DOOPDeVivU5OmEXLwoW+tjyGHuhcb4Op28R0pGngZscepjE1&#10;YLc5cdwP78nr6W+x+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qYrMd2AAAAAYBAAAPAAAAAAAA&#10;AAEAIAAAACIAAABkcnMvZG93bnJldi54bWxQSwECFAAUAAAACACHTuJAx/N9KksCAAB1BAAADgAA&#10;AAAAAAABACAAAAAnAQAAZHJzL2Uyb0RvYy54bWxQSwUGAAAAAAYABgBZAQAA5AUAAAAA&#10;">
                        <v:fill on="f" focussize="0,0"/>
                        <v:stroke on="f" weight="0.5pt"/>
                        <v:imagedata o:title=""/>
                        <o:lock v:ext="edit" aspectratio="f"/>
                        <v:textbox>
                          <w:txbxContent>
                            <w:p w14:paraId="4E06ED6E">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筛分粉尘</w:t>
                              </w:r>
                            </w:p>
                          </w:txbxContent>
                        </v:textbox>
                      </v:shape>
                      <v:shape id="_x0000_s1026" o:spid="_x0000_s1026" o:spt="32" type="#_x0000_t32" style="position:absolute;left:2402840;top:4674235;flip:y;height:3810;width:226060;" filled="f" stroked="t" coordsize="21600,21600" o:gfxdata="UEsDBAoAAAAAAIdO4kAAAAAAAAAAAAAAAAAEAAAAZHJzL1BLAwQUAAAACACHTuJAYCpVodYAAAAG&#10;AQAADwAAAGRycy9kb3ducmV2LnhtbE2PzU7DMBCE70i8g7VI3Kid0p80xOkBiZ8Dh1J4ADfeJhH2&#10;OoqdtPD0LFzgMtJqRjPfltuzd2LCIXaBNGQzBQKpDrajRsP728NNDiImQ9a4QKjhEyNsq8uL0hQ2&#10;nOgVp31qBJdQLIyGNqW+kDLWLXoTZ6FHYu8YBm8Sn0Mj7WBOXO6dnCu1kt50xAut6fG+xfpjP3oN&#10;653rX9T4ONkubJ7y9e34/LVEra+vMnUHIuE5/YXhB5/RoWKmQxjJRuE08CPpV9nLs/kKxIFD2WK5&#10;AFmV8j9+9Q1QSwMEFAAAAAgAh07iQGTAbxM7AgAAPAQAAA4AAABkcnMvZTJvRG9jLnhtbK1TzY7T&#10;MBC+I/EOlu80bdrNlqjpHlqWC4JK/NynjpNY8p9sb9O+BC+AxAk4Aae98zSwPAZjp/vDctkDOVjj&#10;zMw3830zXpztlSQ77rwwuqKT0ZgSrpmphW4r+vbN+ZM5JT6ArkEazSt64J6eLR8/WvS25LnpjKy5&#10;IwiifdnbinYh2DLLPOu4Aj8ylmt0NsYpCHh1bVY76BFdySwfj4usN662zjDuPf5dD056RHQPATRN&#10;IxhfG3ahuA4DquMSAlLynbCeLlO3TcNZeNU0ngciK4pMQzqxCNrbeGbLBZStA9sJdmwBHtLCPU4K&#10;hMaiN1BrCEAunPgHSgnmjDdNGDGjsoFIUgRZTMb3tHndgeWJC0rt7Y3o/v/Bspe7jSOirmheTCnR&#10;oHDkVx8uf73/fPX9289Pl79/fIz21y8kBqBcvfUlZq30xkXCPqz2OgFM8qcUjX1FUxyUXNfXvrzI&#10;j75JxMj+AokXbwe4feMUaaSw73A3k6KoEUHMfDbO5zMc26Gis+J0lk9PhuHxfSAsBuTFuEA/w4Dp&#10;fJJGm0EZAWOf1vnwnBtFolFRHxyItgsrozUuiXFDMdi98CE2eJsQk7U5F1KmXZGa9FhgcnqCpQD3&#10;v8G9Q1NZ1NDrlhKQLT4sFlxq3xsp6pidxHLtdiUd2UFcx/QlOVDGu2GxxTX4boir0VqbMLANIOQz&#10;XZNwsDio4AToVnIae/KKEsmxNBoDBamPUg/qRp23pj5s3PUIcKkS1+MDiFt7956ybx/9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gKlWh1gAAAAYBAAAPAAAAAAAAAAEAIAAAACIAAABkcnMvZG93&#10;bnJldi54bWxQSwECFAAUAAAACACHTuJAZMBvEzsCAAA8BAAADgAAAAAAAAABACAAAAAlAQAAZHJz&#10;L2Uyb0RvYy54bWxQSwUGAAAAAAYABgBZAQAA0gUAAAAA&#10;">
                        <v:fill on="f" focussize="0,0"/>
                        <v:stroke weight="0.25pt" color="#000000 [3213]" joinstyle="round" dashstyle="dashDot" endarrow="block" endarrowwidth="narrow" endarrowlength="short"/>
                        <v:imagedata o:title=""/>
                        <o:lock v:ext="edit" aspectratio="f"/>
                      </v:shape>
                      <v:shape id="_x0000_s1026" o:spid="_x0000_s1026" o:spt="202" type="#_x0000_t202" style="position:absolute;left:4259580;top:6003925;height:392430;width:734695;"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fGZFsUoCAAB1BAAADgAAAGRycy9lMm9Eb2MueG1srVTN&#10;btswDL4P2DsIuq92EidtgjpF1qLDgGIt0A07K7IcG9DfJKV29wDbG+y0y+57rj7HPslJG3Q79LCL&#10;TJEUye8j6dOzXklyJ5xvjS7p6CinRGhuqlZvSvrp4+WbE0p8YLpi0mhR0nvh6dny9avTzi7E2DRG&#10;VsIRBNF+0dmSNiHYRZZ53gjF/JGxQsNYG6dYwNVtssqxDtGVzMZ5Pss64yrrDBfeQ3sxGOkuontJ&#10;QFPXLRcXhm+V0GGI6oRkAZB801pPl6nauhY8XNe1F4HIkgJpSCeSQF7HM1uessXGMdu0fFcCe0kJ&#10;zzAp1mokfQx1wQIjW9f+FUq13Blv6nDEjcoGIIkRoBjlz7i5bZgVCQuo9vaRdP//wvIPdzeOtFVJ&#10;x7OCEs0UWv7w4/vDz98Pv76RqARFnfULeN5a+Ib+rekxOHu9hzIi72un4heYCOzFeDqfnoDm+5LO&#10;8nwyH08HskUfCIfD8aSYzaeUcDjAWkxSM7KnQNb58E4YRaJQUodeJorZ3ZUPKAque5eYV5vLVsrU&#10;T6lJh6yTaZ4ePFrwQmo8jHCGsqMU+nW/w7g21T0gOjPMibf8skXyK+bDDXMYDODB6oRrHLU0SGJ2&#10;EiWNcV//pY/+6BeslHQYtJL6L1vmBCXyvUYn56OiiJOZLsX0eIyLO7SsDy16q84NZnmEJbU8idE/&#10;yL1YO6M+Y8NWMStMTHPkLmnYi+dhGH9sKBerVXLCLFoWrvSt5TH0QOdqG0zdJqYjTQM3O/YwjakB&#10;u82J4354T15Pf4vl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pisx3YAAAABgEAAA8AAAAAAAAA&#10;AQAgAAAAIgAAAGRycy9kb3ducmV2LnhtbFBLAQIUABQAAAAIAIdO4kB8ZkWxSgIAAHUEAAAOAAAA&#10;AAAAAAEAIAAAACcBAABkcnMvZTJvRG9jLnhtbFBLBQYAAAAABgAGAFkBAADjBQAAAAA=&#10;">
                        <v:fill on="f" focussize="0,0"/>
                        <v:stroke on="f" weight="0.5pt"/>
                        <v:imagedata o:title=""/>
                        <o:lock v:ext="edit" aspectratio="f"/>
                        <v:textbox>
                          <w:txbxContent>
                            <w:p w14:paraId="77D5CC6E">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搅拌废气、拌合残渣</w:t>
                              </w:r>
                            </w:p>
                          </w:txbxContent>
                        </v:textbox>
                      </v:shape>
                      <v:shape id="_x0000_s1026" o:spid="_x0000_s1026" o:spt="32" type="#_x0000_t32" style="position:absolute;left:4035425;top:6200140;flip:y;height:4445;width:224155;" filled="f" stroked="t" coordsize="21600,21600" o:gfxdata="UEsDBAoAAAAAAIdO4kAAAAAAAAAAAAAAAAAEAAAAZHJzL1BLAwQUAAAACACHTuJAYCpVodYAAAAG&#10;AQAADwAAAGRycy9kb3ducmV2LnhtbE2PzU7DMBCE70i8g7VI3Kid0p80xOkBiZ8Dh1J4ADfeJhH2&#10;OoqdtPD0LFzgMtJqRjPfltuzd2LCIXaBNGQzBQKpDrajRsP728NNDiImQ9a4QKjhEyNsq8uL0hQ2&#10;nOgVp31qBJdQLIyGNqW+kDLWLXoTZ6FHYu8YBm8Sn0Mj7WBOXO6dnCu1kt50xAut6fG+xfpjP3oN&#10;653rX9T4ONkubJ7y9e34/LVEra+vMnUHIuE5/YXhB5/RoWKmQxjJRuE08CPpV9nLs/kKxIFD2WK5&#10;AFmV8j9+9Q1QSwMEFAAAAAgAh07iQMd8Thw4AgAAPAQAAA4AAABkcnMvZTJvRG9jLnhtbK1TvY7U&#10;MBDukXgHyz2bTS67oGizV+xyNAhO4qeftZ3Ekv9k+za7L8ELIFEBFVBdz9PA8RiMk9zBHc0VpIhm&#10;PDPfzPd5vDo9aEX2wgdpTU3z2ZwSYZjl0rQ1ffP67NETSkIEw0FZI2p6FIGerh8+WPWuEoXtrOLC&#10;EwQxoepdTbsYXZVlgXVCQ5hZJwwGG+s1RHR9m3EPPaJrlRXz+TLrrefOWyZCwNPtGKQTor8PoG0a&#10;ycTWsgstTBxRvVAQkVLopAt0PUzbNILFl00TRCSqpsg0Dn9sgvYu/bP1CqrWg+skm0aA+4xwh5MG&#10;abDpDdQWIpALL/+B0pJ5G2wTZ8zqbCQyKIIs8vkdbV514MTABaUO7kb08P9g2Yv9uSeS17RYLigx&#10;oPHKr95f/nz36erb1x8fL399/5DsL59JSkC5ehcqrNqYc58Ih7g5mAEgLxFA8kNNT0ZZheHXsWJZ&#10;TrE8xbJbIMkJboQ7NF6TRkn3FndzUBQ1IohZzk8WZYEdjjVd4h7l5XR54hAJw4SiKPMFxhkmlCXO&#10;kvpAlQDTnM6H+ExYTZJR0xA9yLaLG2sMLon1YzPYPw9xLLwuSMXGnkml8BwqZUiPDPPHqRXg/je4&#10;d2hqhxoG01ICqsWHxaIfxg9WSZ6qB7F8u9soT/aQ1nH4pjFvpaXWWwjdmMfR2to4ahpBqqeGk3h0&#10;eFHRSzCtEjTNFDQlSmBrNEYKykxSj+omnXeWH899CicPl2oQaXoAaWv/9oesP49+/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gKlWh1gAAAAYBAAAPAAAAAAAAAAEAIAAAACIAAABkcnMvZG93bnJl&#10;di54bWxQSwECFAAUAAAACACHTuJAx3xOHDgCAAA8BAAADgAAAAAAAAABACAAAAAlAQAAZHJzL2Uy&#10;b0RvYy54bWxQSwUGAAAAAAYABgBZAQAAzwUAAAAA&#10;">
                        <v:fill on="f" focussize="0,0"/>
                        <v:stroke weight="0.25pt" color="#000000 [3213]" joinstyle="round" dashstyle="dashDot" endarrow="block" endarrowwidth="narrow" endarrowlength="short"/>
                        <v:imagedata o:title=""/>
                        <o:lock v:ext="edit" aspectratio="f"/>
                      </v:shape>
                      <v:shape id="_x0000_s1026" o:spid="_x0000_s1026" o:spt="32" type="#_x0000_t32" style="position:absolute;left:1755775;top:6204585;flip:y;height:1905;width:1866900;" filled="f" stroked="t" coordsize="21600,21600" o:gfxdata="UEsDBAoAAAAAAIdO4kAAAAAAAAAAAAAAAAAEAAAAZHJzL1BLAwQUAAAACACHTuJAq0DtINUAAAAG&#10;AQAADwAAAGRycy9kb3ducmV2LnhtbE2PzU7DMBCE70i8g7VI3KiTqq1KiNMDEhJCvTT8nJ14SQLx&#10;OsTbNH17Fi5wGWk1o5lv893sezXhGLtABtJFAgqpDq6jxsDL88PNFlRkS872gdDAGSPsisuL3GYu&#10;nOiAU8mNkhKKmTXQMg+Z1rFu0du4CAOSeO9h9JblHBvtRnuSct/rZZJstLcdyUJrB7xvsf4sj97A&#10;hNXr457n2/gx0xt97ctzeCqNub5KkztQjDP/heEHX9ChEKYqHMlF1RuQR/hXxdumyw2oSkLpar0C&#10;XeT6P37xDVBLAwQUAAAACACHTuJACxA1qTcCAAA7BAAADgAAAGRycy9lMm9Eb2MueG1srVPNbhMx&#10;EL4j8Q6W72Q3abNJo2x6SCgXBJX4uTte764l/8njZpOX4AWQOAEn4NQ7TwPlMRh7l7SUSw/ksBpn&#10;Zr75vs/j5fleK7ITHqQ1JR2PckqE4baSpinpm9cXT+aUQGCmYsoaUdKDAHq+evxo2bmFmNjWqkp4&#10;giAGFp0raRuCW2QZ8FZoBiPrhMFkbb1mAY++ySrPOkTXKpvkeZF11lfOWy4A8N9Nn6QDon8IoK1r&#10;ycXG8istTOhRvVAsoCRopQO6SmzrWvDwsq5BBKJKikpD+uIQjLfxm62WbNF45lrJBwrsIRTuadJM&#10;Ghx6hNqwwMiVl/9Aacm9BVuHEbc664UkR1DFOL/nzauWOZG0oNXgjqbD/4PlL3aXnsiqpJOioMQw&#10;jVd+8/7657tPN9++/vh4/ev7hxh/+UxiAdrVOVhg19pc+igYwnpvEsD4ZEYx2Jf0pLdVmOqYO50O&#10;uXHMZX+BxAO4Hm5fe01qJd1b3M3kKHpEEHM8m05nM0Q5lLSY5KfT+XSYsg+Ex4J5UZzleK8cK8Zn&#10;eUpnbBERI1HnITwTVpMYlBSCZ7Jpw9oag1tifT+N7Z5DiAxvG2KzsRdSqbQsypAOJSIfHMXwAdS4&#10;eBhqhyaCaShhqsGXxYNP/MEqWcXu5JZvtmvlyY7FfUy/5Af6eLcsUtwwaPu6lOrFBibVU1ORcHB4&#10;T8FLZholaGQEmhIlcDAGvQBlBqd7c6PNW1sdLv2fG8CdSkqH/Y9Le/ecum/f/O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0DtINUAAAAGAQAADwAAAAAAAAABACAAAAAiAAAAZHJzL2Rvd25yZXYu&#10;eG1sUEsBAhQAFAAAAAgAh07iQAsQNak3AgAAOwQAAA4AAAAAAAAAAQAgAAAAJAEAAGRycy9lMm9E&#10;b2MueG1sUEsFBgAAAAAGAAYAWQEAAM0FAAAAAA==&#10;">
                        <v:fill on="f" focussize="0,0"/>
                        <v:stroke weight="0.25pt" color="#000000 [3213]" joinstyle="round" endarrow="block" endarrowwidth="narrow" endarrowlength="short"/>
                        <v:imagedata o:title=""/>
                        <o:lock v:ext="edit" aspectratio="f"/>
                      </v:shape>
                      <v:shape id="_x0000_s1026" o:spid="_x0000_s1026" o:spt="33" type="#_x0000_t33" style="position:absolute;left:2472690;top:5054600;flip:y;height:1424305;width:875030;rotation:-5898240f;" filled="f" stroked="t" coordsize="21600,21600" o:gfxdata="UEsDBAoAAAAAAIdO4kAAAAAAAAAAAAAAAAAEAAAAZHJzL1BLAwQUAAAACACHTuJAkGfTZtQAAAAG&#10;AQAADwAAAGRycy9kb3ducmV2LnhtbE2PwU7DMBBE70j8g7VI3KjjqFRRiNNDpdxAQCn3bewmUe11&#10;FLtNy9ezcIHLSKsZzbyt1hfvxNlOcQikQS0yEJbaYAbqNOw+mocCRExIBl0gq+FqI6zr25sKSxNm&#10;erfnbeoEl1AsUUOf0lhKGdveeoyLMFpi7xAmj4nPqZNmwpnLvZN5lq2kx4F4ocfRbnrbHrcnr2Fq&#10;Dq8qz4nm0X3RZ4PF9e3lWev7O5U9gUj2kv7C8IPP6FAz0z6cyEThNPAj6VfZK1S+ArHnkFo+LkHW&#10;lfyPX38DUEsDBBQAAAAIAIdO4kA+NUmVOQIAAEEEAAAOAAAAZHJzL2Uyb0RvYy54bWytU7uOEzEU&#10;7ZH4B8s9mUcmyTLKZIuEpUEQiUfveDwzlvyS7c0kLR9ATUWBBBW/gPgaYD+DazvasEuzBVNY13Ou&#10;z73n+Hp5eZAC7Zl1XKsGF5McI6aobrnqG/z2zdWTC4ycJ6olQivW4CNz+HL1+NFyNDUr9aBFyywC&#10;EuXq0TR48N7UWebowCRxE22YArDTVhIPW9tnrSUjsEuRlXk+z0ZtW2M1Zc7B300C8YnRPoRQdx2n&#10;bKPptWTKJ1bLBPEgyQ3cOLyK3XYdo/5V1znmkWgwKPVxhSIQ78KarZak7i0xA6enFshDWrinSRKu&#10;oOgt1YZ4gq4t/4dKcmq1052fUC2zJCQ6AiqK/J43rwdiWNQCVjtza7r7f7T05X5rEW8bXM4XGCki&#10;4cpv3n/8+f3zzY9Pvz58+f3tKwoQGDUaV0P+Wm1tkOr8+qDi0aKaYwgOQJIMZao9Y7MTVgQsu0MS&#10;Ns4kukNnJbIabmhW5eHDqBPcvIMZjc6CVyhUqBbl/CmAR0jMZ9UcEuMlsoNHFBIuFrN8CjiFhKIq&#10;q2k+i4VJHSqExo11/jnTEoWgwTuYobVWCmZF2zLWIvsXzoduz8nhoNJXXIhYTSg0NnhaLEAdJfAM&#10;Ohg/CKUBK53qMSKih/dFvY2MTgvehtPROdvv1sKiPQlTmcSmanfSQnsb4oaUF6Ek1RMunqkW+aOB&#10;2/KWE9ULhkNHTmIkGBSGIFEKdXI9GR0s3+n2uLUBDjuYrKj09ArC6P69j1nnl7/6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Bn02bUAAAABgEAAA8AAAAAAAAAAQAgAAAAIgAAAGRycy9kb3ducmV2&#10;LnhtbFBLAQIUABQAAAAIAIdO4kA+NUmVOQIAAEEEAAAOAAAAAAAAAAEAIAAAACMBAABkcnMvZTJv&#10;RG9jLnhtbFBLBQYAAAAABgAGAFkBAADOBQAAAAA=&#10;">
                        <v:fill on="f" focussize="0,0"/>
                        <v:stroke weight="0.25pt" color="#000000 [3213]" joinstyle="round" endarrow="block" endarrowwidth="narrow" endarrowlength="short"/>
                        <v:imagedata o:title=""/>
                        <o:lock v:ext="edit" aspectratio="f"/>
                      </v:shape>
                      <v:shape id="_x0000_s1026" o:spid="_x0000_s1026" o:spt="202" type="#_x0000_t202" style="position:absolute;left:2540000;top:6454775;height:245745;width:588645;" filled="f" stroked="t" coordsize="21600,21600" o:gfxdata="UEsDBAoAAAAAAIdO4kAAAAAAAAAAAAAAAAAEAAAAZHJzL1BLAwQUAAAACACHTuJAQ4vKJ9cAAAAG&#10;AQAADwAAAGRycy9kb3ducmV2LnhtbE2PwU7DMBBE70j8g7VI3KiTqi1VGqcHRA9ICIkWUY5OvI0j&#10;7HWI3bTw9Sxc4DLSakYzb8v12Tsx4hC7QArySQYCqQmmo1bBy25zswQRkyajXSBU8IkR1tXlRakL&#10;E070jOM2tYJLKBZagU2pL6SMjUWv4yT0SOwdwuB14nNopRn0icu9k9MsW0ivO+IFq3u8s9i8b49e&#10;wePr/uN+8/SW7bF23Xx0t/bhq1bq+irPViASntNfGH7wGR0qZqrDkUwUTgE/kn6VvWU+XYCoOZTP&#10;5jOQVSn/41ffUEsDBBQAAAAIAIdO4kDTnSfNWwIAAJ0EAAAOAAAAZHJzL2Uyb0RvYy54bWytVM1u&#10;EzEQviPxDpbvdJOQtCHqpgqtipAqWqkgzo7X27XwH7aT3fIA9A04ceHOc/U5+OzdtFHh0AM5bMae&#10;b2fm+2Zmj086rchW+CCtKen4YESJMNxW0tyU9NPH81dzSkJkpmLKGlHSWxHoyfLli+PWLcTENlZV&#10;whMEMWHRupI2MbpFUQTeCM3CgXXCwFlbr1nE0d8UlWctomtVTEajw6K1vnLechECbs96Jx0i+ucE&#10;tHUtuTizfKOFiX1ULxSLoBQa6QJd5mrrWvB4WddBRKJKCqYxP5EE9jo9i+UxW9x45hrJhxLYc0p4&#10;wkkzaZD0IdQZi4xsvPwrlJbc22DreMCtLnoiWRGwGI+eaHPdMCcyF0gd3IPo4f+F5R+2V57IqqST&#10;QzTeMI2W3/+4u//5+/7Xd5IuIVHrwgLIawds7N7aDoOzuw+4TMy72uv0D04E/slsOsKPktuSHk5n&#10;06OjWS+26CLhAMzmc9xTwgGYTGdHsJGpeAzkfIjvhNUkGSX16GWWmG0vQuyhO0jKa+y5VCr3UxnS&#10;Iuvr2Si/EKySVXImWHrlVHmyZZiItWL8y5B2D4UilEEtiXZPL1mxW3eDFmtb3UIKb/t5Co6fS8S9&#10;YCFeMY8BAm+sWLzEo1YWxdjBoqSx/tu/7hMefYWXkhYDWdLwdcO8oES9N+j4m/F0miY4H6DXBAe/&#10;71nve8xGn1owHGOZHc9mwke1M2tv9Wds4iplhYsZjtwljTvzNPZrgk3mYrXKIMysY/HCXDueQvey&#10;rzbR1jJ3JMnUazOoh6nNPR02LK3F/jmjHr8qy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Di8on&#10;1wAAAAYBAAAPAAAAAAAAAAEAIAAAACIAAABkcnMvZG93bnJldi54bWxQSwECFAAUAAAACACHTuJA&#10;050nzVsCAACdBAAADgAAAAAAAAABACAAAAAmAQAAZHJzL2Uyb0RvYy54bWxQSwUGAAAAAAYABgBZ&#10;AQAA8wUAAAAA&#10;">
                        <v:fill on="f" focussize="0,0"/>
                        <v:stroke weight="0.5pt" color="#000000 [3204]" joinstyle="round"/>
                        <v:imagedata o:title=""/>
                        <o:lock v:ext="edit" aspectratio="f"/>
                        <v:textbox>
                          <w:txbxContent>
                            <w:p w14:paraId="20DBCE25">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计量投料</w:t>
                              </w:r>
                            </w:p>
                          </w:txbxContent>
                        </v:textbox>
                      </v:shape>
                      <v:shape id="_x0000_s1026" o:spid="_x0000_s1026" o:spt="202" type="#_x0000_t202" style="position:absolute;left:958215;top:6459220;height:245745;width:439420;"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JKzU9EcCAAB0BAAADgAAAGRycy9lMm9Eb2MueG1srVTB&#10;btswDL0P2D8Iuq9OXDtrgjpF1qLDgGIt0A07K7IUG5BETVJqZx+w/UFPu+y+78p3jJKdtuh26GEX&#10;hSKZR71H0qdnvVbkTjjfgqno9GhCiTAc6tZsKvr50+WbE0p8YKZmCoyo6E54erZ8/eq0swuRQwOq&#10;Fo4giPGLzla0CcEusszzRmjmj8AKg0EJTrOAV7fJasc6RNcqyyeTWdaBq60DLrxH78UQpCOiewkg&#10;SNlycQF8q4UJA6oTigWk5JvWerpMr5VS8HAtpReBqIoi05BOLIL2Op7Z8pQtNo7ZpuXjE9hLnvCM&#10;k2atwaIPUBcsMLJ17V9QuuUOPMhwxEFnA5GkCLKYTp5pc9swKxIXlNrbB9H9/4PlH+9uHGnriuaz&#10;OSWGaWz5/v7H/ufv/a/vJDpRos76BWbeWswN/TvocXAOfo/OyLyXTsdf5EQwPi9P8mlJya6is6Kc&#10;5/motegD4RgvjucF+gjHhLwo3xZlBMwecazz4b0ATaJRUYetTAqzuysfhtRDSixr4LJVKrVTGdJh&#10;1eNykv7wEEFwZbBGZDO8OlqhX/cjxTXUO2ToYBgTb/lli8WvmA83zOFc4Htxc8I1HlIBFoHRoqQB&#10;9+1f/piP7cIoJR3OWUX91y1zghL1wWAj59OiiIOZLqhD1MQ9jayfRsxWnwOO8hR31PJkxvygDqZ0&#10;oL/ggq1iVQwxw7F2RcPBPA/D9OOCcrFapSQcRcvClbm1PEIPcq62AWSblI4yDdqM6uEwpl6NixOn&#10;/ek9ZT1+LJ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pisx3YAAAABgEAAA8AAAAAAAAAAQAg&#10;AAAAIgAAAGRycy9kb3ducmV2LnhtbFBLAQIUABQAAAAIAIdO4kAkrNT0RwIAAHQEAAAOAAAAAAAA&#10;AAEAIAAAACcBAABkcnMvZTJvRG9jLnhtbFBLBQYAAAAABgAGAFkBAADgBQAAAAA=&#10;">
                        <v:fill on="f" focussize="0,0"/>
                        <v:stroke on="f" weight="0.5pt"/>
                        <v:imagedata o:title=""/>
                        <o:lock v:ext="edit" aspectratio="f"/>
                        <v:textbox>
                          <w:txbxContent>
                            <w:p w14:paraId="33E11225">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粉料</w:t>
                              </w:r>
                            </w:p>
                          </w:txbxContent>
                        </v:textbox>
                      </v:shape>
                      <v:shape id="_x0000_s1026" o:spid="_x0000_s1026" o:spt="202" type="#_x0000_t202" style="position:absolute;left:1723390;top:6454775;height:245745;width:405765;" filled="f" stroked="t" coordsize="21600,21600" o:gfxdata="UEsDBAoAAAAAAIdO4kAAAAAAAAAAAAAAAAAEAAAAZHJzL1BLAwQUAAAACACHTuJAQ4vKJ9cAAAAG&#10;AQAADwAAAGRycy9kb3ducmV2LnhtbE2PwU7DMBBE70j8g7VI3KiTqi1VGqcHRA9ICIkWUY5OvI0j&#10;7HWI3bTw9Sxc4DLSakYzb8v12Tsx4hC7QArySQYCqQmmo1bBy25zswQRkyajXSBU8IkR1tXlRakL&#10;E070jOM2tYJLKBZagU2pL6SMjUWv4yT0SOwdwuB14nNopRn0icu9k9MsW0ivO+IFq3u8s9i8b49e&#10;wePr/uN+8/SW7bF23Xx0t/bhq1bq+irPViASntNfGH7wGR0qZqrDkUwUTgE/kn6VvWU+XYCoOZTP&#10;5jOQVSn/41ffUEsDBBQAAAAIAIdO4kAa3pGdXQIAAJ0EAAAOAAAAZHJzL2Uyb0RvYy54bWytVM1u&#10;EzEQviPxDpbvdJN009Comyq0KkKqaKWCODteb9fCf9hOdssDwBtw4sKd5+pz8NmbtFHh0AMXZzwz&#10;+818n2dyctprRTbCB2lNRccHI0qE4baW5raiHz9cvHpNSYjM1ExZIyp6JwI9Xbx8cdK5uZjY1qpa&#10;eAIQE+adq2gbo5sXReCt0CwcWCcMgo31mkVc/W1Re9YBXatiMhodFZ31tfOWixDgPR+CdIvonwNo&#10;m0ZycW75WgsTB1QvFIugFFrpAl3kbptG8HjVNEFEoioKpjGfKAJ7lc5iccLmt565VvJtC+w5LTzh&#10;pJk0KPoAdc4iI2sv/4LSknsbbBMPuNXFQCQrAhbj0RNtblrmROYCqYN7ED38P1j+fnPtiawrOplB&#10;E8M0nvz+x/f7n7/vf30jyQmJOhfmyLxxyI39G9tjcHb+AGdi3jdep19wIik+mxweHgPyrqJH5bSc&#10;zaaD2KKPhCOhHE1nR1NKOBIm5XRW5njxCOR8iG+F1SQZFfV4yywx21yGiKaQuktJdY29kErl91SG&#10;dKh6OB3lD4JVsk7BlJY+OVOebBgmYqUY/5zaAtZeFm7KwJloD/SSFftVv9ViZes7SOHtME/B8QsJ&#10;3EsW4jXzGCDwxorFKxyNsmjGbi1KWuu//suf8vGuiFLSYSArGr6smReUqHcGL348LkvAxnyBXhNc&#10;/H5ktR8xa31mwXCMZXY8myk/qp3ZeKs/YROXqSpCzHDUrmjcmWdxWBNsMhfLZU7CzDoWL82N4wl6&#10;kH25jraR+UWSTIM2W/UwtVnc7Yaltdi/56zHf5XF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OL&#10;yifXAAAABgEAAA8AAAAAAAAAAQAgAAAAIgAAAGRycy9kb3ducmV2LnhtbFBLAQIUABQAAAAIAIdO&#10;4kAa3pGdXQIAAJ0EAAAOAAAAAAAAAAEAIAAAACYBAABkcnMvZTJvRG9jLnhtbFBLBQYAAAAABgAG&#10;AFkBAAD1BQAAAAA=&#10;">
                        <v:fill on="f" focussize="0,0"/>
                        <v:stroke weight="0.5pt" color="#000000 [3204]" joinstyle="round"/>
                        <v:imagedata o:title=""/>
                        <o:lock v:ext="edit" aspectratio="f"/>
                        <v:textbox>
                          <w:txbxContent>
                            <w:p w14:paraId="3845E773">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入仓</w:t>
                              </w:r>
                            </w:p>
                          </w:txbxContent>
                        </v:textbox>
                      </v:shape>
                      <v:shape id="_x0000_s1026" o:spid="_x0000_s1026" o:spt="32" type="#_x0000_t32" style="position:absolute;left:1397635;top:6577965;flip:y;height:4445;width:325755;" filled="f" stroked="t" coordsize="21600,21600" o:gfxdata="UEsDBAoAAAAAAIdO4kAAAAAAAAAAAAAAAAAEAAAAZHJzL1BLAwQUAAAACACHTuJAq0DtINUAAAAG&#10;AQAADwAAAGRycy9kb3ducmV2LnhtbE2PzU7DMBCE70i8g7VI3KiTqq1KiNMDEhJCvTT8nJ14SQLx&#10;OsTbNH17Fi5wGWk1o5lv893sezXhGLtABtJFAgqpDq6jxsDL88PNFlRkS872gdDAGSPsisuL3GYu&#10;nOiAU8mNkhKKmTXQMg+Z1rFu0du4CAOSeO9h9JblHBvtRnuSct/rZZJstLcdyUJrB7xvsf4sj97A&#10;hNXr457n2/gx0xt97ctzeCqNub5KkztQjDP/heEHX9ChEKYqHMlF1RuQR/hXxdumyw2oSkLpar0C&#10;XeT6P37xDVBLAwQUAAAACACHTuJAmiWb/DQCAAA6BAAADgAAAGRycy9lMm9Eb2MueG1srVPNjtMw&#10;EL4j8Q6W7zT9D42a7qFluSBYiZ+76ziJJf/J423al+AFkDgBp4XT3nkaWB6DsVO67HLZAzlE48zM&#10;9833Zbw822tFdsKDtKako8GQEmG4raRpSvr2zfmTp5RAYKZiyhpR0oMAerZ6/GjZuUKMbWtVJTxB&#10;EANF50rahuCKLAPeCs1gYJ0wmKyt1yzg0TdZ5VmH6Fpl4+FwnnXWV85bLgDw66ZP0iOifwigrWvJ&#10;xcbySy1M6FG9UCygJGilA7pK09a14OFVXYMIRJUUlYb0RhKMt/GdrZasaDxzreTHEdhDRrinSTNp&#10;kPQEtWGBkUsv/4HSknsLtg4DbnXWC0mOoIrR8J43r1vmRNKCVoM7mQ7/D5a/3F14IquSjvMRJYZp&#10;/OU3H65/vv988+3rj0/Xv75/jPHVFxIL0K7OQYFda3Pho2AI673pAeYLisG+pJPeVmGqUy5Hw1Mu&#10;YWR3QOIBXA+3r70mtZLuHe5mchQ9Iog5mizy+WRGyaGk81meL+azI8s+EB5Jx7N8hnmOBdPpNGUz&#10;VkTAOKfzEJ4Lq0kMSgrBM9m0YW2NwSWxvidjuxcQUCQ2/mmIzcaeS6XSrihDOiQb5ZGK4f7XuHcY&#10;aocegmkoYarBi8WDT+ODVbKK3cks32zXypMdi+uYnigC2e6UReoNg7avS6lea2BSPTMVCQeHvyl4&#10;yUyjBI0TgaZECSTGoIdUBpFvvY3R1laHCx/T8YQrlbiP6x939u9zqrq98q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0DtINUAAAAGAQAADwAAAAAAAAABACAAAAAiAAAAZHJzL2Rvd25yZXYueG1s&#10;UEsBAhQAFAAAAAgAh07iQJolm/w0AgAAOgQAAA4AAAAAAAAAAQAgAAAAJAEAAGRycy9lMm9Eb2Mu&#10;eG1sUEsFBgAAAAAGAAYAWQEAAMoFAAAAAA==&#10;">
                        <v:fill on="f" focussize="0,0"/>
                        <v:stroke weight="0.25pt" color="#000000 [3213]" joinstyle="round" endarrow="block" endarrowwidth="narrow" endarrowlength="short"/>
                        <v:imagedata o:title=""/>
                        <o:lock v:ext="edit" aspectratio="f"/>
                      </v:shape>
                      <v:shape id="_x0000_s1026" o:spid="_x0000_s1026" o:spt="32" type="#_x0000_t32" style="position:absolute;left:2129155;top:6577965;height:0;width:410845;" filled="f" stroked="t" coordsize="21600,21600" o:gfxdata="UEsDBAoAAAAAAIdO4kAAAAAAAAAAAAAAAAAEAAAAZHJzL1BLAwQUAAAACACHTuJAEJ9ds9cAAAAG&#10;AQAADwAAAGRycy9kb3ducmV2LnhtbE2PQUvDQBCF74L/YRnBi9hN0lpLzKagIhQKBWt73+6OyWJ2&#10;NmS3afvvHb3o5cHwHu99Uy3PvhMjDtEFUpBPMhBIJlhHjYLdx9v9AkRMmqzuAqGCC0ZY1tdXlS5t&#10;ONE7jtvUCC6hWGoFbUp9KWU0LXodJ6FHYu8zDF4nPodG2kGfuNx3ssiyufTaES+0useXFs3X9ugV&#10;mLuNeYzFatyv/OvFTeV66p7XSt3e5NkTiITn9BeGH3xGh5qZDuFINopOAT+SfpW9RV7MQRw4lM8e&#10;ZiDrSv7Hr78BUEsDBBQAAAAIAIdO4kDVnrdPLgIAAC0EAAAOAAAAZHJzL2Uyb0RvYy54bWytU82O&#10;0zAQviPxDpbvNE3ZtrtR0z20LBcElYAHmDpOYsl/sr1N+xK8ABIn4ASc9s7TwPIYjJ20LMtlD+Rg&#10;jTPjb+b7/HlxuVeS7LjzwuiS5qMxJVwzUwndlPTtm6sn55T4ALoCaTQv6YF7erl8/GjR2YJPTGtk&#10;xR1BEO2Lzpa0DcEWWeZZyxX4kbFcY7I2TkHArWuyykGH6Epmk/F4lnXGVdYZxr3Hv+s+SQdE9xBA&#10;U9eC8bVh14rr0KM6LiEgJd8K6+kyTVvXnIVXde15ILKkyDSkFZtgvI1rtlxA0TiwrWDDCPCQEe5x&#10;UiA0Nj1BrSEAuXbiHyglmDPe1GHEjMp6IkkRZJGP72nzugXLExeU2tuT6P7/wbKXu40joirpZD6h&#10;RIPCK799f/Pz3afbb19/fLz59f1DjL98JrEA5eqsL/DUSm9cJOzDaq8HABRVVPuSPu1l5bo65Wbo&#10;qpTLYy77CyRuvO3h9rVTERaVIYg0yScX+XRKyaGks+l8fjGbDtj7QBgWnOXj8zPMMyxIt5lBccSw&#10;zofn3CgSg5L64EA0bVgZrdEXxuXpxmD3woc4ExTHA3EAba6ElMkeUpMOSeXz2AfQ8jVaDUNlUTav&#10;G0pANviWWHAJ0Rspqng66eOa7Uo6soPowPQlBVC5u2Wx9Rp829elVE80gJDPdEXCweLNBCdAN5LT&#10;OJFXlEiOjTHoCUg9aNvLGYXdmuqwcUfN0UWJ6eD4aNO7+3T6zytf/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Qn12z1wAAAAYBAAAPAAAAAAAAAAEAIAAAACIAAABkcnMvZG93bnJldi54bWxQSwEC&#10;FAAUAAAACACHTuJA1Z63Ty4CAAAtBAAADgAAAAAAAAABACAAAAAmAQAAZHJzL2Uyb0RvYy54bWxQ&#10;SwUGAAAAAAYABgBZAQAAxgUAAAAA&#10;">
                        <v:fill on="f" focussize="0,0"/>
                        <v:stroke weight="0.25pt" color="#000000 [3213]" joinstyle="round" endarrow="block" endarrowwidth="narrow" endarrowlength="short"/>
                        <v:imagedata o:title=""/>
                        <o:lock v:ext="edit" aspectratio="f"/>
                      </v:shape>
                      <v:shape id="_x0000_s1026" o:spid="_x0000_s1026" o:spt="33" type="#_x0000_t33" style="position:absolute;left:3103245;top:5935980;height:788035;width:250190;rotation:-5898240f;" filled="f" stroked="t" coordsize="21600,21600" o:gfxdata="UEsDBAoAAAAAAIdO4kAAAAAAAAAAAAAAAAAEAAAAZHJzL1BLAwQUAAAACACHTuJA6GJ2WNkAAAAG&#10;AQAADwAAAGRycy9kb3ducmV2LnhtbE2PQU/CQBCF7yT+h82YeDGyLQFCarckYLjoRUCJx213bCvd&#10;2dpdKPDrHb3I5SWT9/LeN+n8ZBtxxM7XjhTEwwgEUuFMTaWCt+3qYQbCB01GN45QwRk9zLObQaoT&#10;43pa43ETSsEl5BOtoAqhTaT0RYVW+6Frkdj7dJ3Vgc+ulKbTPZfbRo6iaCqtrokXKt3issJivzlY&#10;Bffby/Pq62l3edm/f/cfC9qt81er1N1tHD2CCHgK/2H4xWd0yJgpdwcyXjQK+JHwp+zN4tEURM6h&#10;eDwZg8xSeY2f/QBQSwMEFAAAAAgAh07iQLKndCMyAgAANwQAAA4AAABkcnMvZTJvRG9jLnhtbK1T&#10;O44UMRDNkbiD5ZzpzzC/1vRsMMOSIFgJOIDH7e625J9s7/RMygGIiQiQIOIKiNMAewzKdjPLLskG&#10;dGDZXeVXr149ry+OUqADs45rVeNikmPEFNUNV12N3765fLLEyHmiGiK0YjU+MYcvNo8frQdTsVL3&#10;WjTMIgBRrhpMjXvvTZVljvZMEjfRhikIttpK4uFou6yxZAB0KbIyz+fZoG1jrKbMOfi7S0E8ItqH&#10;AOq25ZTtNL2WTPmEapkgHlpyPTcObyLbtmXUv2pbxzwSNYZOfVyhCOz3Yc02a1J1lpie05ECeQiF&#10;ez1JwhUUPUPtiCfo2vJ/oCSnVjvd+gnVMkuNREWgiyK/p83rnhgWewGpnTmL7v4fLH15uLKINzUu&#10;F1OMFJEw8pt3H358+3Tz/ePP959/ff2CQgiEGoyrIH+rrmxo1fntUaWrc/AMb45nQZlq/sSKp7Mx&#10;VgSM7A5IODiT4I6tlchqmFAxB5/AFwUFiRAAT4t8WgaoU41nq+lstRxnx44eUUgoZ3mxgqlSSFgs&#10;l/l0FsuRKuAGusY6/5xpicKmxntwzlYrBQ7RtoylyOGF84HjbXK4qPQlFyIaRSg0BC4LIEIJmL8F&#10;08FWGhDQqQ4jIjp4VdTbiOi04E24HfWy3X4rLDqQ4MXUYap2Jy3Q2xHXp7wYSi71hItnqkH+ZGBG&#10;3nKiOsFwYOQkRoJBYdgkSKFGrZO8Qei9bk5XNoTDCfwUOx29Hwz79zlm3b73z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oYnZY2QAAAAYBAAAPAAAAAAAAAAEAIAAAACIAAABkcnMvZG93bnJldi54&#10;bWxQSwECFAAUAAAACACHTuJAsqd0IzICAAA3BAAADgAAAAAAAAABACAAAAAoAQAAZHJzL2Uyb0Rv&#10;Yy54bWxQSwUGAAAAAAYABgBZAQAAzAUAAAAA&#10;">
                        <v:fill on="f" focussize="0,0"/>
                        <v:stroke weight="0.25pt" color="#000000 [3213]" joinstyle="round" endarrow="block" endarrowwidth="narrow" endarrowlength="short"/>
                        <v:imagedata o:title=""/>
                        <o:lock v:ext="edit" aspectratio="f"/>
                      </v:shape>
                      <v:shape id="_x0000_s1026" o:spid="_x0000_s1026" o:spt="202" type="#_x0000_t202" style="position:absolute;left:1466215;top:6867525;height:399415;width:918210;"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fzp6YEoCAAB1BAAADgAAAGRycy9lMm9Eb2MueG1srVTB&#10;bhMxEL0j8Q+W73Sz2yRNomyq0KoIKaKVCuLseO3uSrbH2E53wwfAH3Diwp3v6ncw9m7SqnDogYsz&#10;9ry88Xsz3uV5pxW5F843YEqan4woEYZD1Zi7kn76ePVmRokPzFRMgREl3QtPz1evXy1buxAF1KAq&#10;4QiSGL9obUnrEOwiyzyvhWb+BKwwmJTgNAu4dXdZ5ViL7FplxWg0zVpwlXXAhfd4etkn6cDoXkII&#10;UjZcXALfaWFCz+qEYgEl+bqxnq7SbaUUPFxL6UUgqqSoNKQVi2C8jWu2WrLFnWO2bvhwBfaSKzzT&#10;pFljsOiR6pIFRnau+YtKN9yBBxlOOOisF5IcQRX56Jk3tzWzImlBq709mu7/Hy3/cH/jSFOVtDgb&#10;U2KYxpY//Pj+8PP3w69vJB6iRa31C0TeWsSG7i10ODiHc4+HUXknnY6/qInE/Hg6LfIJJfuSTmfT&#10;s0kx6c0WXSAcAfN8VuTYBo6A0/l8jFislD0SWefDOwGaxKCkDnuZLGb3Gx966AES6xq4apRK/VSG&#10;tFj1dDJKfzhmkFwZrBHl9NeOUei23aBxC9UeJTro58RbftVg8Q3z4YY5HAy8Lz6dcI2LVIBFYIgo&#10;qcF9/dd5xGO/MEtJi4NWUv9lx5ygRL032Ml5Ph7HyUyb8eSswI17mtk+zZidvgCc5RwfqeUpjPig&#10;DqF0oD/jC1vHqphihmPtkoZDeBH68ccXysV6nUA4i5aFjbm1PFL3dq53AWSTnI429d4M7uE0pl4N&#10;LyeO+9N9Qj1+LV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pisx3YAAAABgEAAA8AAAAAAAAA&#10;AQAgAAAAIgAAAGRycy9kb3ducmV2LnhtbFBLAQIUABQAAAAIAIdO4kB/OnpgSgIAAHUEAAAOAAAA&#10;AAAAAAEAIAAAACcBAABkcnMvZTJvRG9jLnhtbFBLBQYAAAAABgAGAFkBAADjBQAAAAA=&#10;">
                        <v:fill on="f" focussize="0,0"/>
                        <v:stroke on="f" weight="0.5pt"/>
                        <v:imagedata o:title=""/>
                        <o:lock v:ext="edit" aspectratio="f"/>
                        <v:textbox>
                          <w:txbxContent>
                            <w:p w14:paraId="4BB6027E">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粉料筒仓粉尘、设备噪声</w:t>
                              </w:r>
                            </w:p>
                          </w:txbxContent>
                        </v:textbox>
                      </v:shape>
                      <v:shape id="_x0000_s1026" o:spid="_x0000_s1026" o:spt="32" type="#_x0000_t32" style="position:absolute;left:1925320;top:6700520;flip:x;height:167005;width:1270;" filled="f" stroked="t" coordsize="21600,21600" o:gfxdata="UEsDBAoAAAAAAIdO4kAAAAAAAAAAAAAAAAAEAAAAZHJzL1BLAwQUAAAACACHTuJAYCpVodYAAAAG&#10;AQAADwAAAGRycy9kb3ducmV2LnhtbE2PzU7DMBCE70i8g7VI3Kid0p80xOkBiZ8Dh1J4ADfeJhH2&#10;OoqdtPD0LFzgMtJqRjPfltuzd2LCIXaBNGQzBQKpDrajRsP728NNDiImQ9a4QKjhEyNsq8uL0hQ2&#10;nOgVp31qBJdQLIyGNqW+kDLWLXoTZ6FHYu8YBm8Sn0Mj7WBOXO6dnCu1kt50xAut6fG+xfpjP3oN&#10;653rX9T4ONkubJ7y9e34/LVEra+vMnUHIuE5/YXhB5/RoWKmQxjJRuE08CPpV9nLs/kKxIFD2WK5&#10;AFmV8j9+9Q1QSwMEFAAAAAgAh07iQA58fZcxAgAAPAQAAA4AAABkcnMvZTJvRG9jLnhtbK1TzY7T&#10;MBC+I/EOlu80aZZuIWq6h5aFA4JKwAO4jpNY8p883qZ9CV4AiRNwWjjtnaeB5TEYO2HLLpc90EM0&#10;7jfzzXyfx4uzvVZkJzxIayo6neSUCMNtLU1b0Xdvzx89oQQCMzVT1oiKHgTQs+XDB4velaKwnVW1&#10;8ARJDJS9q2gXgiuzDHgnNIOJdcIg2FivWcCjb7Pasx7ZtcqKPD/Neutr5y0XAPjvegDpyOjvQ2ib&#10;RnKxtvxCCxMGVi8UCygJOumALtO0TSN4eN00IAJRFUWlIX2xCcbb+M2WC1a2nrlO8nEEdp8R7mjS&#10;TBpsekO1ZoGRCy//odKSewu2CRNudTYISY6giml+x5s3HXMiaUGrwd2YDv+Plr/abTyRdUWL+YwS&#10;wzRe+fWHq5/vP19/+/rj09Wv7x9jfPmFxAS0q3dQYtXKbHwUDGG1NyMBmirrPVINtgpTH7HHI5Ys&#10;z26RxAO4gW7feE0aJd0L3M3kKHpEkHP6tJidFNjhUNHTeZ7PME6XJ/aB8JhQzBHlCE8THtGMlZEw&#10;zuk8hOfCahKDikLwTLZdWFljcEmsH5qx3UsIQ+Gfglhs7LlUKrVThvQVPZlGtzjD/W9w7zDUDj0E&#10;01LCVIsPiwefxgerZB2rk1m+3a6UJzsW1zH9xjFvpcXWawbdkFdjtLZhUBuYVM9MTcLB4UUFL5lp&#10;laBxJtCUKIGtMRgkKIMWHN2N0dbWh42PcDzhUiWTxgcQt/bvc8o6Pvr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AqVaHWAAAABgEAAA8AAAAAAAAAAQAgAAAAIgAAAGRycy9kb3ducmV2LnhtbFBL&#10;AQIUABQAAAAIAIdO4kAOfH2XMQIAADwEAAAOAAAAAAAAAAEAIAAAACUBAABkcnMvZTJvRG9jLnht&#10;bFBLBQYAAAAABgAGAFkBAADIBQAAAAA=&#10;">
                        <v:fill on="f" focussize="0,0"/>
                        <v:stroke weight="0.25pt" color="#000000 [3213]" joinstyle="round" dashstyle="dashDot" endarrow="block" endarrowwidth="narrow" endarrowlength="short"/>
                        <v:imagedata o:title=""/>
                        <o:lock v:ext="edit" aspectratio="f"/>
                      </v:shape>
                      <v:shape id="_x0000_s1026" o:spid="_x0000_s1026" o:spt="202" type="#_x0000_t202" style="position:absolute;left:3325495;top:6989445;height:245745;width:996315;"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aN0EAUgCAAB1BAAADgAAAGRycy9lMm9Eb2MueG1srVRL&#10;btswEN0X6B0I7mv5n9iIHLgJUhQwmgBp0TVNUZYA/krSltwDtDfoqpvue66co4+UnRhpF1l0Qw05&#10;wxm+N290cdkqSXbC+dronA56fUqE5qao9Sannz7evDmnxAemCyaNFjndC08vF69fXTR2LoamMrIQ&#10;jiCJ9vPG5rQKwc6zzPNKKOZ7xgoNZ2mcYgFbt8kKxxpkVzIb9vvTrDGusM5w4T1OrzsnPWR0L0lo&#10;yrLm4trwrRI6dFmdkCwAkq9q6+kivbYsBQ+3ZelFIDKnQBrSiiKw13HNFhdsvnHMVjU/PIG95AnP&#10;MClWaxR9THXNAiNbV/+VStXcGW/K0ONGZR2QxAhQDPrPuLmvmBUJC6j29pF0///S8g+7O0fqIqfD&#10;syklmim0/OHH94efvx9+fSPxEBQ11s8ReW8RG9q3poVwjucehxF5WzoVv8BE4B+NhpPxbELJPqfT&#10;2flsPJ50ZIs2EI6A2Ww6GsDPETAcT846f/aUyDof3gmjSDRy6tDLRDHbrXzAoxB6DIl1tbmppUz9&#10;lJo0qDqa9NOFRw9uSI2LEU737GiFdt0eMK5NsQdEZzqdeMtvahRfMR/umIMwIBuMTrjFUkqDIuZg&#10;UVIZ9/Vf5zEe/YKXkgZCy6n/smVOUCLfa3RyNhiPozLTBjwMsXGnnvWpR2/VlYGWBxhSy5MZ44M8&#10;mqUz6jMmbBmrwsU0R+2chqN5FTr5Y0K5WC5TELRoWVjpe8tj6o7O5TaYsk5MR5o6bg7sQY2pAYfJ&#10;iXI/3aeop7/F4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qYrMd2AAAAAYBAAAPAAAAAAAAAAEA&#10;IAAAACIAAABkcnMvZG93bnJldi54bWxQSwECFAAUAAAACACHTuJAaN0EAUgCAAB1BAAADgAAAAAA&#10;AAABACAAAAAnAQAAZHJzL2Uyb0RvYy54bWxQSwUGAAAAAAYABgBZAQAA4QUAAAAA&#10;">
                        <v:fill on="f" focussize="0,0"/>
                        <v:stroke on="f" weight="0.5pt"/>
                        <v:imagedata o:title=""/>
                        <o:lock v:ext="edit" aspectratio="f"/>
                        <v:textbox>
                          <w:txbxContent>
                            <w:p w14:paraId="7D9A3CEA">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热再生沥青混凝土</w:t>
                              </w:r>
                            </w:p>
                          </w:txbxContent>
                        </v:textbox>
                      </v:shape>
                      <v:shape id="_x0000_s1026" o:spid="_x0000_s1026" o:spt="202" type="#_x0000_t202" style="position:absolute;left:4332605;top:6557645;height:245745;width:576580;"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p02x2kgCAAB1BAAADgAAAGRycy9lMm9Eb2MueG1srVTN&#10;btswDL4P2DsIuq9O0jjpgjpF1iDDgGItkA07K7JcG9DfJKV29wDbG/S0y+57rjzHPslJWnQ79LCL&#10;TJEUye8j6fOLTklyJ5xvjC7o8GRAidDclI2+LejnT6s3Z5T4wHTJpNGioPfC04v561fnrZ2JkamN&#10;LIUjCKL9rLUFrUOwsyzzvBaK+RNjhYaxMk6xgKu7zUrHWkRXMhsNBpOsNa60znDhPbTL3kj3Ed1L&#10;ApqqarhYGr5VQoc+qhOSBUDydWM9nadqq0rwcF1VXgQiCwqkIZ1IAnkTz2x+zma3jtm64fsS2EtK&#10;eIZJsUYj6THUkgVGtq75K5RquDPeVOGEG5X1QBIjQDEcPONmXTMrEhZQ7e2RdP//wvKPdzeONGVB&#10;R9MpJZoptHz38GP38/fu13cSlaCotX4Gz7WFb+jemQ6Dc9B7KCPyrnIqfoGJwD4+PR1NBjkl9wWd&#10;5Pl0Ms57skUXCIcDVPkZ2sDhMBrn096ePQayzof3wigShYI69DJRzO6ufEBRcD24xLzarBopUz+l&#10;Ji2ynuaD9OBowQup8TDC6cuOUug23R7jxpT3gOhMPyfe8lWD5FfMhxvmMBioF6sTrnFU0iCJ2UuU&#10;1MZ9+5c++qNfsFLSYtAK6r9umROUyA8anXw7HI/jZKYLeBjh4p5aNk8teqsuDWZ5iCW1PInRP8iD&#10;WDmjvmDDFjErTExz5C5oOIiXoR9/bCgXi0VywixaFq702vIYuqdzsQ2mahLTkaaemz17mMbUgP3m&#10;xHF/ek9ej3+L+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qYrMd2AAAAAYBAAAPAAAAAAAAAAEA&#10;IAAAACIAAABkcnMvZG93bnJldi54bWxQSwECFAAUAAAACACHTuJAp02x2kgCAAB1BAAADgAAAAAA&#10;AAABACAAAAAnAQAAZHJzL2Uyb0RvYy54bWxQSwUGAAAAAAYABgBZAQAA4QUAAAAA&#10;">
                        <v:fill on="f" focussize="0,0"/>
                        <v:stroke on="f" weight="0.5pt"/>
                        <v:imagedata o:title=""/>
                        <o:lock v:ext="edit" aspectratio="f"/>
                        <v:textbox>
                          <w:txbxContent>
                            <w:p w14:paraId="149831EC">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卸料废气</w:t>
                              </w:r>
                            </w:p>
                          </w:txbxContent>
                        </v:textbox>
                      </v:shape>
                      <v:shape id="_x0000_s1026" o:spid="_x0000_s1026" o:spt="202" type="#_x0000_t202" style="position:absolute;left:3622040;top:6553200;height:245745;width:412750;" filled="f" stroked="t" coordsize="21600,21600" o:gfxdata="UEsDBAoAAAAAAIdO4kAAAAAAAAAAAAAAAAAEAAAAZHJzL1BLAwQUAAAACACHTuJAQ4vKJ9cAAAAG&#10;AQAADwAAAGRycy9kb3ducmV2LnhtbE2PwU7DMBBE70j8g7VI3KiTqi1VGqcHRA9ICIkWUY5OvI0j&#10;7HWI3bTw9Sxc4DLSakYzb8v12Tsx4hC7QArySQYCqQmmo1bBy25zswQRkyajXSBU8IkR1tXlRakL&#10;E070jOM2tYJLKBZagU2pL6SMjUWv4yT0SOwdwuB14nNopRn0icu9k9MsW0ivO+IFq3u8s9i8b49e&#10;wePr/uN+8/SW7bF23Xx0t/bhq1bq+irPViASntNfGH7wGR0qZqrDkUwUTgE/kn6VvWU+XYCoOZTP&#10;5jOQVSn/41ffUEsDBBQAAAAIAIdO4kA8EF7IWgIAAJ0EAAAOAAAAZHJzL2Uyb0RvYy54bWytVMFu&#10;EzEQvSPxD5bvdJNt0kLUDQqtipAqWqkgzo7X27XweoztZLd8APwBJy7c+a5+B8+7mzYqHHrg4ow9&#10;kzfz3szsyeuuMWyrfNBkCz49mHCmrKRS25uCf/xw/uIlZyEKWwpDVhX8VgX+evn82UnrFiqnmkyp&#10;PAOIDYvWFbyO0S2yLMhaNSIckFMWzop8IyKu/iYrvWiB3pgsn0yOspZ86TxJFQJezwYnHxH9UwCp&#10;qrRUZyQ3jbJxQPXKiAhKodYu8GVfbVUpGS+rKqjITMHBNPYnksBepzNbnojFjReu1nIsQTylhEec&#10;GqEtkt5DnYko2Mbrv6AaLT0FquKBpCYbiPSKgMV08kib61o41XOB1MHdix7+H6x8v73yTJcFz4/R&#10;eCsatPzux/e7n7/vfn1j6REStS4sEHntEBu7N9RhcHbvAY+JeVf5Jv2CE4P/8CjPJzPIfFvwo/n8&#10;EK0fxFZdZBIBs2l+PIdfIiCfzY9n8+TPHoCcD/GtooYlo+AevewlFtuLEIfQXUjKa+lcG9P301jW&#10;Iush4JMnkNFlcqZL+sup8WwrMBFrI+TnMe1eFIowFrUk2gO9ZMVu3Y1arKm8hRSehnkKTp5r4F6I&#10;EK+ExwCBF1YsXuKoDKEYGi3OavJf//We4tFXeDlrMZAFD182wivOzDuLjr+azpKcsb9ArxwXv+9Z&#10;73vspjklMJximZ3szRQfzc6sPDWfsImrlBUuYSVyFzzuzNM4rAk2WarVqg/CzDoRL+y1kwl6kH21&#10;iVTpviNJpkGbUT1Mbd/TccPSWuzf+6iHr8ry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OLyifX&#10;AAAABgEAAA8AAAAAAAAAAQAgAAAAIgAAAGRycy9kb3ducmV2LnhtbFBLAQIUABQAAAAIAIdO4kA8&#10;EF7IWgIAAJ0EAAAOAAAAAAAAAAEAIAAAACYBAABkcnMvZTJvRG9jLnhtbFBLBQYAAAAABgAGAFkB&#10;AADyBQAAAAA=&#10;">
                        <v:fill on="f" focussize="0,0"/>
                        <v:stroke weight="0.5pt" color="#000000 [3204]" joinstyle="round"/>
                        <v:imagedata o:title=""/>
                        <o:lock v:ext="edit" aspectratio="f"/>
                        <v:textbox>
                          <w:txbxContent>
                            <w:p w14:paraId="5DFA2A0C">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卸料</w:t>
                              </w:r>
                            </w:p>
                          </w:txbxContent>
                        </v:textbox>
                      </v:shape>
                      <v:shape id="_x0000_s1026" o:spid="_x0000_s1026" o:spt="32" type="#_x0000_t32" style="position:absolute;left:3828415;top:6327140;flip:x;height:226060;width:635;" filled="f" stroked="t" coordsize="21600,21600" o:gfxdata="UEsDBAoAAAAAAIdO4kAAAAAAAAAAAAAAAAAEAAAAZHJzL1BLAwQUAAAACACHTuJAq0DtINUAAAAG&#10;AQAADwAAAGRycy9kb3ducmV2LnhtbE2PzU7DMBCE70i8g7VI3KiTqq1KiNMDEhJCvTT8nJ14SQLx&#10;OsTbNH17Fi5wGWk1o5lv893sezXhGLtABtJFAgqpDq6jxsDL88PNFlRkS872gdDAGSPsisuL3GYu&#10;nOiAU8mNkhKKmTXQMg+Z1rFu0du4CAOSeO9h9JblHBvtRnuSct/rZZJstLcdyUJrB7xvsf4sj97A&#10;hNXr457n2/gx0xt97ctzeCqNub5KkztQjDP/heEHX9ChEKYqHMlF1RuQR/hXxdumyw2oSkLpar0C&#10;XeT6P37xDVBLAwQUAAAACACHTuJAZVp2xDUCAAA5BAAADgAAAGRycy9lMm9Eb2MueG1srVPNjtMw&#10;EL4j8Q6W7zRNWtolarqHloUDgkrAA7iOk1jynzzepn0JXgCJE3ACTnvnaWB5DMZO2bLLZQ/kYI0z&#10;4++b+fx5cb7XiuyEB2lNRfPRmBJhuK2laSv69s3FozNKIDBTM2WNqOhBAD1fPnyw6F0pCttZVQtP&#10;EMRA2buKdiG4MsuAd0IzGFknDCYb6zULuPVtVnvWI7pWWTEez7Le+tp5ywUA/l0PSXpE9PcBtE0j&#10;uVhbfqmFCQOqF4oFHAk66YAuU7dNI3h41TQgAlEVxUlDWpEE421cs+WCla1nrpP82AK7Twt3ZtJM&#10;GiS9gVqzwMill/9Aacm9BduEEbc6GwZJiuAU+fiONq875kSaBaUGdyM6/D9Y/nK38UTWFS3mTygx&#10;TOOVX7+/+vnu0/W3rz8+Xv36/iHGXz6TWIBy9Q5KPLUyGx8HhrDamwSQTx9TDPYINcgqTP0nV8zR&#10;VSmXJM9ugcQNuAFu33hNGiXdc/RmUhQ1Iog5OSvOpjkyHCo6mxTzfHq8PLEPhGPBbIJJjtmimI1n&#10;Aw0rI15s03kIz4TVJAYVheCZbLuwssagR6wfuNjuBQScMTsdiIeNvZBKJasoQ3psJp9HMob2b9B2&#10;GGqHEoJpKWGqxXfFg0/dg1WyjqeTVr7drpQnOxbdmL6oFLLdKostrhl0Q11KDYIGJtVTU5NwcHhL&#10;wUtmWiVo7Ag0JUogMQYDpDKIfJI2RltbHzY+puMOHZW4j+6Plv17n6pOL375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tA7SDVAAAABgEAAA8AAAAAAAAAAQAgAAAAIgAAAGRycy9kb3ducmV2Lnht&#10;bFBLAQIUABQAAAAIAIdO4kBlWnbENQIAADkEAAAOAAAAAAAAAAEAIAAAACQBAABkcnMvZTJvRG9j&#10;LnhtbFBLBQYAAAAABgAGAFkBAADLBQAAAAA=&#10;">
                        <v:fill on="f" focussize="0,0"/>
                        <v:stroke weight="0.25pt" color="#000000 [3213]" joinstyle="round" endarrow="block" endarrowwidth="narrow" endarrowlength="short"/>
                        <v:imagedata o:title=""/>
                        <o:lock v:ext="edit" aspectratio="f"/>
                      </v:shape>
                      <v:shape id="_x0000_s1026" o:spid="_x0000_s1026" o:spt="32" type="#_x0000_t32" style="position:absolute;left:3823970;top:6798945;flip:x;height:190500;width:4445;" filled="f" stroked="t" coordsize="21600,21600" o:gfxdata="UEsDBAoAAAAAAIdO4kAAAAAAAAAAAAAAAAAEAAAAZHJzL1BLAwQUAAAACACHTuJAq0DtINUAAAAG&#10;AQAADwAAAGRycy9kb3ducmV2LnhtbE2PzU7DMBCE70i8g7VI3KiTqq1KiNMDEhJCvTT8nJ14SQLx&#10;OsTbNH17Fi5wGWk1o5lv893sezXhGLtABtJFAgqpDq6jxsDL88PNFlRkS872gdDAGSPsisuL3GYu&#10;nOiAU8mNkhKKmTXQMg+Z1rFu0du4CAOSeO9h9JblHBvtRnuSct/rZZJstLcdyUJrB7xvsf4sj97A&#10;hNXr457n2/gx0xt97ctzeCqNub5KkztQjDP/heEHX9ChEKYqHMlF1RuQR/hXxdumyw2oSkLpar0C&#10;XeT6P37xDVBLAwQUAAAACACHTuJAUcV3ZjMCAAA6BAAADgAAAGRycy9lMm9Eb2MueG1srVNLjhMx&#10;EN0jcQfLe9KdTCafVjqzSBhYIIgEHMBxu7st+SeXJ51cggsgsQJWA6vZcxoYjkHZHU2YYTMLemGV&#10;XeVX9V4/Ly72WpGd8CCtKelwkFMiDLeVNE1J37+7fDajBAIzFVPWiJIeBNCL5dMni84VYmRbqyrh&#10;CYIYKDpX0jYEV2QZ8FZoBgPrhMFkbb1mAbe+ySrPOkTXKhvl+STrrK+ct1wA4Om6T9Ijon8MoK1r&#10;ycXa8istTOhRvVAsICVopQO6TNPWteDhTV2DCESVFJmGtGITjLdxzZYLVjSeuVby4wjsMSM84KSZ&#10;NNj0DmrNAiNXXv4DpSX3FmwdBtzqrCeSFEEWw/yBNm9b5kTiglKDuxMd/h8sf73beCKrko5mqIlh&#10;Gn/57cebXx++3H7/9vPzze8fn2J8/ZXEApSrc1DgrZXZ+EgYwmpveoApOkdWe4TqZRWmOuUmx1zC&#10;yO6BxA24Hm5fe01qJd1L9GZSFDUiiHk2G53NpzjioaST6Xw2H58fu+wD4VgwHuMJ4ZgezvPzvO/D&#10;iggY53QewgthNYlBSSF4Jps2rKwxaBLr+2Zs9woCksxOF+JlYy+lUskrypAOpxlOYzOG/q/Rdxhq&#10;hxqCaShhqsGHxYNP44NVsoq3k1i+2a6UJzsW7Zi+SAK73SuLI64ZtH1dSvVcA5PqualIODj8TcFL&#10;ZholaJwINCVKYGMMekhlEPmkbYy2tjpsfEzHHVoq9T7aP3r2732qOj355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rQO0g1QAAAAYBAAAPAAAAAAAAAAEAIAAAACIAAABkcnMvZG93bnJldi54bWxQ&#10;SwECFAAUAAAACACHTuJAUcV3ZjMCAAA6BAAADgAAAAAAAAABACAAAAAkAQAAZHJzL2Uyb0RvYy54&#10;bWxQSwUGAAAAAAYABgBZAQAAyQUAAAAA&#10;">
                        <v:fill on="f" focussize="0,0"/>
                        <v:stroke weight="0.25pt" color="#000000 [3213]" joinstyle="round" endarrow="block" endarrowwidth="narrow" endarrowlength="short"/>
                        <v:imagedata o:title=""/>
                        <o:lock v:ext="edit" aspectratio="f"/>
                      </v:shape>
                      <v:shape id="_x0000_s1026" o:spid="_x0000_s1026" o:spt="32" type="#_x0000_t32" style="position:absolute;left:4034790;top:6676390;height:4445;width:297815;" filled="f" stroked="t" coordsize="21600,21600" o:gfxdata="UEsDBAoAAAAAAIdO4kAAAAAAAAAAAAAAAAAEAAAAZHJzL1BLAwQUAAAACACHTuJAVfAI9tUAAAAG&#10;AQAADwAAAGRycy9kb3ducmV2LnhtbE2PwU7DMBBE70j8g7VI3KjtqFRViNNDqoLEjdAPcOIljhLb&#10;Uew2bb+ehQtcRlrNaOZtsbu4kZ1xjn3wCuRKAEPfBtP7TsHx8/C0BRaT9kaPwaOCK0bYlfd3hc5N&#10;WPwHnuvUMSrxMdcKbEpTznlsLTodV2FCT95XmJ1OdM4dN7NeqNyNPBNiw53uPS1YPWFlsR3qk1Nw&#10;eH+VWXvbL7Wo3m7DtRqavT0q9fggxQuwhJf0F4YffEKHkpiacPImslEBPZJ+lbytzDbAGgrJ9fMa&#10;eFnw//jlN1BLAwQUAAAACACHTuJAuxe7aDECAAAyBAAADgAAAGRycy9lMm9Eb2MueG1srVPNjtMw&#10;EL4j8Q6W7zRN2227UdM9tCwXBJWAB3AdJ7HkP3m8TfsSvAASJ+AEnPbO08DyGIyd7pZdLnsgB2sm&#10;M/5mvm/Gi4u9VmQnPEhrSpoPhpQIw20lTVPSd28vn80pgcBMxZQ1oqQHAfRi+fTJonOFGNnWqkp4&#10;giAGis6VtA3BFVkGvBWawcA6YTBYW69ZQNc3WeVZh+haZaPhcJp11lfOWy4A8O+6D9Ijon8MoK1r&#10;ycXa8istTOhRvVAsICVopQO6TN3WteDhdV2DCESVFJmGdGIRtLfxzJYLVjSeuVbyYwvsMS084KSZ&#10;NFj0DmrNAiNXXv4DpSX3FmwdBtzqrCeSFEEW+fCBNm9a5kTiglKDuxMd/h8sf7XbeCKrko7mOSWG&#10;aRz5zYfrX+8/33z/9vPT9e8fH6P99QuJCShX56DAWyuz8ZEwhNXe9AAz3BxZ7Us67mUVpjrFZsdY&#10;wsjugUQHXA+3r72OsKgMQaTJcDyZneOwDiWdTmfTMdppZGIfCMeE0flsnp9RwjFhMpmcxWjGilsY&#10;5yG8EFaTaJQUgmeyacPKGoOrYX2ehsZ2LyH0F28vxB6MvZRKpXLKkA555bNYiuHW17htaGqHyoFp&#10;KGGqwefEg0+IYJWs4u0kkW+2K+XJjsUlTN+xzXtpsfSaQdvnVWitbejZBibVc1ORcHA4nuAlM40S&#10;NPYEmhIlsDQaPQVlUIKTptHa2uqw8TEcPVylJNJx7eOu/u2nrNNTX/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fAI9tUAAAAGAQAADwAAAAAAAAABACAAAAAiAAAAZHJzL2Rvd25yZXYueG1sUEsB&#10;AhQAFAAAAAgAh07iQLsXu2gxAgAAMgQAAA4AAAAAAAAAAQAgAAAAJAEAAGRycy9lMm9Eb2MueG1s&#10;UEsFBgAAAAAGAAYAWQEAAMcFAAAAAA==&#10;">
                        <v:fill on="f" focussize="0,0"/>
                        <v:stroke weight="0.25pt" color="#000000 [3213]" joinstyle="round" dashstyle="dashDot" endarrow="block" endarrowwidth="narrow" endarrowlength="short"/>
                        <v:imagedata o:title=""/>
                        <o:lock v:ext="edit" aspectratio="f"/>
                      </v:shape>
                      <v:shape id="_x0000_s1026" o:spid="_x0000_s1026" o:spt="202" type="#_x0000_t202" style="position:absolute;left:3435350;top:2051685;height:4776470;width:721360;" filled="f" stroked="t" coordsize="21600,21600" o:gfxdata="UEsDBAoAAAAAAIdO4kAAAAAAAAAAAAAAAAAEAAAAZHJzL1BLAwQUAAAACACHTuJARuwwt9YAAAAG&#10;AQAADwAAAGRycy9kb3ducmV2LnhtbE2PzW7CMBCE75X6DtYicStOAkUoxOHQilYqpxLE2cRLEiVe&#10;R7H5ydt320u5jLSa0cy32eZuO3HFwTeOFMSzCARS6UxDlYJDsX1ZgfBBk9GdI1QwoodN/vyU6dS4&#10;G33jdR8qwSXkU62gDqFPpfRljVb7meuR2Du7werA51BJM+gbl9tOJlG0lFY3xAu17vGtxrLdX6yC&#10;5n2sdu2n3H1tj2NRHD8S086tUtNJHK1BBLyH/zD84jM65Mx0chcyXnQK+JHwp+yt4mQJ4sShePG6&#10;AJln8hE//wFQSwMEFAAAAAgAh07iQEoiJ3ZoAgAAuQQAAA4AAABkcnMvZTJvRG9jLnhtbK1US27b&#10;MBDdF+gdCO4b+W/XiBy4MVIUCJoAadE1TVGRUIrDkrSl9ADNDbrqpvueK+fooyQnQdJFFt3QQ87z&#10;m5k3Mzo+aSrN9sr5kkzKh0cDzpSRlJXmOuWfP529WXDmgzCZ0GRUym+U5yer16+Oa7tUIypIZ8ox&#10;kBi/rG3KixDsMkm8LFQl/BFZZeDMyVUi4Oquk8yJGuyVTkaDwSypyWXWkVTe43XTOXnP6F5CSHle&#10;SrUhuauUCR2rU1oElOSL0nq+arPNcyXDRZ57FZhOOSoN7YkgsLfxTFbHYnnthC1K2acgXpLCk5oq&#10;URoEvafaiCDYzpXPqKpSOvKUhyNJVdIV0iqCKoaDJ9pcFcKqthZI7e296P7/0cqP+0vHyizlo8WI&#10;MyMqtPzu5+3drz93v3+w+AiJauuXQF5ZYEPzjhoMzuHd4zFW3uSuir+oicE/noyn4ylkvgH1YDqc&#10;Laad2KoJTAIwHw3HM/glAJP5fDaZt91IHpis8+G9oopFI+UOzWw1FvtzH5AVoAdIDGzorNS6bag2&#10;rE75LMaPHk+6zKIzXuJfTrVje4GR2Gohv8a8wPUMtRG+6GAZrA2FHqgN8FGSrvRohWbb9DptKbuB&#10;TI66WfNWnpUIeS58uBQOw4WasX7hAkeuCXlSb3FWkPv+r/eIR8/h5azGsKbcf9sJpzjTHwym4e1w&#10;MgFtaC+T6XyEi3vs2T72mF11Sih+iEW3sjUjPuiDmTuqvmBL1zEqXMJIxE55OJinoVshbLlU63UL&#10;wjxbEc7NlZWRuuvIehcoL9tmRZk6bXr1MNGt7v32xZV5fG9RD1+c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G7DC31gAAAAYBAAAPAAAAAAAAAAEAIAAAACIAAABkcnMvZG93bnJldi54bWxQSwEC&#10;FAAUAAAACACHTuJASiIndmgCAAC5BAAADgAAAAAAAAABACAAAAAlAQAAZHJzL2Uyb0RvYy54bWxQ&#10;SwUGAAAAAAYABgBZAQAA/wUAAAAA&#10;">
                        <v:fill on="f" focussize="0,0"/>
                        <v:stroke weight="0.5pt" color="#000000 [3204]" joinstyle="round" dashstyle="dashDot"/>
                        <v:imagedata o:title=""/>
                        <o:lock v:ext="edit" aspectratio="f"/>
                        <v:textbox>
                          <w:txbxContent>
                            <w:p w14:paraId="41EA8186"/>
                          </w:txbxContent>
                        </v:textbox>
                      </v:shape>
                      <v:shape id="_x0000_s1026" o:spid="_x0000_s1026" o:spt="32" type="#_x0000_t32" style="position:absolute;left:4166870;top:5098415;flip:y;height:4445;width:224155;" filled="f" stroked="t" coordsize="21600,21600" o:gfxdata="UEsDBAoAAAAAAIdO4kAAAAAAAAAAAAAAAAAEAAAAZHJzL1BLAwQUAAAACACHTuJAYCpVodYAAAAG&#10;AQAADwAAAGRycy9kb3ducmV2LnhtbE2PzU7DMBCE70i8g7VI3Kid0p80xOkBiZ8Dh1J4ADfeJhH2&#10;OoqdtPD0LFzgMtJqRjPfltuzd2LCIXaBNGQzBQKpDrajRsP728NNDiImQ9a4QKjhEyNsq8uL0hQ2&#10;nOgVp31qBJdQLIyGNqW+kDLWLXoTZ6FHYu8YBm8Sn0Mj7WBOXO6dnCu1kt50xAut6fG+xfpjP3oN&#10;653rX9T4ONkubJ7y9e34/LVEra+vMnUHIuE5/YXhB5/RoWKmQxjJRuE08CPpV9nLs/kKxIFD2WK5&#10;AFmV8j9+9Q1QSwMEFAAAAAgAh07iQD0DPlIeAgAA+AMAAA4AAABkcnMvZTJvRG9jLnhtbK1TvY4T&#10;MRDukXgHyz3ZJJfkQpTNFQlHg+AkfnrH69215D/N+LLJS/ACSFRAdVBdz9PA8RiMveGAo7mCLVZj&#10;e+b75vs8Xp7trWE7Bai9K/loMORMOekr7ZqSv351/mjOGUbhKmG8UyU/KORnq4cPll1YqLFvvakU&#10;MAJxuOhCydsYw6IoULbKChz4oBwd1h6siLSEpqhAdIRuTTEeDmdF56EK4KVCpN1Nf8iPiHAfQF/X&#10;WqqNl5dWudijgjIikiRsdUC+yt3WtZLxRV2jisyUnJTG/CcSirfpX6yWYtGACK2WxxbEfVq4o8kK&#10;7Yj0FmojomCXoP+BslqCR1/HgfS26IVkR0jFaHjHm5etCCprIasx3JqO/w9WPt9dANNVycfzE86c&#10;sHTlN++uv7/9ePPl87cP1z++vk/x1SeWEsiuLuCCqtbuAo4rDBeQtO9rsKw2OryhucpukD62L/lk&#10;NJvNT8nyQ8mnw8fzyWjaG6/2kUlKGI9pa8qZpITJZJJPix4wAQfA+FR5y1JQcowgdNPGtXeOLthD&#10;TyZ2zzBSS1T4qyAVO3+ujcn3bBzrSn4yOk1Ugma3ppmh0AbSj67hTJiGHoWMkNtHb3SVqhMOQrNd&#10;G2A7kUYpf0kEsf2Vlqg3Ats+r6Jo42OvNgptnriKxUMgkyNo4RqjeOoJLWdGETUFPahxhJ287t1N&#10;0dZXh2x63qeByOzH4U0T9+c6V/9+sK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CpVodYAAAAG&#10;AQAADwAAAAAAAAABACAAAAAiAAAAZHJzL2Rvd25yZXYueG1sUEsBAhQAFAAAAAgAh07iQD0DPlIe&#10;AgAA+AMAAA4AAAAAAAAAAQAgAAAAJQEAAGRycy9lMm9Eb2MueG1sUEsFBgAAAAAGAAYAWQEAALUF&#10;AAAAAA==&#10;">
                        <v:fill on="f" focussize="0,0"/>
                        <v:stroke weight="0.25pt" color="#000000 [3213]" joinstyle="round" dashstyle="dashDot" endarrow="block" endarrowwidth="narrow" endarrowlength="short"/>
                        <v:imagedata o:title=""/>
                        <o:lock v:ext="edit" aspectratio="f"/>
                      </v:shape>
                      <v:shape id="_x0000_s1026" o:spid="_x0000_s1026" o:spt="202" type="#_x0000_t202" style="position:absolute;left:4379595;top:4970780;height:234950;width:593725;"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7Fqwu0cCAAB1BAAADgAAAGRycy9lMm9Eb2MueG1srVTL&#10;bhMxFN0j8Q+W93TybB7KpAqtipAqWqkg1o7H0xnJL2ynM+UD4A+6YsOe7+p3cOyZtKGw6IKNc+17&#10;51yfc4+zOmmVJLfC+dronA6PBpQIzU1R65ucfvp4/mZOiQ9MF0waLXJ6Jzw9Wb9+tWrsUoxMZWQh&#10;HAGI9svG5rQKwS6zzPNKKOaPjBUaydI4xQK27iYrHGuArmQ2GgyOs8a4wjrDhfc4PeuStEd0LwE0&#10;ZVlzcWb4TgkdOlQnJAug5KvaerpOty1LwcNlWXoRiMwpmIa0ognibVyz9YotbxyzVc37K7CXXOEZ&#10;J8VqjaaPUGcsMLJz9V9QqubOeFOGI25U1hFJioDFcPBMm+uKWZG4QGpvH0X3/w+Wf7i9cqQucjqa&#10;TyjRTGHkD/ffH378evj5jcRDSNRYv0TltUVtaN+aFsbZn3scRuZt6VT8BSeC/GQ8W0wXU0ruEC9m&#10;g9m8F1u0gXAUTBfj2Qh5joLReLKYpnz2BGSdD++EUSQGOXWYZZKY3V74gEuhdF8S+2pzXkuZ5ik1&#10;aXJ6PAbkHxl8ITU+jHS6a8cotNu257g1xR0oOtP5xFt+XqP5BfPhijkYA7bB0wmXWEpp0MT0ESWV&#10;cV//dR7rMS9kKWlgtJz6LzvmBCXyvcYkF8PJJDozbSbT2Qgbd5jZHmb0Tp0aeHmIR2p5CmN9kPuw&#10;dEZ9xgvbxK5IMc3RO6dhH56Gzv54oVxsNqkIXrQsXOhryyN0J9pmF0xZJ6WjTJ02vXpwYxpA/3Ki&#10;3Q/3qerp32L9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pisx3YAAAABgEAAA8AAAAAAAAAAQAg&#10;AAAAIgAAAGRycy9kb3ducmV2LnhtbFBLAQIUABQAAAAIAIdO4kDsWrC7RwIAAHUEAAAOAAAAAAAA&#10;AAEAIAAAACcBAABkcnMvZTJvRG9jLnhtbFBLBQYAAAAABgAGAFkBAADgBQAAAAA=&#10;">
                        <v:fill on="f" focussize="0,0"/>
                        <v:stroke on="f" weight="0.5pt"/>
                        <v:imagedata o:title=""/>
                        <o:lock v:ext="edit" aspectratio="f"/>
                        <v:textbox>
                          <w:txbxContent>
                            <w:p w14:paraId="2ABB057C">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设备噪声</w:t>
                              </w:r>
                            </w:p>
                          </w:txbxContent>
                        </v:textbox>
                      </v:shape>
                      <v:shape id="_x0000_s1026" o:spid="_x0000_s1026" o:spt="202" type="#_x0000_t202" style="position:absolute;left:1850390;top:3159760;height:2360930;width:687070;" filled="f" stroked="t" coordsize="21600,21600" o:gfxdata="UEsDBAoAAAAAAIdO4kAAAAAAAAAAAAAAAAAEAAAAZHJzL1BLAwQUAAAACACHTuJARuwwt9YAAAAG&#10;AQAADwAAAGRycy9kb3ducmV2LnhtbE2PzW7CMBCE75X6DtYicStOAkUoxOHQilYqpxLE2cRLEiVe&#10;R7H5ydt320u5jLSa0cy32eZuO3HFwTeOFMSzCARS6UxDlYJDsX1ZgfBBk9GdI1QwoodN/vyU6dS4&#10;G33jdR8qwSXkU62gDqFPpfRljVb7meuR2Du7werA51BJM+gbl9tOJlG0lFY3xAu17vGtxrLdX6yC&#10;5n2sdu2n3H1tj2NRHD8S086tUtNJHK1BBLyH/zD84jM65Mx0chcyXnQK+JHwp+yt4mQJ4sShePG6&#10;AJln8hE//wFQSwMEFAAAAAgAh07iQLoxCuVoAgAAuQQAAA4AAABkcnMvZTJvRG9jLnhtbK1UzW4T&#10;MRC+I/EOlu90N0nzq2yq0KgIqaKVCuLseL1ZC9tjbCe75QHgDThx4c5z9TkYezdt1XLogYsz9nz7&#10;jb/PM1metVqRg3Begino4CSnRBgOpTS7gn76ePFmRokPzJRMgREFvRWenq1ev1o2diGGUIMqhSNI&#10;YvyisQWtQ7CLLPO8Fpr5E7DCYLICp1nArdtlpWMNsmuVDfN8kjXgSuuAC+/xdNMlac/oXkIIVSW5&#10;2ADfa2FCx+qEYgEl+VpaT1fptlUleLiqKi8CUQVFpSGtWATjbVyz1ZItdo7ZWvL+CuwlV3iiSTNp&#10;sOg91YYFRvZOPqPSkjvwUIUTDjrrhCRHUMUgf+LNTc2sSFrQam/vTff/j5Z/OFw7IsuCDmdjSgzT&#10;+OR3P3/c/fpz9/s7iYdoUWP9ApE3FrGhfQstNs7x3ONhVN5WTsdf1ERifjbOR3O0+bago8F4Pp30&#10;Zos2EI6AyWyaTzHPETAcTfL5KAGyBybrfHgnQJMYFNThYyaP2eHSB7wVQo+QWNjAhVQqPagypMEK&#10;o3GePvCgZBmTERY/OVeOHBi2xFYx/iUqQa5nqA3zdQcrMdpA6IHKID5a0kmPUWi3be/TFspbtMlB&#10;12ve8guJJS+ZD9fMYXOhZhy/cIVLpQDvCX1ESQ3u27/OIx7fHLOUNNisBfVf98wJStR7g90wH5ye&#10;Im1Im9PxdIgb9zizfZwxe30OKH6Ag255CiM+qGNYOdCfcUrXsSqmmOFYu6DhGJ6HboRwyrlYrxMI&#10;+9mycGluLI/U3Yus9wEqmR4r2tR507uHHZ1876cvjszjfUI9/OO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G7DC31gAAAAYBAAAPAAAAAAAAAAEAIAAAACIAAABkcnMvZG93bnJldi54bWxQSwEC&#10;FAAUAAAACACHTuJAujEK5WgCAAC5BAAADgAAAAAAAAABACAAAAAlAQAAZHJzL2Uyb0RvYy54bWxQ&#10;SwUGAAAAAAYABgBZAQAA/wUAAAAA&#10;">
                        <v:fill on="f" focussize="0,0"/>
                        <v:stroke weight="0.5pt" color="#000000 [3204]" joinstyle="round" dashstyle="dashDot"/>
                        <v:imagedata o:title=""/>
                        <o:lock v:ext="edit" aspectratio="f"/>
                        <v:textbox>
                          <w:txbxContent>
                            <w:p w14:paraId="7A976ECC"/>
                          </w:txbxContent>
                        </v:textbox>
                      </v:shape>
                      <v:shape id="_x0000_s1026" o:spid="_x0000_s1026" o:spt="32" type="#_x0000_t32" style="position:absolute;left:2548255;top:5233035;flip:y;height:4445;width:224155;" filled="f" stroked="t" coordsize="21600,21600" o:gfxdata="UEsDBAoAAAAAAIdO4kAAAAAAAAAAAAAAAAAEAAAAZHJzL1BLAwQUAAAACACHTuJAYCpVodYAAAAG&#10;AQAADwAAAGRycy9kb3ducmV2LnhtbE2PzU7DMBCE70i8g7VI3Kid0p80xOkBiZ8Dh1J4ADfeJhH2&#10;OoqdtPD0LFzgMtJqRjPfltuzd2LCIXaBNGQzBQKpDrajRsP728NNDiImQ9a4QKjhEyNsq8uL0hQ2&#10;nOgVp31qBJdQLIyGNqW+kDLWLXoTZ6FHYu8YBm8Sn0Mj7WBOXO6dnCu1kt50xAut6fG+xfpjP3oN&#10;653rX9T4ONkubJ7y9e34/LVEra+vMnUHIuE5/YXhB5/RoWKmQxjJRuE08CPpV9nLs/kKxIFD2WK5&#10;AFmV8j9+9Q1QSwMEFAAAAAgAh07iQHl9IpEbAgAA+AMAAA4AAABkcnMvZTJvRG9jLnhtbK1TS44T&#10;MRDdI3EHy3vS+Q5RlM4sEoYNgkh89o7b3W3JP1V50skluAASK2DFsJo9p4HhGJTdYYBhMwt60Srb&#10;Ve/Vey4vzw/WsL0C1N6VfDQYcqac9JV2Tclfv7p4NOcMo3CVMN6pkh8V8vPVwwfLLizU2LfeVAoY&#10;gThcdKHkbYxhURQoW2UFDnxQjg5rD1ZEWkJTVCA6QremGA+HZ0XnoQrgpUKk3U1/yE+IcB9AX9da&#10;qo2Xl1a52KOCMiKSJGx1QL7K3da1kvFFXaOKzJSclMb8JxKKd+lfrJZi0YAIrZanFsR9WrijyQrt&#10;iPQWaiOiYJeg/4GyWoJHX8eB9LbohWRHSMVoeMebl60IKmshqzHcmo7/D1Y+32+B6ark4/kZZ05Y&#10;uvKbd9ff3368+XL17cP1j6/vU/z5E0sJZFcXcEFVa7eF0wrDFpL2Qw2W1UaHNzRX2Q3Sxw4EPZvO&#10;x7MZZ8eSz8aTyXAy641Xh8hkShhPR+lcUsJ0Os2nRQ+YgANgfKq8ZSkoOUYQumnj2jtHF+yhJxP7&#10;ZxipJSr8VZCKnb/QxuR7No51JZ+MHicqQbNb08xQaAPpR9dwJkxDj0JGyO2jN7pK1QkHodmtDbC9&#10;SKOUvySC2P5KS9QbgW2fV1G08bFXG4U2T1zF4jGQyRG0cI1RPPWEljOjiJqCHtQ4wk5e9+6maOer&#10;YzY979NAZPbT8KaJ+3Odq38/2N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CpVodYAAAAGAQAA&#10;DwAAAAAAAAABACAAAAAiAAAAZHJzL2Rvd25yZXYueG1sUEsBAhQAFAAAAAgAh07iQHl9IpEbAgAA&#10;+AMAAA4AAAAAAAAAAQAgAAAAJQEAAGRycy9lMm9Eb2MueG1sUEsFBgAAAAAGAAYAWQEAALIFAAAA&#10;AA==&#10;">
                        <v:fill on="f" focussize="0,0"/>
                        <v:stroke weight="0.25pt" color="#000000 [3213]" joinstyle="round" dashstyle="dashDot" endarrow="block" endarrowwidth="narrow" endarrowlength="short"/>
                        <v:imagedata o:title=""/>
                        <o:lock v:ext="edit" aspectratio="f"/>
                      </v:shape>
                      <v:shape id="_x0000_s1026" o:spid="_x0000_s1026" o:spt="202" type="#_x0000_t202" style="position:absolute;left:2760980;top:5105400;height:234950;width:593725;"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ksdD2UoCAAB1BAAADgAAAGRycy9lMm9Eb2MueG1srVTB&#10;btswDL0P2D8Iui92nLhpgjhF1iDDgGIt0A07K7IcG5BETVJqdx+w/UFPu+y+7+p3jJKdtut26GEX&#10;hRLpR75HMsuzTklyI6xrQBd0PEopEZpD2eh9QT993L45pcR5pksmQYuC3gpHz1avXy1bsxAZ1CBL&#10;YQmCaLdoTUFr780iSRyvhWJuBEZodFZgFfN4tfuktKxFdCWTLE1PkhZsaSxw4Ry+bnonHRDtSwCh&#10;qhouNsAPSmjfo1ohmUdKrm6Mo6tYbVUJ7i+ryglPZEGRqY8nJkF7F85ktWSLvWWmbvhQAntJCc84&#10;KdZoTPoAtWGekYNt/oJSDbfgoPIjDirpiURFkMU4fabNdc2MiFxQamceRHf/D5Z/uLmypCkLmp3O&#10;KNFMYcvv777f//h1//MbCY8oUWvcAiOvDcb67i10ODjHd4ePgXlXWRV+kRNBfzY7SeenKPNtQfNx&#10;mk/TQWzRecIxIJ9PZllOCceAbDKd59GfPAIZ6/w7AYoEo6AWexklZjcXzmNRGHoMCXk1bBspYz+l&#10;Jm1BTyYI+YcHv5AaPwx0+rKD5btdN3DcQXmLFC30c+IM3zaY/II5f8UsDgbywdXxl3hUEjAJDBYl&#10;Ndiv/3oP8dgv9FLS4qAV1H05MCsoke81dnI+nk7DZMbLNJ9leLFPPbunHn1Q54CzPMYlNTyaId7L&#10;o1lZUJ9xw9YhK7qY5pi7oP5onvt+/HFDuVivYxDOomH+Ql8bHqB70dYHD1UTlQ4y9doM6uE0xgYM&#10;mxPG/ek9Rj3+W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pisx3YAAAABgEAAA8AAAAAAAAA&#10;AQAgAAAAIgAAAGRycy9kb3ducmV2LnhtbFBLAQIUABQAAAAIAIdO4kCSx0PZSgIAAHUEAAAOAAAA&#10;AAAAAAEAIAAAACcBAABkcnMvZTJvRG9jLnhtbFBLBQYAAAAABgAGAFkBAADjBQAAAAA=&#10;">
                        <v:fill on="f" focussize="0,0"/>
                        <v:stroke on="f" weight="0.5pt"/>
                        <v:imagedata o:title=""/>
                        <o:lock v:ext="edit" aspectratio="f"/>
                        <v:textbox>
                          <w:txbxContent>
                            <w:p w14:paraId="1171B6E5">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设备噪声</w:t>
                              </w:r>
                            </w:p>
                          </w:txbxContent>
                        </v:textbox>
                      </v:shape>
                      <v:shape id="_x0000_s1026" o:spid="_x0000_s1026" o:spt="202" type="#_x0000_t202" style="position:absolute;left:1269365;top:4669790;height:247015;width:384175;"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NZQNbkgCAAB1BAAADgAAAGRycy9lMm9Eb2MueG1srVTN&#10;jtMwEL4j8Q6W7zRNt//adFW2KkKq2JUK4uw6ziaS7TG226Q8ALwBJy7cea4+B2Mn7a4WDnvg4o49&#10;02/8ffM51zeNkuQgrKtAZzTt9SkRmkNe6YeMfvq4fjOlxHmmcyZBi4wehaM3i9evrmszFwMoQebC&#10;EgTRbl6bjJbem3mSOF4KxVwPjNCYLMAq5nFrH5LcshrRlUwG/f44qcHmxgIXzuHpqk3SDtG+BBCK&#10;ouJiBXyvhPYtqhWSeaTkyso4uoi3LQrB/V1ROOGJzCgy9XHFJhjvwposrtn8wTJTVry7AnvJFZ5x&#10;UqzS2PQCtWKekb2t/oJSFbfgoPA9DippiURFkEXaf6bNtmRGRC4otTMX0d3/g+UfDveWVHlGB1Mc&#10;vGYKR3768f308/fp1zcSDlGi2rg5Vm4N1vrmLTRonPO5w8PAvCmsCr/IiYT8YDy7Go8oOWZ0OB7P&#10;JrNObNF4wrHgajpMJ5jnWDAYTvrpKCAmj0DGOv9OgCIhyKjFWUaJ2WHjfFt6Lgl9NawrKeM8pSZ1&#10;RsdXo378wyWD4FJjj0CnvXaIfLNrOo47yI9I0ULrE2f4usLmG+b8PbNoDLQNPh1/h0shAZtAF1FS&#10;gv36r/NQj/PCLCU1Gi2j7sueWUGJfK9xkrN0OAzOjJvhaDLAjX2a2T3N6L26BfRyio/U8BiGei/P&#10;YWFBfcYXtgxdMcU0x94Z9efw1rf2xxfKxXIZi9CLhvmN3hoeoFs5l3sPRRWVDjK12nTqoRvjrLqX&#10;E+z+dB+rHr8Wi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qYrMd2AAAAAYBAAAPAAAAAAAAAAEA&#10;IAAAACIAAABkcnMvZG93bnJldi54bWxQSwECFAAUAAAACACHTuJANZQNbkgCAAB1BAAADgAAAAAA&#10;AAABACAAAAAnAQAAZHJzL2Uyb0RvYy54bWxQSwUGAAAAAAYABgBZAQAA4QUAAAAA&#10;">
                        <v:fill on="f" focussize="0,0"/>
                        <v:stroke on="f" weight="0.5pt"/>
                        <v:imagedata o:title=""/>
                        <o:lock v:ext="edit" aspectratio="f"/>
                        <v:textbox>
                          <w:txbxContent>
                            <w:p w14:paraId="5E687390">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沥青</w:t>
                              </w:r>
                            </w:p>
                          </w:txbxContent>
                        </v:textbox>
                      </v:shape>
                      <v:shape id="_x0000_s1026" o:spid="_x0000_s1026" o:spt="32" type="#_x0000_t32" style="position:absolute;left:1461770;top:4916805;height:144780;width:3175;" filled="f" stroked="t" coordsize="21600,21600" o:gfxdata="UEsDBAoAAAAAAIdO4kAAAAAAAAAAAAAAAAAEAAAAZHJzL1BLAwQUAAAACACHTuJAEJ9ds9cAAAAG&#10;AQAADwAAAGRycy9kb3ducmV2LnhtbE2PQUvDQBCF74L/YRnBi9hN0lpLzKagIhQKBWt73+6OyWJ2&#10;NmS3afvvHb3o5cHwHu99Uy3PvhMjDtEFUpBPMhBIJlhHjYLdx9v9AkRMmqzuAqGCC0ZY1tdXlS5t&#10;ONE7jtvUCC6hWGoFbUp9KWU0LXodJ6FHYu8zDF4nPodG2kGfuNx3ssiyufTaES+0useXFs3X9ugV&#10;mLuNeYzFatyv/OvFTeV66p7XSt3e5NkTiITn9BeGH3xGh5qZDuFINopOAT+SfpW9RV7MQRw4lM8e&#10;ZiDrSv7Hr78BUEsDBBQAAAAIAIdO4kBy+9beLQIAADAEAAAOAAAAZHJzL2Uyb0RvYy54bWytk8+O&#10;0zAQxu9IvIPlO01Tum03arqHluWCoBLwAK7jJJb8Tx5v074EL4DECTixnPbO08DyGIydtssulz2Q&#10;QzTO2L+Z7/NkfrHTimyFB2lNSfPBkBJhuK2kaUr6/t3lsxklEJipmLJGlHQvgF4snj6Zd64QI9ta&#10;VQlPEGKg6FxJ2xBckWXAW6EZDKwTBpO19ZoFXPomqzzrkK5VNhoOJ1lnfeW85QIAv676JD0Q/WOA&#10;tq4lFyvLr7Qwoad6oVhASdBKB3SRuq1rwcObugYRiCopKg3pjUUw3sR3tpizovHMtZIfWmCPaeGB&#10;Js2kwaIn1IoFRq68/AelJfcWbB0G3OqsF5IcQRX58IE3b1vmRNKCVoM7mQ7/D8tfb9eeyKqko9k5&#10;JYZpvPLbjze/Pny5/X798/PN7x+fYvztK4kb0K7OQYGnlmbto2AIy505AHByZLVDVG+rMNUxl4/R&#10;8JRLlmf3IHEBrsftaq8jFp0hSMrHk3w6xbP7ko7P88lseHZg7wLhuOF5Pj2jhGM6H4+ns57OiiPG&#10;eQgvhdUkBiWF4Jls2rC0xuBoWJ+nS2PbVxBQWsaK44HYg7GXUqk0IcqQ7lSM4dTXOG1YVzt0DkxD&#10;CVMN/k48+EQEq2QVTyeLfLNZKk+2LA5heqIIrHZvWyy9YtD2+1Kq1xqYVC9MRcLe4eUEL5lplKCx&#10;I9CUKIGFMeiRyiD5ztEYbWy1X/uYjiscpFT7MPRxUv9ep113P/r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CfXbPXAAAABgEAAA8AAAAAAAAAAQAgAAAAIgAAAGRycy9kb3ducmV2LnhtbFBLAQIU&#10;ABQAAAAIAIdO4kBy+9beLQIAADAEAAAOAAAAAAAAAAEAIAAAACYBAABkcnMvZTJvRG9jLnhtbFBL&#10;BQYAAAAABgAGAFkBAADFBQAAAAA=&#10;">
                        <v:fill on="f" focussize="0,0"/>
                        <v:stroke weight="0.25pt" color="#000000 [3213]" joinstyle="round" endarrow="block" endarrowwidth="narrow" endarrowlength="short"/>
                        <v:imagedata o:title=""/>
                        <o:lock v:ext="edit" aspectratio="f"/>
                      </v:shape>
                      <v:shape id="_x0000_s1026" o:spid="_x0000_s1026" o:spt="202" type="#_x0000_t202" style="position:absolute;left:181610;top:4582160;height:399415;width:810260;"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dOlmkUcCAAB0BAAADgAAAGRycy9lMm9Eb2MueG1srVTB&#10;btswDL0P2D8Iui+20yRLgjpF1iDDgGIt0A07K7IUG5BETVJqdx+w/UFPu+y+7+p3jJKdtuh26GEX&#10;hSKZR71H0qdnnVbkRjjfgClpMcopEYZD1Zh9ST9/2r6ZU+IDMxVTYERJb4WnZ6vXr05buxRjqEFV&#10;whEEMX7Z2pLWIdhllnleC838CKwwGJTgNAt4dfuscqxFdK2ycZ7PshZcZR1w4T16N32QDojuJYAg&#10;ZcPFBvhBCxN6VCcUC0jJ1431dJVeK6Xg4VJKLwJRJUWmIZ1YBO1dPLPVKVvuHbN1w4cnsJc84Rkn&#10;zRqDRR+gNiwwcnDNX1C64Q48yDDioLOeSFIEWRT5M22ua2ZF4oJSe/sguv9/sPzjzZUjTVXS8QI1&#10;MUxjy+/vftz//H3/6zuJTpSotX6JmdcWc0P3DjocnKPfozMy76TT8Rc5kRifF7MCEW9LOpnOx8Vs&#10;0Fp0gXCMz4t8jD7CMeFksZgU0wiYPeJY58N7AZpEo6QOW5kUZjcXPvSpx5RY1sC2USq1UxnSlnR2&#10;Ms3THx4iCK4M1ohs+ldHK3S7bqC4g+oWGTrox8Rbvm2w+AXz4Yo5nAt8L25OuMRDKsAiMFiU1OC+&#10;/csf87FdGKWkxTkrqf96YE5Qoj4YbOSimEwQNqTLZPp2jBf3NLJ7GjEHfQ44ygXuqOXJjPlBHU3p&#10;QH/BBVvHqhhihmPtkoajeR766ccF5WK9Tkk4ipaFC3NteYTu5VwfAsgmKR1l6rUZ1MNhTL0aFidO&#10;+9N7ynr8WK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pisx3YAAAABgEAAA8AAAAAAAAAAQAg&#10;AAAAIgAAAGRycy9kb3ducmV2LnhtbFBLAQIUABQAAAAIAIdO4kB06WaRRwIAAHQEAAAOAAAAAAAA&#10;AAEAIAAAACcBAABkcnMvZTJvRG9jLnhtbFBLBQYAAAAABgAGAFkBAADgBQAAAAA=&#10;">
                        <v:fill on="f" focussize="0,0"/>
                        <v:stroke on="f" weight="0.5pt"/>
                        <v:imagedata o:title=""/>
                        <o:lock v:ext="edit" aspectratio="f"/>
                        <v:textbox>
                          <w:txbxContent>
                            <w:p w14:paraId="0A23313C">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天然气燃烧废气、设备噪声</w:t>
                              </w:r>
                            </w:p>
                          </w:txbxContent>
                        </v:textbox>
                      </v:shape>
                      <v:shape id="_x0000_s1026" o:spid="_x0000_s1026" o:spt="32" type="#_x0000_t32" style="position:absolute;left:579120;top:4981575;flip:y;height:213995;width:7620;" filled="f" stroked="t" coordsize="21600,21600" o:gfxdata="UEsDBAoAAAAAAIdO4kAAAAAAAAAAAAAAAAAEAAAAZHJzL1BLAwQUAAAACACHTuJAYCpVodYAAAAG&#10;AQAADwAAAGRycy9kb3ducmV2LnhtbE2PzU7DMBCE70i8g7VI3Kid0p80xOkBiZ8Dh1J4ADfeJhH2&#10;OoqdtPD0LFzgMtJqRjPfltuzd2LCIXaBNGQzBQKpDrajRsP728NNDiImQ9a4QKjhEyNsq8uL0hQ2&#10;nOgVp31qBJdQLIyGNqW+kDLWLXoTZ6FHYu8YBm8Sn0Mj7WBOXO6dnCu1kt50xAut6fG+xfpjP3oN&#10;653rX9T4ONkubJ7y9e34/LVEra+vMnUHIuE5/YXhB5/RoWKmQxjJRuE08CPpV9nLs/kKxIFD2WK5&#10;AFmV8j9+9Q1QSwMEFAAAAAgAh07iQOo4QwQ3AgAAOwQAAA4AAABkcnMvZTJvRG9jLnhtbK1Ty24T&#10;MRTdI/EPlvdkMlPSdEaZdJFQNggi8dg7Hs+MJb/k6+bxE/wAEitgBay652ugfAbXnjQtZdMFs7Cu&#10;5/qee8/x8ex8pxXZCA/SmprmozElwnDbSNPV9O2biydnlEBgpmHKGlHTvQB6Pn/8aLZ1lShsb1Uj&#10;PEEQA9XW1bQPwVVZBrwXmsHIOmEw2VqvWcCt77LGsy2ia5UV4/FptrW+cd5yAYB/l0OSHhD9QwBt&#10;20oulpZfamHCgOqFYgEpQS8d0Hmatm0FD6/aFkQgqqbINKQVm2C8jms2n7Gq88z1kh9GYA8Z4R4n&#10;zaTBpkeoJQuMXHr5D5SW3FuwbRhxq7OBSFIEWeTje9q87pkTiQtKDe4oOvw/WP5ys/JENjUtypwS&#10;wzRe+fWHq1/vP19///bz09XvHx9j/PULiQdQrq2DCqsWZuUjYQiLnUkA+WRKMdgdZRWmuckVJQqe&#10;ckXEyP4CiRtwA9yu9Zq0Srp36M2kKGpEEHMyLfMCQfY1fVqeYa/JcHdiFwjH/PQ0Zjmmi/ykLFM2&#10;Y1XEi2M6D+G5sJrEoKYQPJNdHxbWGPSI9UMvtnkBIc53WxCLjb2QSiWrKEO2NT3JsT3hDO3fou0w&#10;1A4lBNNRwlSH74oHn6YHq2QTq5NWvlsvlCcbFt2YvqQGqnj3WBxxyaAfzjUYLW0Y2AYm1TPTkLB3&#10;eE/BS2Y6JWicCTQlSmBrDAYKyhyUHsSNMq9ts1/5mxtATyWuB/9H097dp+rbNz//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AqVaHWAAAABgEAAA8AAAAAAAAAAQAgAAAAIgAAAGRycy9kb3ducmV2&#10;LnhtbFBLAQIUABQAAAAIAIdO4kDqOEMENwIAADsEAAAOAAAAAAAAAAEAIAAAACUBAABkcnMvZTJv&#10;RG9jLnhtbFBLBQYAAAAABgAGAFkBAADOBQAAAAA=&#10;">
                        <v:fill on="f" focussize="0,0"/>
                        <v:stroke weight="0.25pt" color="#000000 [3213]" joinstyle="round" dashstyle="dashDot" endarrow="block" endarrowwidth="narrow" endarrowlength="short"/>
                        <v:imagedata o:title=""/>
                        <o:lock v:ext="edit" aspectratio="f"/>
                      </v:shape>
                      <v:shape id="_x0000_s1026" o:spid="_x0000_s1026" o:spt="202" type="#_x0000_t202" style="position:absolute;left:3053715;top:1697355;height:245745;width:476250;"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HG2QAUgCAAB1BAAADgAAAGRycy9lMm9Eb2MueG1srVTN&#10;bhMxEL4j8Q6W73STzR+JuqlCqyKkilYKiLPj9XZX8h+2k93wAPAGnLhw57n6HHz2Jm0pHHrg4ow9&#10;334z881MTs86JclOON8YXdDhyYASobkpG31b0I8fLl+9psQHpksmjRYF3QtPz5YvX5y2diFyUxtZ&#10;CkdAov2itQWtQ7CLLPO8For5E2OFhrMyTrGAq7vNSsdasCuZ5YPBNGuNK60zXHiP14veSQ+M7jmE&#10;pqoaLi4M3yqhQ8/qhGQBJfm6sZ4uU7ZVJXi4riovApEFRaUhnQgCexPPbHnKFreO2brhhxTYc1J4&#10;UpNijUbQe6oLFhjZuuYvKtVwZ7ypwgk3KusLSYqgiuHgiTbrmlmRaoHU3t6L7v8fLX+/u3GkKQua&#10;z3NKNFNo+d33b3c/ft39/EriIyRqrV8AubbAhu6N6TA4x3ePx1h5VzkVf1ETgX80mIxmwwkle2Cn&#10;89loMunFFl0gHIDxbJpP0AYOQD6ezMbJnz0QWefDW2EUiUZBHXqZJGa7Kx+QFKBHSIyrzWUjZeqn&#10;1KQt6HQE+j88+EJqfBjL6dOOVug23aHGjSn3KNGZfk685ZcNgl8xH26Yw2AgX6xOuMZRSYMg5mBR&#10;Uhv35V/vEY9+wUtJi0ErqP+8ZU5QIt9pdHI+HI/jZKYLdMhxcY89m8cevVXnBrM8xJJansyID/Jo&#10;Vs6oT9iwVYwKF9McsQsajuZ56McfG8rFapVAmEXLwpVeWx6pe9FW22CqJikdZeq1OaiHaUwNOGxO&#10;HPfH94R6+LdY/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qYrMd2AAAAAYBAAAPAAAAAAAAAAEA&#10;IAAAACIAAABkcnMvZG93bnJldi54bWxQSwECFAAUAAAACACHTuJAHG2QAUgCAAB1BAAADgAAAAAA&#10;AAABACAAAAAnAQAAZHJzL2Uyb0RvYy54bWxQSwUGAAAAAAYABgBZAQAA4QUAAAAA&#10;">
                        <v:fill on="f" focussize="0,0"/>
                        <v:stroke on="f" weight="0.5pt"/>
                        <v:imagedata o:title=""/>
                        <o:lock v:ext="edit" aspectratio="f"/>
                        <v:textbox>
                          <w:txbxContent>
                            <w:p w14:paraId="347E3F40">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装载机</w:t>
                              </w:r>
                            </w:p>
                          </w:txbxContent>
                        </v:textbox>
                      </v:shape>
                      <v:shape id="_x0000_s1026" o:spid="_x0000_s1026" o:spt="202" type="#_x0000_t202" style="position:absolute;left:1345565;top:734060;height:245745;width:476250;" filled="f" stroked="f" coordsize="21600,21600" o:gfxdata="UEsDBAoAAAAAAIdO4kAAAAAAAAAAAAAAAAAEAAAAZHJzL1BLAwQUAAAACACHTuJAqmKzHdgAAAAG&#10;AQAADwAAAGRycy9kb3ducmV2LnhtbE2PT0vDQBDF74LfYRnBm90ktCXEbIoEiiB6aO3F2yQ7TYK7&#10;szG7/aOfvlsvenkwvMd7vylXZ2vEkSY/OFaQzhIQxK3TA3cKdu/rhxyED8gajWNS8E0eVtXtTYmF&#10;dife0HEbOhFL2BeooA9hLKT0bU8W/cyNxNHbu8liiOfUST3hKZZbI7MkWUqLA8eFHkeqe2o/twer&#10;4KVev+GmyWz+Y+rn1/3T+LX7WCh1f5cmjyACncNfGK74ER2qyNS4A2svjIL4SPjV6OVptgTRxFA6&#10;X8xBVqX8j19dAFBLAwQUAAAACACHTuJA+6blkEUCAAB0BAAADgAAAGRycy9lMm9Eb2MueG1srVTB&#10;jtMwEL0j8Q+W7zRtmnTZqumqbFWEVLErFcTZdZwmku0xttukfAD8AScu3PmufgfjJN0tC4c9cHHG&#10;M6M3896MM7tplCQHYV0FOqOjwZASoTnkld5l9OOH1avXlDjPdM4kaJHRo3D0Zv7yxaw2UxFDCTIX&#10;liCIdtPaZLT03kyjyPFSKOYGYITGYAFWMY9Xu4tyy2pEVzKKh8NJVIPNjQUunEPvsgvSHtE+BxCK&#10;ouJiCXyvhPYdqhWSeaTkyso4Om+7LQrB/V1ROOGJzCgy9e2JRdDehjOaz9h0Z5kpK963wJ7TwhNO&#10;ilUaiz5ALZlnZG+rv6BUxS04KPyAg4o6Iq0iyGI0fKLNpmRGtFxQamceRHf/D5a/P9xbUuUZja/H&#10;lGimcOSn799OP36dfn4lwYkS1cZNMXNjMNc3b6DBxTn7HToD86awKnyREwnxcZKmk5SSY0avxslw&#10;0mstGk84xpOrSZziFDjG4yS9StIAGD3iGOv8WwGKBCOjFkfZKswOa+e71HNKKKthVUnZjlNqUmd0&#10;Mkb4PyIILjXWCGy6roPlm23TU9xCfkSGFro1cYavKiy+Zs7fM4t7gf3iy/F3eBQSsAj0FiUl2C//&#10;8od8HBdGKalxzzLqPu+ZFZTIdxoHeT1KkrCY7QV1iPFiLyPby4jeq1vAVR7hGzW8NUO+l2ezsKA+&#10;4QNbhKoYYppj7Yz6s3nru+3HB8rFYtEm4Soa5td6Y3iA7kRb7D0UVat0kKnTplcPl7GdVf9wwrZf&#10;3tusx5/F/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qYrMd2AAAAAYBAAAPAAAAAAAAAAEAIAAA&#10;ACIAAABkcnMvZG93bnJldi54bWxQSwECFAAUAAAACACHTuJA+6blkEUCAAB0BAAADgAAAAAAAAAB&#10;ACAAAAAnAQAAZHJzL2Uyb0RvYy54bWxQSwUGAAAAAAYABgBZAQAA3gUAAAAA&#10;">
                        <v:fill on="f" focussize="0,0"/>
                        <v:stroke on="f" weight="0.5pt"/>
                        <v:imagedata o:title=""/>
                        <o:lock v:ext="edit" aspectratio="f"/>
                        <v:textbox>
                          <w:txbxContent>
                            <w:p w14:paraId="7F2F2BFD">
                              <w:pPr>
                                <w:spacing w:line="240" w:lineRule="exact"/>
                                <w:jc w:val="center"/>
                                <w:rPr>
                                  <w:rFonts w:hint="default" w:ascii="Times New Roman" w:hAnsi="Times New Roman" w:eastAsia="宋体" w:cs="Times New Roman"/>
                                  <w:sz w:val="15"/>
                                  <w:szCs w:val="18"/>
                                  <w:lang w:val="en-US" w:eastAsia="zh-CN"/>
                                </w:rPr>
                              </w:pPr>
                              <w:r>
                                <w:rPr>
                                  <w:rFonts w:hint="eastAsia" w:cs="Times New Roman"/>
                                  <w:sz w:val="15"/>
                                  <w:szCs w:val="18"/>
                                  <w:lang w:val="en-US" w:eastAsia="zh-CN"/>
                                </w:rPr>
                                <w:t>装载机</w:t>
                              </w:r>
                            </w:p>
                          </w:txbxContent>
                        </v:textbox>
                      </v:shape>
                      <v:shape id="_x0000_s1026" o:spid="_x0000_s1026" o:spt="32" type="#_x0000_t32" style="position:absolute;left:3529965;top:1820545;height:635;width:107950;" filled="f" stroked="t" coordsize="21600,21600" o:gfxdata="UEsDBAoAAAAAAIdO4kAAAAAAAAAAAAAAAAAEAAAAZHJzL1BLAwQUAAAACACHTuJAEJ9ds9cAAAAG&#10;AQAADwAAAGRycy9kb3ducmV2LnhtbE2PQUvDQBCF74L/YRnBi9hN0lpLzKagIhQKBWt73+6OyWJ2&#10;NmS3afvvHb3o5cHwHu99Uy3PvhMjDtEFUpBPMhBIJlhHjYLdx9v9AkRMmqzuAqGCC0ZY1tdXlS5t&#10;ONE7jtvUCC6hWGoFbUp9KWU0LXodJ6FHYu8zDF4nPodG2kGfuNx3ssiyufTaES+0useXFs3X9ugV&#10;mLuNeYzFatyv/OvFTeV66p7XSt3e5NkTiITn9BeGH3xGh5qZDuFINopOAT+SfpW9RV7MQRw4lM8e&#10;ZiDrSv7Hr78BUEsDBBQAAAAIAIdO4kC2y/06LwIAAC8EAAAOAAAAZHJzL2Uyb0RvYy54bWytU81u&#10;EzEQviPxDpbvZLPbJm1W2fSQUC4IIgEP4Hi9u5b8J4+bTV6CF0DiBJwop955GiiPwdiblFIuPbAH&#10;a7wz/ma+z5/nFzutyFZ4kNZUNB+NKRGG21qatqLv3l4+O6cEAjM1U9aIiu4F0IvF0yfz3pWisJ1V&#10;tfAEQQyUvatoF4Irswx4JzSDkXXCYLKxXrOAW99mtWc9omuVFePxNOutr523XADg39WQpAdE/xhA&#10;2zSSi5XlV1qYMKB6oVhAStBJB3SRpm0awcPrpgERiKooMg1pxSYYb+KaLeasbD1zneSHEdhjRnjA&#10;STNpsOkd1IoFRq68/AdKS+4t2CaMuNXZQCQpgizy8QNt3nTMicQFpQZ3Jzr8P1j+arv2RNYVLWan&#10;lBim8cpvP9z8fP/59tv1j083v75/jPHXLyQWoFy9gxJPLc3aR8IQljtzACgoBruKngyyClMfc/kE&#10;BU+5POayv0DiBtwAt2u8jrCoDIlIk2I2m04o2aNVz4vx5HRywN4FwrEgH5/NIjbHgulJSmasPKI4&#10;D+GFsJrEoKIQPJNtF5bWGHSG9Xm6M7Z9CSFOxcrjgTiCsZdSqWQQZUiPw+RnOAlnaPoGzYahdigc&#10;mJYSplp8TTz4hAhWyTqeTgr5drNUnmxZ9GD6kgao3f2y2HrFoBvqUmqgGphUz01Nwt7h3QQvmWmV&#10;oHEi0JQogY0xGAgoc1B3EDRKu7H1fu2PqqOPEtOD56NR7+/T6T/vfPE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J9ds9cAAAAGAQAADwAAAAAAAAABACAAAAAiAAAAZHJzL2Rvd25yZXYueG1sUEsB&#10;AhQAFAAAAAgAh07iQLbL/TovAgAALwQAAA4AAAAAAAAAAQAgAAAAJgEAAGRycy9lMm9Eb2MueG1s&#10;UEsFBgAAAAAGAAYAWQEAAMcFAAAAAA==&#10;">
                        <v:fill on="f" focussize="0,0"/>
                        <v:stroke weight="0.25pt" color="#000000 [3213]" joinstyle="round" endarrow="block" endarrowwidth="narrow" endarrowlength="short"/>
                        <v:imagedata o:title=""/>
                        <o:lock v:ext="edit" aspectratio="f"/>
                      </v:shape>
                      <v:shape id="_x0000_s1026" o:spid="_x0000_s1026" o:spt="32" type="#_x0000_t32" style="position:absolute;left:1821815;top:857250;height:1270;width:181610;" filled="f" stroked="t" coordsize="21600,21600" o:gfxdata="UEsDBAoAAAAAAIdO4kAAAAAAAAAAAAAAAAAEAAAAZHJzL1BLAwQUAAAACACHTuJAEJ9ds9cAAAAG&#10;AQAADwAAAGRycy9kb3ducmV2LnhtbE2PQUvDQBCF74L/YRnBi9hN0lpLzKagIhQKBWt73+6OyWJ2&#10;NmS3afvvHb3o5cHwHu99Uy3PvhMjDtEFUpBPMhBIJlhHjYLdx9v9AkRMmqzuAqGCC0ZY1tdXlS5t&#10;ONE7jtvUCC6hWGoFbUp9KWU0LXodJ6FHYu8zDF4nPodG2kGfuNx3ssiyufTaES+0useXFs3X9ugV&#10;mLuNeYzFatyv/OvFTeV66p7XSt3e5NkTiITn9BeGH3xGh5qZDuFINopOAT+SfpW9RV7MQRw4lM8e&#10;ZiDrSv7Hr78BUEsDBBQAAAAIAIdO4kCPEutuLAIAAC8EAAAOAAAAZHJzL2Uyb0RvYy54bWytU0uO&#10;1DAQ3SNxB8t7Op20+kPU6Vl0M2wQtAQcwO04iSX/5PL05xJcAIkVsAJWs+c0MByDspMehmEzC7Kw&#10;ynn2q3qvysuLo1ZkLzxIayqaj8aUCMNtLU1b0bdvLp8sKIHATM2UNaKiJwH0YvX40fLgSlHYzqpa&#10;eIIkBsqDq2gXgiuzDHgnNIORdcIg2FivWcCtb7PaswOya5UV4/EsO1hfO2+5AMC/mx6kA6N/CKFt&#10;GsnFxvIrLUzoWb1QLKAk6KQDukrVNo3g4VXTgAhEVRSVhrRiEox3cc1WS1a2nrlO8qEE9pAS7mnS&#10;TBpMeku1YYGRKy//odKSewu2CSNuddYLSY6ginx8z5vXHXMiaUGrwd2aDv+Plr/cbz2RdUWLp1NK&#10;DNPY8pv31z/ffbr59vXHx+tf3z/E+MtnEg+gXQcHJd5am62PgiGsj2YgmFAMjhWd9LYKU5+xfDIb&#10;sDxi2V8kcQOupzs2XkdadIYgU74o8kWOhZ0qupjOi+nQMXEMhCc8n+XYS454XswTmrHyzOI8hOfC&#10;ahKDikLwTLZdWFtjcDKsz1PP2P4FhFgVK88XYgnGXkql0oAoQw4oK59jJZzh0Dc4bBhqh8aBaSlh&#10;qsXXxINPjGCVrOPt5JBvd2vlyZ7FGUxf8gC9u3sspt4w6PpzCeptDEyqZ6Ym4eSwN8FLZlolaKwI&#10;NCVKYGIMegHKDO72hkZrd7Y+bf3ZdZyjpHSY+Tiod/fp9p93vv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J9ds9cAAAAGAQAADwAAAAAAAAABACAAAAAiAAAAZHJzL2Rvd25yZXYueG1sUEsBAhQA&#10;FAAAAAgAh07iQI8S624sAgAALwQAAA4AAAAAAAAAAQAgAAAAJgEAAGRycy9lMm9Eb2MueG1sUEsF&#10;BgAAAAAGAAYAWQEAAMQFAAAAAA==&#10;">
                        <v:fill on="f" focussize="0,0"/>
                        <v:stroke weight="0.25pt" color="#000000 [3213]" joinstyle="round" endarrow="block" endarrowwidth="narrow" endarrowlength="short"/>
                        <v:imagedata o:title=""/>
                        <o:lock v:ext="edit" aspectratio="f"/>
                      </v:shape>
                      <w10:wrap type="none"/>
                      <w10:anchorlock/>
                    </v:group>
                  </w:pict>
                </mc:Fallback>
              </mc:AlternateContent>
            </w:r>
          </w:p>
          <w:p w14:paraId="54C8D6D1">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图2-6   热再生沥青混凝土工艺流程及产污环节图</w:t>
            </w:r>
          </w:p>
          <w:p w14:paraId="551FA6E7">
            <w:pPr>
              <w:keepNext w:val="0"/>
              <w:keepLines w:val="0"/>
              <w:pageBreakBefore w:val="0"/>
              <w:widowControl w:val="0"/>
              <w:kinsoku/>
              <w:wordWrap w:val="0"/>
              <w:overflowPunct/>
              <w:topLinePunct w:val="0"/>
              <w:autoSpaceDE w:val="0"/>
              <w:autoSpaceDN w:val="0"/>
              <w:bidi w:val="0"/>
              <w:adjustRightInd/>
              <w:snapToGrid/>
              <w:spacing w:line="360" w:lineRule="auto"/>
              <w:ind w:firstLine="482"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再生料预处理工段：</w:t>
            </w:r>
          </w:p>
          <w:p w14:paraId="1DF2FE2C">
            <w:pPr>
              <w:keepNext w:val="0"/>
              <w:keepLines w:val="0"/>
              <w:pageBreakBefore w:val="0"/>
              <w:widowControl w:val="0"/>
              <w:kinsoku/>
              <w:wordWrap w:val="0"/>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再生料（沥青混凝土层）进厂后首先需要经破碎筛分预处理达到粒径要求后，才能进行</w:t>
            </w:r>
            <w:r>
              <w:rPr>
                <w:rFonts w:hint="eastAsia" w:cs="Times New Roman"/>
                <w:sz w:val="24"/>
                <w:szCs w:val="24"/>
                <w:lang w:val="en-US" w:eastAsia="zh-CN"/>
              </w:rPr>
              <w:t>热</w:t>
            </w:r>
            <w:r>
              <w:rPr>
                <w:rFonts w:hint="eastAsia" w:ascii="Times New Roman" w:hAnsi="Times New Roman" w:eastAsia="宋体" w:cs="Times New Roman"/>
                <w:sz w:val="24"/>
                <w:szCs w:val="24"/>
                <w:lang w:val="en-US" w:eastAsia="zh-CN"/>
              </w:rPr>
              <w:t>再生沥青混凝土生产，再生料预处理工段具体工艺描述如下：</w:t>
            </w:r>
          </w:p>
          <w:p w14:paraId="0825B02F">
            <w:pPr>
              <w:keepNext w:val="0"/>
              <w:keepLines w:val="0"/>
              <w:pageBreakBefore w:val="0"/>
              <w:widowControl w:val="0"/>
              <w:kinsoku/>
              <w:wordWrap w:val="0"/>
              <w:overflowPunct/>
              <w:topLinePunct w:val="0"/>
              <w:autoSpaceDE w:val="0"/>
              <w:autoSpaceDN w:val="0"/>
              <w:bidi w:val="0"/>
              <w:adjustRightInd/>
              <w:snapToGrid/>
              <w:spacing w:line="360" w:lineRule="auto"/>
              <w:ind w:firstLine="482"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运输卸料：</w:t>
            </w:r>
            <w:r>
              <w:rPr>
                <w:rFonts w:hint="eastAsia" w:ascii="Times New Roman" w:hAnsi="Times New Roman" w:eastAsia="宋体" w:cs="Times New Roman"/>
                <w:sz w:val="24"/>
                <w:szCs w:val="24"/>
                <w:lang w:val="en-US" w:eastAsia="zh-CN"/>
              </w:rPr>
              <w:t>再生料（沥青混凝土层）进厂后暂存在再生料</w:t>
            </w:r>
            <w:r>
              <w:rPr>
                <w:rFonts w:hint="eastAsia" w:cs="Times New Roman"/>
                <w:sz w:val="24"/>
                <w:szCs w:val="24"/>
                <w:lang w:val="en-US" w:eastAsia="zh-CN"/>
              </w:rPr>
              <w:t>仓</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u w:val="single"/>
                <w:lang w:val="en-US" w:eastAsia="zh-CN"/>
              </w:rPr>
              <w:t>该工序产生装卸扬尘、设备噪声。</w:t>
            </w:r>
          </w:p>
          <w:p w14:paraId="7FAC65EC">
            <w:pPr>
              <w:keepNext w:val="0"/>
              <w:keepLines w:val="0"/>
              <w:pageBreakBefore w:val="0"/>
              <w:widowControl w:val="0"/>
              <w:kinsoku/>
              <w:wordWrap w:val="0"/>
              <w:overflowPunct/>
              <w:topLinePunct w:val="0"/>
              <w:autoSpaceDE w:val="0"/>
              <w:autoSpaceDN w:val="0"/>
              <w:bidi w:val="0"/>
              <w:adjustRightInd/>
              <w:snapToGrid/>
              <w:spacing w:line="360" w:lineRule="auto"/>
              <w:ind w:firstLine="482"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投料、破碎、筛分：</w:t>
            </w:r>
            <w:r>
              <w:rPr>
                <w:rFonts w:hint="eastAsia" w:ascii="Times New Roman" w:hAnsi="Times New Roman" w:eastAsia="宋体" w:cs="Times New Roman"/>
                <w:sz w:val="24"/>
                <w:szCs w:val="24"/>
                <w:lang w:val="en-US" w:eastAsia="zh-CN"/>
              </w:rPr>
              <w:t>使用厂内装载机将再生料投入鄂破机进行破碎，经破碎后的废旧沥青混凝土经输送带输送到振动筛中，经振动筛分层筛分出粒径0-13mm，13-25mm的废旧沥青混凝土。其中不满足规格（&gt;25mm）的再生料由密闭输送带输送至鄂破机中进行二次破碎。</w:t>
            </w:r>
            <w:r>
              <w:rPr>
                <w:rFonts w:hint="eastAsia" w:ascii="Times New Roman" w:hAnsi="Times New Roman" w:eastAsia="宋体" w:cs="Times New Roman"/>
                <w:sz w:val="24"/>
                <w:szCs w:val="24"/>
                <w:u w:val="single"/>
                <w:lang w:val="en-US" w:eastAsia="zh-CN"/>
              </w:rPr>
              <w:t>该工序产生投料粉尘、破碎粉尘、筛分粉尘、设备噪声。</w:t>
            </w:r>
          </w:p>
          <w:p w14:paraId="6F56862C">
            <w:pPr>
              <w:keepNext w:val="0"/>
              <w:keepLines w:val="0"/>
              <w:pageBreakBefore w:val="0"/>
              <w:widowControl w:val="0"/>
              <w:kinsoku/>
              <w:wordWrap w:val="0"/>
              <w:overflowPunct/>
              <w:topLinePunct w:val="0"/>
              <w:autoSpaceDE w:val="0"/>
              <w:autoSpaceDN w:val="0"/>
              <w:bidi w:val="0"/>
              <w:adjustRightInd/>
              <w:snapToGrid/>
              <w:spacing w:line="360" w:lineRule="auto"/>
              <w:ind w:firstLine="482"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材料库暂存：</w:t>
            </w:r>
            <w:r>
              <w:rPr>
                <w:rFonts w:hint="eastAsia" w:ascii="Times New Roman" w:hAnsi="Times New Roman" w:eastAsia="宋体" w:cs="Times New Roman"/>
                <w:sz w:val="24"/>
                <w:szCs w:val="24"/>
                <w:lang w:val="en-US" w:eastAsia="zh-CN"/>
              </w:rPr>
              <w:t>经破碎筛分后的再生料经密闭输送带分类输送至再生料仓中分区储存，供</w:t>
            </w:r>
            <w:r>
              <w:rPr>
                <w:rFonts w:hint="eastAsia" w:cs="Times New Roman"/>
                <w:sz w:val="24"/>
                <w:szCs w:val="24"/>
                <w:lang w:val="en-US" w:eastAsia="zh-CN"/>
              </w:rPr>
              <w:t>热</w:t>
            </w:r>
            <w:r>
              <w:rPr>
                <w:rFonts w:hint="eastAsia" w:ascii="Times New Roman" w:hAnsi="Times New Roman" w:eastAsia="宋体" w:cs="Times New Roman"/>
                <w:sz w:val="24"/>
                <w:szCs w:val="24"/>
                <w:lang w:val="en-US" w:eastAsia="zh-CN"/>
              </w:rPr>
              <w:t>再生沥青混凝土生产线使用。</w:t>
            </w:r>
            <w:r>
              <w:rPr>
                <w:rFonts w:hint="eastAsia" w:ascii="Times New Roman" w:hAnsi="Times New Roman" w:eastAsia="宋体" w:cs="Times New Roman"/>
                <w:sz w:val="24"/>
                <w:szCs w:val="24"/>
                <w:u w:val="single"/>
                <w:lang w:val="en-US" w:eastAsia="zh-CN"/>
              </w:rPr>
              <w:t>该工序产生堆场扬尘、设备噪声。</w:t>
            </w:r>
          </w:p>
          <w:p w14:paraId="456872C1">
            <w:pPr>
              <w:keepNext w:val="0"/>
              <w:keepLines w:val="0"/>
              <w:pageBreakBefore w:val="0"/>
              <w:widowControl w:val="0"/>
              <w:kinsoku/>
              <w:wordWrap w:val="0"/>
              <w:overflowPunct/>
              <w:topLinePunct w:val="0"/>
              <w:autoSpaceDE w:val="0"/>
              <w:autoSpaceDN w:val="0"/>
              <w:bidi w:val="0"/>
              <w:adjustRightInd/>
              <w:snapToGrid/>
              <w:spacing w:line="360" w:lineRule="auto"/>
              <w:ind w:firstLine="482" w:firstLineChars="200"/>
              <w:textAlignment w:val="auto"/>
              <w:rPr>
                <w:rFonts w:hint="eastAsia" w:ascii="Times New Roman" w:hAnsi="Times New Roman" w:eastAsia="宋体" w:cs="Times New Roman"/>
                <w:b/>
                <w:bCs/>
                <w:sz w:val="24"/>
                <w:szCs w:val="24"/>
                <w:lang w:val="en-US" w:eastAsia="zh-CN"/>
              </w:rPr>
            </w:pPr>
            <w:r>
              <w:rPr>
                <w:rFonts w:hint="eastAsia" w:cs="Times New Roman"/>
                <w:b/>
                <w:bCs/>
                <w:sz w:val="24"/>
                <w:szCs w:val="24"/>
                <w:lang w:val="en-US" w:eastAsia="zh-CN"/>
              </w:rPr>
              <w:t>热</w:t>
            </w:r>
            <w:r>
              <w:rPr>
                <w:rFonts w:hint="eastAsia" w:ascii="Times New Roman" w:hAnsi="Times New Roman" w:eastAsia="宋体" w:cs="Times New Roman"/>
                <w:b/>
                <w:bCs/>
                <w:sz w:val="24"/>
                <w:szCs w:val="24"/>
                <w:lang w:val="en-US" w:eastAsia="zh-CN"/>
              </w:rPr>
              <w:t>再生沥青混凝土生产工段：</w:t>
            </w:r>
          </w:p>
          <w:p w14:paraId="3B54863A">
            <w:pPr>
              <w:keepNext w:val="0"/>
              <w:keepLines w:val="0"/>
              <w:pageBreakBefore w:val="0"/>
              <w:widowControl w:val="0"/>
              <w:kinsoku/>
              <w:wordWrap w:val="0"/>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热</w:t>
            </w:r>
            <w:r>
              <w:rPr>
                <w:rFonts w:hint="eastAsia" w:ascii="Times New Roman" w:hAnsi="Times New Roman" w:eastAsia="宋体" w:cs="Times New Roman"/>
                <w:sz w:val="24"/>
                <w:szCs w:val="24"/>
                <w:lang w:val="en-US" w:eastAsia="zh-CN"/>
              </w:rPr>
              <w:t>再生沥青混凝土生产工艺与</w:t>
            </w:r>
            <w:r>
              <w:rPr>
                <w:rFonts w:hint="eastAsia" w:cs="Times New Roman"/>
                <w:sz w:val="24"/>
                <w:szCs w:val="24"/>
                <w:lang w:val="en-US" w:eastAsia="zh-CN"/>
              </w:rPr>
              <w:t>普通</w:t>
            </w:r>
            <w:r>
              <w:rPr>
                <w:rFonts w:hint="eastAsia" w:ascii="Times New Roman" w:hAnsi="Times New Roman" w:eastAsia="宋体" w:cs="Times New Roman"/>
                <w:sz w:val="24"/>
                <w:szCs w:val="24"/>
                <w:lang w:val="en-US" w:eastAsia="zh-CN"/>
              </w:rPr>
              <w:t>沥青混凝土生产工艺类似，区别在于搅拌过程中加入</w:t>
            </w:r>
            <w:r>
              <w:rPr>
                <w:rFonts w:hint="eastAsia" w:cs="Times New Roman"/>
                <w:sz w:val="24"/>
                <w:szCs w:val="24"/>
                <w:lang w:val="en-US" w:eastAsia="zh-CN"/>
              </w:rPr>
              <w:t>烘干后的</w:t>
            </w:r>
            <w:r>
              <w:rPr>
                <w:rFonts w:hint="eastAsia" w:ascii="Times New Roman" w:hAnsi="Times New Roman" w:eastAsia="宋体" w:cs="Times New Roman"/>
                <w:sz w:val="24"/>
                <w:szCs w:val="24"/>
                <w:lang w:val="en-US" w:eastAsia="zh-CN"/>
              </w:rPr>
              <w:t>再生料（沥青混凝土），</w:t>
            </w:r>
            <w:r>
              <w:rPr>
                <w:rFonts w:hint="eastAsia" w:cs="Times New Roman"/>
                <w:sz w:val="24"/>
                <w:szCs w:val="24"/>
                <w:lang w:val="en-US" w:eastAsia="zh-CN"/>
              </w:rPr>
              <w:t>经破碎后的再生料由装载机加入到再生料冷料斗，</w:t>
            </w:r>
            <w:r>
              <w:rPr>
                <w:rFonts w:hint="eastAsia" w:ascii="Times New Roman" w:hAnsi="Times New Roman" w:eastAsia="宋体" w:cs="Times New Roman"/>
                <w:sz w:val="24"/>
                <w:szCs w:val="24"/>
                <w:lang w:val="en-US" w:eastAsia="zh-CN"/>
              </w:rPr>
              <w:t>由密闭皮带机送入</w:t>
            </w:r>
            <w:r>
              <w:rPr>
                <w:rFonts w:hint="eastAsia" w:cs="Times New Roman"/>
                <w:sz w:val="24"/>
                <w:szCs w:val="24"/>
                <w:lang w:val="en-US" w:eastAsia="zh-CN"/>
              </w:rPr>
              <w:t>再生</w:t>
            </w:r>
            <w:r>
              <w:rPr>
                <w:rFonts w:hint="eastAsia" w:ascii="Times New Roman" w:hAnsi="Times New Roman" w:eastAsia="宋体" w:cs="Times New Roman"/>
                <w:sz w:val="24"/>
                <w:szCs w:val="24"/>
                <w:lang w:val="en-US" w:eastAsia="zh-CN"/>
              </w:rPr>
              <w:t>料烘干滚筒，通过燃烧器燃烧天然气产生热气对</w:t>
            </w:r>
            <w:r>
              <w:rPr>
                <w:rFonts w:hint="eastAsia" w:cs="Times New Roman"/>
                <w:sz w:val="24"/>
                <w:szCs w:val="24"/>
                <w:lang w:val="en-US" w:eastAsia="zh-CN"/>
              </w:rPr>
              <w:t>再生料</w:t>
            </w:r>
            <w:r>
              <w:rPr>
                <w:rFonts w:hint="eastAsia" w:ascii="Times New Roman" w:hAnsi="Times New Roman" w:eastAsia="宋体" w:cs="Times New Roman"/>
                <w:sz w:val="24"/>
                <w:szCs w:val="24"/>
                <w:lang w:val="en-US" w:eastAsia="zh-CN"/>
              </w:rPr>
              <w:t>直接进行加热烘干</w:t>
            </w:r>
            <w:r>
              <w:rPr>
                <w:rFonts w:hint="eastAsia" w:cs="Times New Roman"/>
                <w:sz w:val="24"/>
                <w:szCs w:val="24"/>
                <w:lang w:val="en-US" w:eastAsia="zh-CN"/>
              </w:rPr>
              <w:t>（烘干温度约为100℃，由于沥青在加热到160-200℃时才会挥发有害气体，故本项目再生料烘干过程不会产生沥青烟、苯并芘、VOCs废气）</w:t>
            </w:r>
            <w:r>
              <w:rPr>
                <w:rFonts w:hint="eastAsia" w:ascii="Times New Roman" w:hAnsi="Times New Roman" w:eastAsia="宋体" w:cs="Times New Roman"/>
                <w:sz w:val="24"/>
                <w:szCs w:val="24"/>
                <w:lang w:val="en-US" w:eastAsia="zh-CN"/>
              </w:rPr>
              <w:t>，烘干滚筒不停转动，以使</w:t>
            </w:r>
            <w:r>
              <w:rPr>
                <w:rFonts w:hint="eastAsia" w:cs="Times New Roman"/>
                <w:sz w:val="24"/>
                <w:szCs w:val="24"/>
                <w:lang w:val="en-US" w:eastAsia="zh-CN"/>
              </w:rPr>
              <w:t>再生料</w:t>
            </w:r>
            <w:r>
              <w:rPr>
                <w:rFonts w:hint="eastAsia" w:ascii="Times New Roman" w:hAnsi="Times New Roman" w:eastAsia="宋体" w:cs="Times New Roman"/>
                <w:sz w:val="24"/>
                <w:szCs w:val="24"/>
                <w:lang w:val="en-US" w:eastAsia="zh-CN"/>
              </w:rPr>
              <w:t>受热均匀。</w:t>
            </w:r>
            <w:r>
              <w:rPr>
                <w:rFonts w:hint="eastAsia" w:cs="Times New Roman"/>
                <w:sz w:val="24"/>
                <w:szCs w:val="24"/>
                <w:lang w:val="en-US" w:eastAsia="zh-CN"/>
              </w:rPr>
              <w:t>再生料</w:t>
            </w:r>
            <w:r>
              <w:rPr>
                <w:rFonts w:hint="eastAsia" w:ascii="Times New Roman" w:hAnsi="Times New Roman" w:eastAsia="宋体" w:cs="Times New Roman"/>
                <w:sz w:val="24"/>
                <w:szCs w:val="24"/>
                <w:lang w:val="en-US" w:eastAsia="zh-CN"/>
              </w:rPr>
              <w:t>加热完成后，通过热骨料提升机进入筛分系统。</w:t>
            </w:r>
            <w:r>
              <w:rPr>
                <w:rFonts w:hint="eastAsia" w:ascii="Times New Roman" w:hAnsi="Times New Roman" w:eastAsia="宋体" w:cs="Times New Roman"/>
                <w:sz w:val="24"/>
                <w:szCs w:val="24"/>
                <w:u w:val="single"/>
                <w:lang w:val="en-US" w:eastAsia="zh-CN"/>
              </w:rPr>
              <w:t>该工序产生皮带</w:t>
            </w:r>
            <w:r>
              <w:rPr>
                <w:rFonts w:hint="eastAsia" w:cs="Times New Roman"/>
                <w:sz w:val="24"/>
                <w:szCs w:val="24"/>
                <w:u w:val="single"/>
                <w:lang w:val="en-US" w:eastAsia="zh-CN"/>
              </w:rPr>
              <w:t>输送粉尘</w:t>
            </w:r>
            <w:r>
              <w:rPr>
                <w:rFonts w:hint="eastAsia" w:ascii="Times New Roman" w:hAnsi="Times New Roman" w:eastAsia="宋体" w:cs="Times New Roman"/>
                <w:sz w:val="24"/>
                <w:szCs w:val="24"/>
                <w:u w:val="single"/>
                <w:lang w:val="en-US" w:eastAsia="zh-CN"/>
              </w:rPr>
              <w:t>、烘干粉尘、骨料烘干天然气燃烧废气、提升粉尘、设备噪声。</w:t>
            </w:r>
          </w:p>
          <w:p w14:paraId="50F68E1F">
            <w:pPr>
              <w:keepNext w:val="0"/>
              <w:keepLines w:val="0"/>
              <w:pageBreakBefore w:val="0"/>
              <w:widowControl w:val="0"/>
              <w:kinsoku/>
              <w:wordWrap w:val="0"/>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两条生产线共用一套沥青储存、加热系统，工艺流程介绍详见前文。</w:t>
            </w:r>
          </w:p>
          <w:p w14:paraId="7DBDA031">
            <w:pPr>
              <w:keepNext w:val="0"/>
              <w:keepLines w:val="0"/>
              <w:pageBreakBefore w:val="0"/>
              <w:widowControl w:val="0"/>
              <w:kinsoku/>
              <w:wordWrap w:val="0"/>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该工序产生投料粉尘、</w:t>
            </w:r>
            <w:r>
              <w:rPr>
                <w:rFonts w:hint="eastAsia" w:cs="Times New Roman"/>
                <w:sz w:val="24"/>
                <w:szCs w:val="24"/>
                <w:lang w:val="en-US" w:eastAsia="zh-CN"/>
              </w:rPr>
              <w:t>输送粉尘</w:t>
            </w:r>
            <w:r>
              <w:rPr>
                <w:rFonts w:hint="eastAsia" w:ascii="Times New Roman" w:hAnsi="Times New Roman" w:eastAsia="宋体" w:cs="Times New Roman"/>
                <w:sz w:val="24"/>
                <w:szCs w:val="24"/>
                <w:lang w:val="en-US" w:eastAsia="zh-CN"/>
              </w:rPr>
              <w:t>、烘干粉尘、骨料烘干天然气燃烧废气、提升粉尘、筛分粉尘、搅拌废气、卸料废气、粉料筒仓粉尘、筛分废料、拌合残渣、设备噪声。</w:t>
            </w:r>
          </w:p>
          <w:p w14:paraId="7473324F">
            <w:pPr>
              <w:keepNext w:val="0"/>
              <w:keepLines w:val="0"/>
              <w:pageBreakBefore w:val="0"/>
              <w:widowControl w:val="0"/>
              <w:kinsoku/>
              <w:wordWrap w:val="0"/>
              <w:overflowPunct/>
              <w:topLinePunct w:val="0"/>
              <w:autoSpaceDE w:val="0"/>
              <w:autoSpaceDN w:val="0"/>
              <w:bidi w:val="0"/>
              <w:adjustRightInd/>
              <w:snapToGrid/>
              <w:spacing w:line="360" w:lineRule="auto"/>
              <w:ind w:firstLine="482"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2.3</w:t>
            </w:r>
            <w:r>
              <w:rPr>
                <w:rFonts w:hint="eastAsia" w:cs="Times New Roman"/>
                <w:b/>
                <w:bCs/>
                <w:sz w:val="24"/>
                <w:szCs w:val="24"/>
                <w:lang w:val="en-US" w:eastAsia="zh-CN"/>
              </w:rPr>
              <w:t>乳化沥青</w:t>
            </w:r>
            <w:r>
              <w:rPr>
                <w:rFonts w:hint="eastAsia" w:ascii="Times New Roman" w:hAnsi="Times New Roman" w:eastAsia="宋体" w:cs="Times New Roman"/>
                <w:b/>
                <w:bCs/>
                <w:sz w:val="24"/>
                <w:szCs w:val="24"/>
                <w:lang w:val="en-US" w:eastAsia="zh-CN"/>
              </w:rPr>
              <w:t>工艺流程及产污环节</w:t>
            </w:r>
          </w:p>
          <w:p w14:paraId="619ED2D1">
            <w:pPr>
              <w:keepNext w:val="0"/>
              <w:keepLines w:val="0"/>
              <w:pageBreakBefore w:val="0"/>
              <w:widowControl w:val="0"/>
              <w:kinsoku/>
              <w:wordWrap w:val="0"/>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乳化沥青产品主要设备为沥青储罐和胶体磨，乳化沥青是沥青、水和乳化剂等原料在一定工艺作用下，生成水包油或油包水的液态沥青。乳化沥青是将通常高温使用的道路沥青，经过机械剪切搅拌的方法，扩散到水中而液化成常温下粘度很低流动性很好的一种道路建筑材料。可以常温使用，也可以和冷、湿的石料一起使用。工艺流程简述如下</w:t>
            </w:r>
            <w:r>
              <w:rPr>
                <w:rFonts w:hint="eastAsia" w:cs="Times New Roman"/>
                <w:sz w:val="24"/>
                <w:szCs w:val="24"/>
                <w:lang w:val="en-US" w:eastAsia="zh-CN"/>
              </w:rPr>
              <w:t>：</w:t>
            </w:r>
          </w:p>
          <w:p w14:paraId="355B01EC">
            <w:pPr>
              <w:keepNext w:val="0"/>
              <w:keepLines w:val="0"/>
              <w:pageBreakBefore w:val="0"/>
              <w:widowControl w:val="0"/>
              <w:kinsoku/>
              <w:wordWrap w:val="0"/>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sz w:val="24"/>
                <w:szCs w:val="24"/>
                <w:lang w:val="en-US" w:eastAsia="zh-CN"/>
              </w:rPr>
            </w:pPr>
            <w:r>
              <w:rPr>
                <w:sz w:val="24"/>
              </w:rPr>
              <mc:AlternateContent>
                <mc:Choice Requires="wpc">
                  <w:drawing>
                    <wp:inline distT="0" distB="0" distL="114300" distR="114300">
                      <wp:extent cx="5160010" cy="2623820"/>
                      <wp:effectExtent l="0" t="0" r="0" b="5080"/>
                      <wp:docPr id="41" name="画布 41"/>
                      <wp:cNvGraphicFramePr/>
                      <a:graphic xmlns:a="http://schemas.openxmlformats.org/drawingml/2006/main">
                        <a:graphicData uri="http://schemas.microsoft.com/office/word/2010/wordprocessingCanvas">
                          <wpc:wpc>
                            <wpc:bg/>
                            <wpc:whole/>
                            <wps:wsp>
                              <wps:cNvPr id="42" name="文本框 42"/>
                              <wps:cNvSpPr txBox="1"/>
                              <wps:spPr>
                                <a:xfrm>
                                  <a:off x="3321685" y="639445"/>
                                  <a:ext cx="676910" cy="23431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76630F3">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21"/>
                                        <w:lang w:val="en-US" w:eastAsia="zh-CN"/>
                                      </w:rPr>
                                    </w:pPr>
                                    <w:r>
                                      <w:rPr>
                                        <w:rFonts w:hint="eastAsia" w:ascii="Times New Roman" w:hAnsi="Times New Roman" w:eastAsia="宋体" w:cs="Times New Roman"/>
                                        <w:sz w:val="18"/>
                                        <w:szCs w:val="21"/>
                                        <w:lang w:val="en-US" w:eastAsia="zh-CN"/>
                                      </w:rPr>
                                      <w:t>配置皂液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文本框 43"/>
                              <wps:cNvSpPr txBox="1"/>
                              <wps:spPr>
                                <a:xfrm>
                                  <a:off x="782955" y="683260"/>
                                  <a:ext cx="442595" cy="24193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86AE1B3">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21"/>
                                        <w:lang w:val="en-US" w:eastAsia="zh-CN"/>
                                      </w:rPr>
                                    </w:pPr>
                                    <w:r>
                                      <w:rPr>
                                        <w:rFonts w:hint="default" w:ascii="Times New Roman" w:hAnsi="Times New Roman" w:eastAsia="宋体" w:cs="Times New Roman"/>
                                        <w:sz w:val="18"/>
                                        <w:szCs w:val="21"/>
                                        <w:lang w:val="en-US" w:eastAsia="zh-CN"/>
                                      </w:rPr>
                                      <w:t>燃烧</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44"/>
                              <wps:cNvSpPr txBox="1"/>
                              <wps:spPr>
                                <a:xfrm>
                                  <a:off x="1561465" y="856615"/>
                                  <a:ext cx="775970" cy="24828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89C3B47">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21"/>
                                        <w:lang w:val="en-US" w:eastAsia="zh-CN"/>
                                      </w:rPr>
                                    </w:pPr>
                                    <w:r>
                                      <w:rPr>
                                        <w:rFonts w:hint="eastAsia" w:ascii="Times New Roman" w:hAnsi="Times New Roman" w:eastAsia="宋体" w:cs="Times New Roman"/>
                                        <w:sz w:val="18"/>
                                        <w:szCs w:val="21"/>
                                        <w:lang w:val="en-US" w:eastAsia="zh-CN"/>
                                      </w:rPr>
                                      <w:t>沥青罐储存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文本框 45"/>
                              <wps:cNvSpPr txBox="1"/>
                              <wps:spPr>
                                <a:xfrm>
                                  <a:off x="1732915" y="1348740"/>
                                  <a:ext cx="426085" cy="22669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4C9D210">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21"/>
                                        <w:lang w:val="en-US" w:eastAsia="zh-CN"/>
                                      </w:rPr>
                                    </w:pPr>
                                    <w:r>
                                      <w:rPr>
                                        <w:rFonts w:hint="eastAsia" w:ascii="Times New Roman" w:hAnsi="Times New Roman" w:eastAsia="宋体" w:cs="Times New Roman"/>
                                        <w:sz w:val="18"/>
                                        <w:szCs w:val="21"/>
                                        <w:lang w:val="en-US" w:eastAsia="zh-CN"/>
                                      </w:rPr>
                                      <w:t>加热</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 name="文本框 46"/>
                              <wps:cNvSpPr txBox="1"/>
                              <wps:spPr>
                                <a:xfrm>
                                  <a:off x="667385" y="1351915"/>
                                  <a:ext cx="659765" cy="23431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B925BA9">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21"/>
                                        <w:lang w:val="en-US" w:eastAsia="zh-CN"/>
                                      </w:rPr>
                                    </w:pPr>
                                    <w:r>
                                      <w:rPr>
                                        <w:rFonts w:hint="eastAsia" w:ascii="Times New Roman" w:hAnsi="Times New Roman" w:eastAsia="宋体" w:cs="Times New Roman"/>
                                        <w:sz w:val="18"/>
                                        <w:szCs w:val="21"/>
                                        <w:lang w:val="en-US" w:eastAsia="zh-CN"/>
                                      </w:rPr>
                                      <w:t>导热油炉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文本框 47"/>
                              <wps:cNvSpPr txBox="1"/>
                              <wps:spPr>
                                <a:xfrm>
                                  <a:off x="563880" y="38100"/>
                                  <a:ext cx="880110" cy="424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AD22A2">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21"/>
                                        <w:lang w:val="en-US" w:eastAsia="zh-CN"/>
                                      </w:rPr>
                                    </w:pPr>
                                    <w:r>
                                      <w:rPr>
                                        <w:rFonts w:hint="default" w:ascii="Times New Roman" w:hAnsi="Times New Roman" w:eastAsia="宋体" w:cs="Times New Roman"/>
                                        <w:sz w:val="18"/>
                                        <w:szCs w:val="21"/>
                                        <w:lang w:val="en-US" w:eastAsia="zh-CN"/>
                                      </w:rPr>
                                      <w:t>天然气燃烧废气、设备噪声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文本框 48"/>
                              <wps:cNvSpPr txBox="1"/>
                              <wps:spPr>
                                <a:xfrm>
                                  <a:off x="3107690" y="133350"/>
                                  <a:ext cx="1111250" cy="253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366F50">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21"/>
                                        <w:lang w:val="en-US" w:eastAsia="zh-CN"/>
                                      </w:rPr>
                                    </w:pPr>
                                    <w:r>
                                      <w:rPr>
                                        <w:rFonts w:hint="eastAsia" w:ascii="Times New Roman" w:hAnsi="Times New Roman" w:eastAsia="宋体" w:cs="Times New Roman"/>
                                        <w:sz w:val="18"/>
                                        <w:szCs w:val="21"/>
                                        <w:lang w:val="en-US" w:eastAsia="zh-CN"/>
                                      </w:rPr>
                                      <w:t>自来水、乳化剂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 name="文本框 49"/>
                              <wps:cNvSpPr txBox="1"/>
                              <wps:spPr>
                                <a:xfrm>
                                  <a:off x="0" y="682625"/>
                                  <a:ext cx="551180" cy="234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788033">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21"/>
                                        <w:lang w:val="en-US" w:eastAsia="zh-CN"/>
                                      </w:rPr>
                                    </w:pPr>
                                    <w:r>
                                      <w:rPr>
                                        <w:rFonts w:hint="default" w:ascii="Times New Roman" w:hAnsi="Times New Roman" w:eastAsia="宋体" w:cs="Times New Roman"/>
                                        <w:sz w:val="18"/>
                                        <w:szCs w:val="21"/>
                                        <w:lang w:val="en-US" w:eastAsia="zh-CN"/>
                                      </w:rPr>
                                      <w:t>天然气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文本框 50"/>
                              <wps:cNvSpPr txBox="1"/>
                              <wps:spPr>
                                <a:xfrm>
                                  <a:off x="3326130" y="1960880"/>
                                  <a:ext cx="661670" cy="24193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CAB0CF9">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lang w:val="en-US" w:eastAsia="zh-CN"/>
                                      </w:rPr>
                                    </w:pPr>
                                    <w:r>
                                      <w:rPr>
                                        <w:rFonts w:hint="eastAsia" w:ascii="Times New Roman" w:hAnsi="Times New Roman" w:eastAsia="宋体" w:cs="Times New Roman"/>
                                        <w:sz w:val="18"/>
                                        <w:szCs w:val="21"/>
                                        <w:lang w:val="en-US" w:eastAsia="zh-CN"/>
                                      </w:rPr>
                                      <w:t>混合搅拌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文本框 51"/>
                              <wps:cNvSpPr txBox="1"/>
                              <wps:spPr>
                                <a:xfrm>
                                  <a:off x="1567815" y="1961515"/>
                                  <a:ext cx="748030" cy="24193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920DC5">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计量投料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 name="文本框 52"/>
                              <wps:cNvSpPr txBox="1"/>
                              <wps:spPr>
                                <a:xfrm>
                                  <a:off x="1736725" y="446405"/>
                                  <a:ext cx="433705" cy="2343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43A3C8">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21"/>
                                        <w:lang w:val="en-US" w:eastAsia="zh-CN"/>
                                      </w:rPr>
                                    </w:pPr>
                                    <w:r>
                                      <w:rPr>
                                        <w:rFonts w:hint="eastAsia" w:ascii="Times New Roman" w:hAnsi="Times New Roman" w:eastAsia="宋体" w:cs="Times New Roman"/>
                                        <w:sz w:val="18"/>
                                        <w:szCs w:val="21"/>
                                        <w:lang w:val="en-US" w:eastAsia="zh-CN"/>
                                      </w:rPr>
                                      <w:t>沥青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直接箭头连接符 53"/>
                              <wps:cNvCnPr>
                                <a:stCxn id="48" idx="2"/>
                                <a:endCxn id="42" idx="0"/>
                              </wps:cNvCnPr>
                              <wps:spPr>
                                <a:xfrm flipH="1">
                                  <a:off x="3660140" y="386715"/>
                                  <a:ext cx="3175" cy="252730"/>
                                </a:xfrm>
                                <a:prstGeom prst="straightConnector1">
                                  <a:avLst/>
                                </a:prstGeom>
                                <a:ln w="0">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54" name="文本框 54"/>
                              <wps:cNvSpPr txBox="1"/>
                              <wps:spPr>
                                <a:xfrm>
                                  <a:off x="2330450" y="1329690"/>
                                  <a:ext cx="880110" cy="2565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BA086B">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21"/>
                                        <w:lang w:val="en-US" w:eastAsia="zh-CN"/>
                                      </w:rPr>
                                    </w:pPr>
                                    <w:r>
                                      <w:rPr>
                                        <w:rFonts w:hint="eastAsia" w:ascii="Times New Roman" w:hAnsi="Times New Roman" w:eastAsia="宋体" w:cs="Times New Roman"/>
                                        <w:sz w:val="18"/>
                                        <w:szCs w:val="21"/>
                                        <w:lang w:val="en-US" w:eastAsia="zh-CN"/>
                                      </w:rPr>
                                      <w:t>沥青加热废气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直接箭头连接符 55"/>
                              <wps:cNvCnPr>
                                <a:stCxn id="43" idx="0"/>
                                <a:endCxn id="47" idx="2"/>
                              </wps:cNvCnPr>
                              <wps:spPr>
                                <a:xfrm flipH="1" flipV="1">
                                  <a:off x="1003935" y="462915"/>
                                  <a:ext cx="635" cy="220345"/>
                                </a:xfrm>
                                <a:prstGeom prst="straightConnector1">
                                  <a:avLst/>
                                </a:prstGeom>
                                <a:ln w="0">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56" name="直接箭头连接符 56"/>
                              <wps:cNvCnPr>
                                <a:stCxn id="49" idx="3"/>
                                <a:endCxn id="43" idx="1"/>
                              </wps:cNvCnPr>
                              <wps:spPr>
                                <a:xfrm>
                                  <a:off x="551180" y="800100"/>
                                  <a:ext cx="231775" cy="4445"/>
                                </a:xfrm>
                                <a:prstGeom prst="straightConnector1">
                                  <a:avLst/>
                                </a:prstGeom>
                                <a:ln w="0">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58" name="直接箭头连接符 58"/>
                              <wps:cNvCnPr>
                                <a:stCxn id="45" idx="2"/>
                                <a:endCxn id="51" idx="0"/>
                              </wps:cNvCnPr>
                              <wps:spPr>
                                <a:xfrm flipH="1">
                                  <a:off x="1941830" y="1575435"/>
                                  <a:ext cx="4445" cy="386080"/>
                                </a:xfrm>
                                <a:prstGeom prst="straightConnector1">
                                  <a:avLst/>
                                </a:prstGeom>
                                <a:ln w="0">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59" name="直接箭头连接符 59"/>
                              <wps:cNvCnPr>
                                <a:stCxn id="45" idx="3"/>
                                <a:endCxn id="54" idx="1"/>
                              </wps:cNvCnPr>
                              <wps:spPr>
                                <a:xfrm flipV="1">
                                  <a:off x="2159000" y="1457960"/>
                                  <a:ext cx="171450" cy="4445"/>
                                </a:xfrm>
                                <a:prstGeom prst="straightConnector1">
                                  <a:avLst/>
                                </a:prstGeom>
                                <a:ln w="0">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60" name="直接箭头连接符 60"/>
                              <wps:cNvCnPr/>
                              <wps:spPr>
                                <a:xfrm flipH="1">
                                  <a:off x="1327150" y="1528445"/>
                                  <a:ext cx="405765" cy="6985"/>
                                </a:xfrm>
                                <a:prstGeom prst="straightConnector1">
                                  <a:avLst/>
                                </a:prstGeom>
                                <a:ln w="0">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61" name="直接箭头连接符 61"/>
                              <wps:cNvCnPr/>
                              <wps:spPr>
                                <a:xfrm flipV="1">
                                  <a:off x="1327150" y="1410970"/>
                                  <a:ext cx="405765" cy="6985"/>
                                </a:xfrm>
                                <a:prstGeom prst="straightConnector1">
                                  <a:avLst/>
                                </a:prstGeom>
                                <a:ln w="0">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62" name="直接箭头连接符 62"/>
                              <wps:cNvCnPr>
                                <a:stCxn id="43" idx="2"/>
                                <a:endCxn id="46" idx="0"/>
                              </wps:cNvCnPr>
                              <wps:spPr>
                                <a:xfrm flipH="1">
                                  <a:off x="997585" y="925195"/>
                                  <a:ext cx="6985" cy="426720"/>
                                </a:xfrm>
                                <a:prstGeom prst="straightConnector1">
                                  <a:avLst/>
                                </a:prstGeom>
                                <a:ln w="0">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63" name="文本框 63"/>
                              <wps:cNvSpPr txBox="1"/>
                              <wps:spPr>
                                <a:xfrm>
                                  <a:off x="1245235" y="1189355"/>
                                  <a:ext cx="549910" cy="2343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EB0106">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21"/>
                                        <w:lang w:val="en-US" w:eastAsia="zh-CN"/>
                                      </w:rPr>
                                    </w:pPr>
                                    <w:r>
                                      <w:rPr>
                                        <w:rFonts w:hint="eastAsia" w:ascii="Times New Roman" w:hAnsi="Times New Roman" w:eastAsia="宋体" w:cs="Times New Roman"/>
                                        <w:sz w:val="18"/>
                                        <w:szCs w:val="21"/>
                                        <w:lang w:val="en-US" w:eastAsia="zh-CN"/>
                                      </w:rPr>
                                      <w:t>导热油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 name="直接箭头连接符 64"/>
                              <wps:cNvCnPr>
                                <a:stCxn id="52" idx="2"/>
                                <a:endCxn id="44" idx="0"/>
                              </wps:cNvCnPr>
                              <wps:spPr>
                                <a:xfrm flipH="1">
                                  <a:off x="1949450" y="680720"/>
                                  <a:ext cx="4445" cy="175895"/>
                                </a:xfrm>
                                <a:prstGeom prst="straightConnector1">
                                  <a:avLst/>
                                </a:prstGeom>
                                <a:ln w="0">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65" name="直接箭头连接符 65"/>
                              <wps:cNvCnPr>
                                <a:stCxn id="50" idx="2"/>
                                <a:endCxn id="69" idx="0"/>
                              </wps:cNvCnPr>
                              <wps:spPr>
                                <a:xfrm flipH="1">
                                  <a:off x="3651885" y="2202815"/>
                                  <a:ext cx="5080" cy="179070"/>
                                </a:xfrm>
                                <a:prstGeom prst="straightConnector1">
                                  <a:avLst/>
                                </a:prstGeom>
                                <a:ln w="0">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66" name="直接箭头连接符 66"/>
                              <wps:cNvCnPr>
                                <a:stCxn id="42" idx="2"/>
                                <a:endCxn id="50" idx="0"/>
                              </wps:cNvCnPr>
                              <wps:spPr>
                                <a:xfrm flipH="1">
                                  <a:off x="3656965" y="873760"/>
                                  <a:ext cx="3175" cy="1087120"/>
                                </a:xfrm>
                                <a:prstGeom prst="straightConnector1">
                                  <a:avLst/>
                                </a:prstGeom>
                                <a:ln w="0">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67" name="直接箭头连接符 67"/>
                              <wps:cNvCnPr>
                                <a:stCxn id="44" idx="2"/>
                                <a:endCxn id="45" idx="0"/>
                              </wps:cNvCnPr>
                              <wps:spPr>
                                <a:xfrm flipH="1">
                                  <a:off x="1946275" y="1104900"/>
                                  <a:ext cx="3175" cy="243840"/>
                                </a:xfrm>
                                <a:prstGeom prst="straightConnector1">
                                  <a:avLst/>
                                </a:prstGeom>
                                <a:ln w="0">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68" name="直接箭头连接符 68"/>
                              <wps:cNvCnPr>
                                <a:stCxn id="51" idx="3"/>
                                <a:endCxn id="50" idx="1"/>
                              </wps:cNvCnPr>
                              <wps:spPr>
                                <a:xfrm flipV="1">
                                  <a:off x="2315845" y="2082165"/>
                                  <a:ext cx="1010285" cy="635"/>
                                </a:xfrm>
                                <a:prstGeom prst="straightConnector1">
                                  <a:avLst/>
                                </a:prstGeom>
                                <a:ln w="0">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69" name="文本框 69"/>
                              <wps:cNvSpPr txBox="1"/>
                              <wps:spPr>
                                <a:xfrm>
                                  <a:off x="3273425" y="2381885"/>
                                  <a:ext cx="756285" cy="24193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C93EF90">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成品储存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 name="文本框 70"/>
                              <wps:cNvSpPr txBox="1"/>
                              <wps:spPr>
                                <a:xfrm>
                                  <a:off x="4270375" y="1960245"/>
                                  <a:ext cx="689610" cy="2343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34F442">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21"/>
                                        <w:lang w:val="en-US" w:eastAsia="zh-CN"/>
                                      </w:rPr>
                                    </w:pPr>
                                    <w:r>
                                      <w:rPr>
                                        <w:rFonts w:hint="eastAsia" w:ascii="Times New Roman" w:hAnsi="Times New Roman" w:eastAsia="宋体" w:cs="Times New Roman"/>
                                        <w:sz w:val="18"/>
                                        <w:szCs w:val="21"/>
                                        <w:lang w:val="en-US" w:eastAsia="zh-CN"/>
                                      </w:rPr>
                                      <w:t>搅拌废气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1" name="直接箭头连接符 71"/>
                              <wps:cNvCnPr>
                                <a:stCxn id="50" idx="3"/>
                                <a:endCxn id="70" idx="1"/>
                              </wps:cNvCnPr>
                              <wps:spPr>
                                <a:xfrm flipV="1">
                                  <a:off x="3987800" y="2077720"/>
                                  <a:ext cx="282575" cy="4445"/>
                                </a:xfrm>
                                <a:prstGeom prst="straightConnector1">
                                  <a:avLst/>
                                </a:prstGeom>
                                <a:ln w="0">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72" name="文本框 72"/>
                              <wps:cNvSpPr txBox="1"/>
                              <wps:spPr>
                                <a:xfrm>
                                  <a:off x="4260850" y="641350"/>
                                  <a:ext cx="689610" cy="2343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9C9349">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21"/>
                                        <w:lang w:val="en-US" w:eastAsia="zh-CN"/>
                                      </w:rPr>
                                    </w:pPr>
                                    <w:r>
                                      <w:rPr>
                                        <w:rFonts w:hint="eastAsia" w:ascii="Times New Roman" w:hAnsi="Times New Roman" w:eastAsia="宋体" w:cs="Times New Roman"/>
                                        <w:sz w:val="18"/>
                                        <w:szCs w:val="21"/>
                                        <w:lang w:val="en-US" w:eastAsia="zh-CN"/>
                                      </w:rPr>
                                      <w:t>废包装桶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 name="直接箭头连接符 73"/>
                              <wps:cNvCnPr>
                                <a:stCxn id="42" idx="3"/>
                                <a:endCxn id="72" idx="1"/>
                              </wps:cNvCnPr>
                              <wps:spPr>
                                <a:xfrm>
                                  <a:off x="3998595" y="756920"/>
                                  <a:ext cx="262255" cy="1905"/>
                                </a:xfrm>
                                <a:prstGeom prst="straightConnector1">
                                  <a:avLst/>
                                </a:prstGeom>
                                <a:ln w="0">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c:wpc>
                        </a:graphicData>
                      </a:graphic>
                    </wp:inline>
                  </w:drawing>
                </mc:Choice>
                <mc:Fallback>
                  <w:pict>
                    <v:group id="_x0000_s1026" o:spid="_x0000_s1026" o:spt="203" style="height:206.6pt;width:406.3pt;" coordsize="5160010,2623820" editas="canvas" o:gfxdata="UEsDBAoAAAAAAIdO4kAAAAAAAAAAAAAAAAAEAAAAZHJzL1BLAwQUAAAACACHTuJAvphZidcAAAAF&#10;AQAADwAAAGRycy9kb3ducmV2LnhtbE2PQWvCQBCF74X+h2UKvRTdJC0iMRsPgiilII2t5zU7TUKz&#10;szG7Jvbfd/TSXgYe7/HeN9nyYlsxYO8bRwriaQQCqXSmoUrBx349mYPwQZPRrSNU8IMelvn9XaZT&#10;40Z6x6EIleAS8qlWUIfQpVL6skar/dR1SOx9ud7qwLKvpOn1yOW2lUkUzaTVDfFCrTtc1Vh+F2er&#10;YCx3w2H/tpG7p8PW0Wl7WhWfr0o9PsTRAkTAS/gLwxWf0SFnpqM7k/GiVcCPhNtlbx4nMxBHBS/x&#10;cwIyz+R/+vwXUEsDBBQAAAAIAIdO4kBb+uKjHgkAAPRPAAAOAAAAZHJzL2Uyb0RvYy54bWztXEuP&#10;3EoZ3SPxHyzvSbseLtutdK7C5CYgRdxI4bH2uN0P4baN7UlP7hYJdqwQGxASErC6sLoLJBb8mpvw&#10;MzhV5Ve73dM9PWQyI1UWE7fL7Uf18fnOd77PfvrF9Sax3sVFuc7SmU2eOLYVp1E2X6fLmf2zn778&#10;gW9bZRWm8zDJ0nhmv49L+4tn3//e020+jWm2ypJ5XFjYSVpOt/nMXlVVPp1MymgVb8LySZbHKQYX&#10;WbEJK3wslpN5EW6x900yoY4jJtusmOdFFsVlibUv9KBd77E4ZYfZYrGO4hdZdLWJ00rvtYiTsMIl&#10;lat1XtrP1NkuFnFUfbVYlHFlJTMbV1qpvzgIli/l38mzp+F0WYT5ah3VpxCecgqDa9qE6xQHbXf1&#10;IqxC66pY7+1qs46KrMwW1ZMo20z0hagZwVUQZzA3r4rsKlfXspxul3k76fihBrN+9m6jn7x7U1jr&#10;+czmxLbScINf/OPv//3dv35tYQVmZ5svp9joVZG/zd8U9Yql/iQv+HpRbOT/uBTrWs3r+3Ze4+vK&#10;irDSJcLB1dlWhDEqKPNpPfPRCj/P3vei1ZdHvjlpDjyR59eezjYHJstuosq7TdTbVZjHav5LOQfN&#10;RNFmoj784bcf/vTNh7/8xuJUz5XaTk6UVV3/MMOl13NYTkusHJkvxigRvmtbmBnBAs5dDclm6oQn&#10;gnbmGGdEjbeXH07zoqxexdnGkgszuwDiFRDDd6/LCj8XNm02kYdPs5frJFGoT1JrKw/qOuoLZZas&#10;53JQbia/cpEU1rsQ981lEka/lKeFffW2wqckxUo56frq5FJ1fXmtUFJOL7P5e8xEkem7rsyjl2vs&#10;93VYVm/CArcZEAEiqr7Cn0WS4WSyesm2Vlnx9dh6uT1+VIza1ha37cwuf3UVFrFtJT9O8XMHhHN5&#10;n6sP3PUANKvoj1z2R9KrzUWGKwT0cXZqUW5fJc3iosg2vwBfPZdHxVCYRjj2zK6axYtKkwn4Loqf&#10;P1cb4c7Ow+p1+jaP5K71tD+/qrLFWv0icpr03NSzB8jKG+0+sMtGsMvOxK7n08CtoeszKup7uoEu&#10;59QNMKxuek4CZqBroHtK2DtAu3wEuvxM6BJXEC40dn1XCE2r4bTBrue5gYf7XWPXp2BozX9NuGs4&#10;1dBun1wN7R7ALpCmtVVPMihISdaHtLiNZCAeowEAKyUDYdz3EPBUQG/Ay0HFUlIo8FIhQMIGvEYz&#10;HM83DoBXjIBXnEm8QnislruEuUTieAe7ArwreVlh1+hdpY+N3j0hVz6AXW8Eu96Z2HUF832IAvAu&#10;84kzYF0MkSZT45T7ny5Ta3M4k4EhGXtsGRjstT0p4J+JSEYc+AMakoQxmcrvsCnBP4qVmk5dxkCt&#10;n0gKGFA+ZlsgGAFlcCYoNRyFD6NvENxdlxBJoHVwDzRcwWL/96zKoPERo1ES1pAiNVTOyJZgsArC&#10;NCZJgMQIANzhSCT/okv1jU1lHNYTqzPjitNtyyhdqo91gNwZ4IVN5UkhqVL9AC7VMF3yuO9IcGuf&#10;yoDXgPdu4B0pbbnnlrbgUwkPEkCCl3PBnYEa4Ix5WNeogU9Y2jJq4DGrgbZk9fGP33743d8+/vMf&#10;3/312//+589y+Zu/W26/fHWR6iorqpfXqS5rI99az1GJVTCGw5/O2yGgXQ0pRaDqmLBi9S4kWfdL&#10;ttYiWec/asp5dbGbCeEQWW5UjoDwhuzMiNfg26UeePrG3KusinC9XFUXWZqiipsVunR4aiFXRgFZ&#10;D12gDwKLm3yO2mi6RKEyWaLRI6qK/TJvWSwv2zKvo/7V59ir8+pq8IuwXOlysBrSGqoK18mX6dyq&#10;3ufoG6iKdZgukxiVWRx6g5JsjANjQV/2SLFYV0HlsJzv+yuDuiO1JKw7L0hTxhwuNavy42kgE3Ls&#10;qSsm9Z0h6gpX+/Um7TG1eV38qftKZCm9bsAZJzoVP2sVOUJ04MmOzXaJDi5ox4GnEp2ivJ8PKA+2&#10;J5OVfBXUhapD7WAd7SR1RKcO080sh4FuGO/eGj/ctohzIIr2Czoj4IJBpBCkgu0uuBrcqSTnZnBJ&#10;VqxjZ+MFgTR92Rw24EyK2NkET153RRkg9fqsPlvobP3rA0Dqe9kjQAI9dFS0AySZOXcEdjOQRuUY&#10;CTjxG6vH9VyuO466QKyApPIN5sMJMnps2Lz32UDV+s8HQNX3om8A1T47SaWnQHUCO40GPErcAMJY&#10;qzs0FMJC3FV3xCNK/UkLxjDVAxL5+KFu1FP6h+zpqVr+H037CKNI9WpIuNTfa9qF1dE2MYjgWO+Y&#10;UUH3poJEa86O8wzGuxxQ8swhSOzJ4j4kOHFk8+COLjaQeKBWgGgtzwOQ6NufI6GnUb8j9hIk9530&#10;TBB4bt0rFVD0Sg38U8UsSs2g4U82ugNwRiI/AIksWseyKwFhXccst+r2pNyldcKN6jly7wEMXB7c&#10;0xMixkZ/xDa6aC3PAzzXtz/3eQ5VoEN5G28ktmagnqDSNc/jeirgQWOgCt+pqWwsbYOf7h/rZjZy&#10;6v7k1BHHUneb7QACT5C1pRkpoQ94AaLxm87FFDrdiF8HT0odWrdjdqByZf6voifxAkfLNRM9H0L0&#10;POJUiiNO5WGiavF2B1CJoHlqyGPe0Aro6n3E8T1iJNne06Gfy2ASbR/4gejX7wnfj35tiBtR+Y2h&#10;eS6o4FoKKq1uWT4kDofbtJs6dqiinPnHiocm/N1f+DtihYubrfDW7x5xLZvIeLZriW4aH+U3CSrq&#10;+HjGfJA1EJRc5FONKgLKop1JHqVO0VpVLn02pmqt8F7y2Le/b5M8wpVieApbwwDPrEhFtGNLea5o&#10;UUDNM9rmcatTX00y3vwq+6iHndtaWtdJwG3Ay6nnsCYwouwCI2QXvMJHS2wt4uknfVbQOB+P2Pnw&#10;jpj+GO+suX3t12YN+2Fawv1OxUUW+B66H+ow7Xl71gf1KQrZOkqb4uIDKi56bdmgC9NY1wHpdkwn&#10;H9jXMBAcz0UPMgBDdOblPjsvTTsQfdu6w3iS6/VrEPtEh3dYaTYbIbpm6IR8pNfjxQIUv+UrgJCF&#10;QGkG2hDpPDg8IUhl16NsnSCBfj7AeHA3JyHoi1Ivg1O1vvrFdfJtc/3PynbpXtb37H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OCwAAW0NvbnRl&#10;bnRfVHlwZXNdLnhtbFBLAQIUAAoAAAAAAIdO4kAAAAAAAAAAAAAAAAAGAAAAAAAAAAAAEAAAAHAK&#10;AABfcmVscy9QSwECFAAUAAAACACHTuJAihRmPNEAAACUAQAACwAAAAAAAAABACAAAACUCgAAX3Jl&#10;bHMvLnJlbHNQSwECFAAKAAAAAACHTuJAAAAAAAAAAAAAAAAABAAAAAAAAAAAABAAAAAAAAAAZHJz&#10;L1BLAQIUABQAAAAIAIdO4kC+mFmJ1wAAAAUBAAAPAAAAAAAAAAEAIAAAACIAAABkcnMvZG93bnJl&#10;di54bWxQSwECFAAUAAAACACHTuJAW/riox4JAAD0TwAADgAAAAAAAAABACAAAAAmAQAAZHJzL2Uy&#10;b0RvYy54bWxQSwUGAAAAAAYABgBZAQAAtgwAAAAA&#10;">
                      <o:lock v:ext="edit" aspectratio="f"/>
                      <v:shape id="_x0000_s1026" o:spid="_x0000_s1026" style="position:absolute;left:0;top:0;height:2623820;width:5160010;" filled="f" stroked="f" coordsize="21600,21600" o:gfxdata="UEsDBAoAAAAAAIdO4kAAAAAAAAAAAAAAAAAEAAAAZHJzL1BLAwQUAAAACACHTuJAvphZidcAAAAF&#10;AQAADwAAAGRycy9kb3ducmV2LnhtbE2PQWvCQBCF74X+h2UKvRTdJC0iMRsPgiilII2t5zU7TUKz&#10;szG7Jvbfd/TSXgYe7/HeN9nyYlsxYO8bRwriaQQCqXSmoUrBx349mYPwQZPRrSNU8IMelvn9XaZT&#10;40Z6x6EIleAS8qlWUIfQpVL6skar/dR1SOx9ud7qwLKvpOn1yOW2lUkUzaTVDfFCrTtc1Vh+F2er&#10;YCx3w2H/tpG7p8PW0Wl7WhWfr0o9PsTRAkTAS/gLwxWf0SFnpqM7k/GiVcCPhNtlbx4nMxBHBS/x&#10;cwIyz+R/+vwXUEsDBBQAAAAIAIdO4kAZK1xO1QgAADlPAAAOAAAAZHJzL2Uyb0RvYy54bWztXMuO&#10;48YV3QfIPxDcZ5r1YJEURmOMezJ2gEFsYPJYsylKIkyRDMl+jD/A3mWZTYIAAZKsnKy8z9dk7M/w&#10;qSq+RFEttdrT0w1UL7opFpvPo3PPPfcWn39ys0mtq7iskjyb2+SZY1txFuWLJFvN7d//7vWvfNuq&#10;6jBbhGmexXP7XVzZn7z45S+eXxezmObrPF3EpYWdZNXsupjb67ouZmdnVbSON2H1LC/iDIPLvNyE&#10;NT6Wq7NFGV5j75v0jDqOOLvOy0VR5lFcVVj7Sg/azR7LY3aYL5dJFL/Ko8tNnNV6r2WchjUuqVon&#10;RWW/UGe7XMZR/cVyWcW1lc5tXGmtfuMgWL6Qv89ePA9nqzIs1knUnEJ4zCmMrmkTJhkO2u3qVViH&#10;1mWZ7Oxqk0RlXuXL+lmUb870hag7gqsgzujenIfZVagvJsK9bk8QSz/jfi9WuAfY5ewajzZWy3iw&#10;VdE94up+B3u7DotYPZBqFv326svSShZzm1PbysIN8PX+L9++/9t37//xjYV1zeGx3dsCW9Y3n+Y3&#10;AGm7vsJKeZdvluVG/sX9szDOGCXCd23r3dwWLODc1c81vqmtCOPCEwHBE48wThlnRI2f9fspyqr+&#10;LM43llyY2yVgo55mePWmqnFO2LTdRB42y18naYr14SzNrGt5UNdR/1DlabKQg3JM/st5WlpXIcB3&#10;kYbRV/K0sK/BVviUZlh5XVQzfXVyqb65uGluxUW+eIc7UeYaulURvU6w3zdhVX8ZlsAqrgvf5voL&#10;/FqmOU4mb5Zsa52XX0+tl9vjoWLUtq6B/bld/ekyLGPbSn+T4XEHhHP5ZVEfuOtRfCiHIxfDkexy&#10;c57jCgl4o4jUoty+TtvFZZlv/ogv/Ut5VAyFWYRjz+26XTyv9TcSpBHFL1+qjfD1KML6TfZWgp2o&#10;m5vlLy/rfJmoJyJvk743zd0DZCWOHwK7bAK7rMXoHbHr+TRwG+j6jIqGklrock7dAMMKupwEzEDX&#10;QPeY2LGHdvkEdPmJ0CWuIFxo7PquEJpWw1mLXc9zAw/fd41dn4KhNf+19N1yqqHdIbka2t2DXSBt&#10;RzIoSEnWvyPtEo/RAICVkoEw7nsIeCqgt+DloGIpKRR4qRAgYQNeoxkOi/Y94BUT4BUnEq8QHmvk&#10;LmEukTjewq4A70peNnpXKmKtj43ePSLh3INdbwK73onYdQXzfYgC8C7ziTNiXQyRNlPjlPsfLlPr&#10;cjiTgSEZe2oZGDyqHSngn4hIRhz4AxqShDGZym+xKcEPxUpNpy5joNYPJAUMKJ+yLRBMgDI4EZQa&#10;jsKngo6Cu+sSIgm0Ce6BhitY7GfPqgwanzAaJWGNKVJD5YRsCQarIExjkgRIjADALY5E8i/6VN/Y&#10;VMZhPbLEMa04XXjJO+DtqgB3TfVd4UkhqVL9AC7VOF3yuO9IcGufyoDXgPd+4J0obbmnlrbgUwkP&#10;EkCCl3PBnZEa4Ix5WNeqgQ9Y2jJq4Cmrga5k9cNfv3//53/98N///P+f3//4v7/L5e/+bbnD8tV5&#10;pqusqF7eZLpai3wrWaCSqmAMhz9bdENAuxpSikDVMcHPehdSaQxLttYyTYrP23JeW7wVwiGy3Kgc&#10;AeGN2ZkRr8W3Sz3w9K25V1WXYbJa1+d5lqGKm5e6dHhsIVdGAVkPXaKZAIubYoHaaLZCoTJdoVsi&#10;qsvdMm9Vri66Mq+jfppzHNR5dTX4VVitdTlYDWkNVYdJ+utsYdXvCpTD6zIJs1UaozKLQ29Qko1x&#10;YCzoy54oFusqqByW9/vhyqDuRC0J63AiJyhMypjDpWZVfjwNZEKOPfXFpKEzRF3har/epD2mNq+L&#10;P01fiSyla+W4h+hU/GwAOkF04MmezbaJDi5oz4HHEp2ivD+MKA+2J5OVfBXUhapDbWEd7SRNRKcO&#10;080s+4FuGO/BGj/croizB1zDgs4EuGAQKQSpYLsNrhZ3Ksm5HVySFZvY2XpBIE3fQf/YiDMpYmcb&#10;PHnTFWWANOiz+mihs/Ov9wBp6GVPAAn00FPRFpBk5twT2O1AmpRjJODEb60e13O57jjqA7ECkso3&#10;mA8nyOixcfPeRwNV5z/vAdXQi74FVLvsJJWeAtUR7DQZ8ChxAwhjre7QUAgLcVvdEY8o9SctGMNU&#10;j0jk40Hdqqf0gxzoqUb+H0z7CKNI9RpIuNTfadqF1dE1MYjgUO+YUUEPpoJEZ85O8wzG+xxQ8sw+&#10;SOzI4iEkOHFk8+CWLjaQeKRWgOgszz2QGNqfE6GnVb8T9hIk9730TBB4btMrFVD0So38U8UsSs2g&#10;4U82ugNwRiI/AoksOseynyCCdT2zvL3DBBFCuUubhBvVc+TeIxi4PHigGSLGRn/CNrroLM89PDe0&#10;P3d5DlWgfXkbbyW2ZqCBoNJ26mE9FfCgNVCF7zRUNpW2wU/3D3UzGzn1cHLqgGOpu822AIEZZF1p&#10;RkroPV6AaP2mUzGFTjfiN8GTUoc27Zg9qFyZ/6voSbzA0XLNRM/HED0POJXigFO5n6g6vN0DVCJo&#10;Zw15zBtbAX29jzi+R4wk25kd+rEMJtH1ge+JfsOe8N3o14W4CZXfGpqnggqupaDS6pblQ+JwuE3b&#10;qWOPKsqZf6h4aMLfw4W/A1a4uN0K7/zuCdeyjYwnu5bopvFRfpOgoo6POeajrIGg5CJnNaoIKIt2&#10;JnmUOkVrVbn00Ziqs8IHyePQ/r5L8ghXimEWtoYB5qxIRbRlS3mu6FBAzRxt9ToCM93q5OlWso96&#10;3PyqpXWTBNwFvJx6DmsDI8ouMEK2wSt8tMQ2Iv7DvhvDOB9P2PnwDpj+GO+tuV3t12UNu2Fawv1e&#10;xUUW+B66H5ow7Xk71gf1KQrZOkqb4uIjKi56XdmgD9NY1wPpbkwnJ+xrGAiOedGjDMAQnXm5z9ab&#10;x6annnhd3WE6ycV4j89dopPvtVJsNkF07dAR+cigx4sFKH7LVwAhC4HSDLQh0ntwmCFIZdejbJ0g&#10;gZ4fYDy425MQ9EXhfWdFpGp9zdvf5Cvbhp+V7dK/8e7F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ULAABbQ29udGVudF9UeXBlc10ueG1sUEsB&#10;AhQACgAAAAAAh07iQAAAAAAAAAAAAAAAAAYAAAAAAAAAAAAQAAAAJwoAAF9yZWxzL1BLAQIUABQA&#10;AAAIAIdO4kCKFGY80QAAAJQBAAALAAAAAAAAAAEAIAAAAEsKAABfcmVscy8ucmVsc1BLAQIUAAoA&#10;AAAAAIdO4kAAAAAAAAAAAAAAAAAEAAAAAAAAAAAAEAAAAAAAAABkcnMvUEsBAhQAFAAAAAgAh07i&#10;QL6YWYnXAAAABQEAAA8AAAAAAAAAAQAgAAAAIgAAAGRycy9kb3ducmV2LnhtbFBLAQIUABQAAAAI&#10;AIdO4kAZK1xO1QgAADlPAAAOAAAAAAAAAAEAIAAAACYBAABkcnMvZTJvRG9jLnhtbFBLBQYAAAAA&#10;BgAGAFkBAABtDAAAAAA=&#10;">
                        <v:fill on="f" focussize="0,0"/>
                        <v:stroke on="f"/>
                        <v:imagedata o:title=""/>
                        <o:lock v:ext="edit" aspectratio="f"/>
                      </v:shape>
                      <v:shape id="_x0000_s1026" o:spid="_x0000_s1026" o:spt="202" type="#_x0000_t202" style="position:absolute;left:3321685;top:639445;height:234315;width:676910;" filled="f" stroked="t" coordsize="21600,21600" o:gfxdata="UEsDBAoAAAAAAIdO4kAAAAAAAAAAAAAAAAAEAAAAZHJzL1BLAwQUAAAACACHTuJAuBEky9cAAAAF&#10;AQAADwAAAGRycy9kb3ducmV2LnhtbE2PwU7DMBBE70j9B2srcaN2ApQqjdNDRQ9ICImCaI9OvMQR&#10;9jqN3bTw9RgucFlpNKOZt+Xq7CwbcQidJwnZTABDarzuqJXw+rK5WgALUZFW1hNK+MQAq2pyUapC&#10;+xM947iNLUslFAolwcTYF5yHxqBTYeZ7pOS9+8GpmOTQcj2oUyp3ludCzLlTHaUFo3pcG2w+tkcn&#10;4fFtd7jfPO3FDmvb3Y72zjx81VJeTjOxBBbxHP/C8IOf0KFKTLU/kg7MSkiPxN+bvEWWz4HVEm6y&#10;6xx4VfL/9NU3UEsDBBQAAAAIAIdO4kBFqRosXgIAAJoEAAAOAAAAZHJzL2Uyb0RvYy54bWytVMFu&#10;EzEQvSPxD5bvdLPJJm2ibqrQqgipopUC4ux4vV0L22NsJ7vhA+gfcOLCne/KdzD2Jm1UOPTAxRl7&#10;Zt/MezOT84tOK7IRzkswJc1PBpQIw6GS5r6knz5evzmjxAdmKqbAiJJuhacX89evzls7E0NoQFXC&#10;EQQxftbakjYh2FmWed4IzfwJWGHQWYPTLODV3WeVYy2ia5UNB4NJ1oKrrAMuvMfXq95J94juJYBQ&#10;15KLK+BrLUzoUZ1QLCAl30jr6TxVW9eCh9u69iIQVVJkGtKJSdBexTObn7PZvWO2kXxfAntJCc84&#10;aSYNJn2EumKBkbWTf0FpyR14qMMJB531RJIiyCIfPNNm2TArEheU2ttH0f3/g+UfNneOyKqkxZAS&#10;wzR2fPfjYffz9+7Xd4JvKFBr/QzjlhYjQ/cWOhybw7vHx8i7q52Ov8iIoH80GuaTszEl25JORtOi&#10;GPdKiy4Qjv7J6WSaYw84+oejYpQnf/aEY50P7wRoEo2SOmxk0pdtbnzAmjD0EBLTGriWSqVmKkPa&#10;mHQ8SB94ULKKzhgWP7lUjmwYjsNKMf4lloVYR1F4UwYfI+ueXbRCt+r2Uqyg2qISDvph8pZfS8S9&#10;YT7cMYfTg7xwv8ItHrUCLAb2FiUNuG//eo/x2FT0UtLiNJbUf10zJyhR7w22e5oXRRzfdCnGp0O8&#10;uGPP6thj1voSkGGOm2x5MmN8UAezdqA/4xouYlZ0McMxd0nDwbwM/Y7gGnOxWKQgHFjLwo1ZWh6h&#10;e9kX6wC1TB2JMvXa7NXDkU3i7tcr7sTxPUU9/aXM/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4&#10;ESTL1wAAAAUBAAAPAAAAAAAAAAEAIAAAACIAAABkcnMvZG93bnJldi54bWxQSwECFAAUAAAACACH&#10;TuJARakaLF4CAACaBAAADgAAAAAAAAABACAAAAAmAQAAZHJzL2Uyb0RvYy54bWxQSwUGAAAAAAYA&#10;BgBZAQAA9gUAAAAA&#10;">
                        <v:fill on="f" focussize="0,0"/>
                        <v:stroke weight="0.5pt" color="#000000 [3204]" joinstyle="round"/>
                        <v:imagedata o:title=""/>
                        <o:lock v:ext="edit" aspectratio="f"/>
                        <v:textbox>
                          <w:txbxContent>
                            <w:p w14:paraId="776630F3">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21"/>
                                  <w:lang w:val="en-US" w:eastAsia="zh-CN"/>
                                </w:rPr>
                              </w:pPr>
                              <w:r>
                                <w:rPr>
                                  <w:rFonts w:hint="eastAsia" w:ascii="Times New Roman" w:hAnsi="Times New Roman" w:eastAsia="宋体" w:cs="Times New Roman"/>
                                  <w:sz w:val="18"/>
                                  <w:szCs w:val="21"/>
                                  <w:lang w:val="en-US" w:eastAsia="zh-CN"/>
                                </w:rPr>
                                <w:t>配置皂液</w:t>
                              </w:r>
                            </w:p>
                          </w:txbxContent>
                        </v:textbox>
                      </v:shape>
                      <v:shape id="_x0000_s1026" o:spid="_x0000_s1026" o:spt="202" type="#_x0000_t202" style="position:absolute;left:782955;top:683260;height:241935;width:442595;" filled="f" stroked="t" coordsize="21600,21600" o:gfxdata="UEsDBAoAAAAAAIdO4kAAAAAAAAAAAAAAAAAEAAAAZHJzL1BLAwQUAAAACACHTuJAuBEky9cAAAAF&#10;AQAADwAAAGRycy9kb3ducmV2LnhtbE2PwU7DMBBE70j9B2srcaN2ApQqjdNDRQ9ICImCaI9OvMQR&#10;9jqN3bTw9RgucFlpNKOZt+Xq7CwbcQidJwnZTABDarzuqJXw+rK5WgALUZFW1hNK+MQAq2pyUapC&#10;+xM947iNLUslFAolwcTYF5yHxqBTYeZ7pOS9+8GpmOTQcj2oUyp3ludCzLlTHaUFo3pcG2w+tkcn&#10;4fFtd7jfPO3FDmvb3Y72zjx81VJeTjOxBBbxHP/C8IOf0KFKTLU/kg7MSkiPxN+bvEWWz4HVEm6y&#10;6xx4VfL/9NU3UEsDBBQAAAAIAIdO4kBq/GGjXAIAAJkEAAAOAAAAZHJzL2Uyb0RvYy54bWytVMFu&#10;2zAMvQ/YPwi6r04cp22COkWWosOAYi3QDTsrshwLk0RNUmJ3H7D+wU677L7v6neMkp026HboYReF&#10;EulHvkcyZ+edVmQnnJdgSjo+GlEiDIdKmk1JP328fHNKiQ/MVEyBESW9E56eL16/OmvtXOTQgKqE&#10;Iwhi/Ly1JW1CsPMs87wRmvkjsMKgswanWcCr22SVYy2ia5Xlo9Fx1oKrrAMuvMfXi95JB0T3EkCo&#10;a8nFBfCtFib0qE4oFpCSb6T1dJGqrWvBw3VdexGIKikyDenEJGiv45ktzth845htJB9KYC8p4Rkn&#10;zaTBpI9QFywwsnXyLygtuQMPdTjioLOeSFIEWYxHz7S5bZgViQtK7e2j6P7/wfIPuxtHZFXSYkKJ&#10;YRo7/vDj/uHn74df3wm+oUCt9XOMu7UYGbq30OHY7N89PkbeXe10/EVGBP0np/lsOqXkrqTHp5P8&#10;eBBadIFwdBdFPp2hm6M/L8azyTTiZU8w1vnwToAm0Sipwz4mednuyoc+dB8Ssxq4lEqlXipDWkw6&#10;mY7SBx6UrKIzhsVPVsqRHcNpWCvGvwxpD6KwCGWwlki6Jxet0K27QYk1VHcohIN+lrzllxJxr5gP&#10;N8zh8OBo4XqFazxqBVgMDBYlDbhv/3qP8dhT9FLS4jCW1H/dMicoUe8Ndns2Loo4velSTE9yvLhD&#10;z/rQY7Z6BchwjItseTJjfFB7s3agP+MWLmNWdDHDMXdJw95chX5FcIu5WC5TEM6rZeHK3FoeoXvZ&#10;l9sAtUwdiTL12gzq4cSmng7bFVfi8J6inv5RF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BEk&#10;y9cAAAAFAQAADwAAAAAAAAABACAAAAAiAAAAZHJzL2Rvd25yZXYueG1sUEsBAhQAFAAAAAgAh07i&#10;QGr8YaNcAgAAmQQAAA4AAAAAAAAAAQAgAAAAJgEAAGRycy9lMm9Eb2MueG1sUEsFBgAAAAAGAAYA&#10;WQEAAPQFAAAAAA==&#10;">
                        <v:fill on="f" focussize="0,0"/>
                        <v:stroke weight="0.5pt" color="#000000 [3204]" joinstyle="round"/>
                        <v:imagedata o:title=""/>
                        <o:lock v:ext="edit" aspectratio="f"/>
                        <v:textbox>
                          <w:txbxContent>
                            <w:p w14:paraId="686AE1B3">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21"/>
                                  <w:lang w:val="en-US" w:eastAsia="zh-CN"/>
                                </w:rPr>
                              </w:pPr>
                              <w:r>
                                <w:rPr>
                                  <w:rFonts w:hint="default" w:ascii="Times New Roman" w:hAnsi="Times New Roman" w:eastAsia="宋体" w:cs="Times New Roman"/>
                                  <w:sz w:val="18"/>
                                  <w:szCs w:val="21"/>
                                  <w:lang w:val="en-US" w:eastAsia="zh-CN"/>
                                </w:rPr>
                                <w:t>燃烧</w:t>
                              </w:r>
                            </w:p>
                          </w:txbxContent>
                        </v:textbox>
                      </v:shape>
                      <v:shape id="_x0000_s1026" o:spid="_x0000_s1026" o:spt="202" type="#_x0000_t202" style="position:absolute;left:1561465;top:856615;height:248285;width:775970;" filled="f" stroked="t" coordsize="21600,21600" o:gfxdata="UEsDBAoAAAAAAIdO4kAAAAAAAAAAAAAAAAAEAAAAZHJzL1BLAwQUAAAACACHTuJAuBEky9cAAAAF&#10;AQAADwAAAGRycy9kb3ducmV2LnhtbE2PwU7DMBBE70j9B2srcaN2ApQqjdNDRQ9ICImCaI9OvMQR&#10;9jqN3bTw9RgucFlpNKOZt+Xq7CwbcQidJwnZTABDarzuqJXw+rK5WgALUZFW1hNK+MQAq2pyUapC&#10;+xM947iNLUslFAolwcTYF5yHxqBTYeZ7pOS9+8GpmOTQcj2oUyp3ludCzLlTHaUFo3pcG2w+tkcn&#10;4fFtd7jfPO3FDmvb3Y72zjx81VJeTjOxBBbxHP/C8IOf0KFKTLU/kg7MSkiPxN+bvEWWz4HVEm6y&#10;6xx4VfL/9NU3UEsDBBQAAAAIAIdO4kDd/ci/XgIAAJoEAAAOAAAAZHJzL2Uyb0RvYy54bWytVMFu&#10;EzEQvSPxD5bvZJOwm6RRN1VoFYQU0UoFcXa83q6F7TG2k93wAfAHnLhw57v6HYy9SRsVDj1wccYz&#10;s8/z3szk/KLTiuyE8xJMSUeDISXCcKikuSvpxw+rVzNKfGCmYgqMKOleeHqxePnivLVzMYYGVCUc&#10;QRDj560taROCnWeZ543QzA/ACoPBGpxmAa/uLqscaxFdq2w8HE6yFlxlHXDhPXqv+iA9ILrnAEJd&#10;Sy6ugG+1MKFHdUKxgJR8I62ni1RtXQseruvai0BUSZFpSCc+gvYmntninM3vHLON5IcS2HNKeMJJ&#10;M2nw0QeoKxYY2Tr5F5SW3IGHOgw46KwnkhRBFqPhE21uG2ZF4oJSe/sguv9/sPz97sYRWZU0zykx&#10;TGPH7398v//5+/7XN4I+FKi1fo55txYzQ/cGOhybo9+jM/LuaqfjLzIiMV5MRvmkoGRf0lkxmYyK&#10;XmnRBcIxPp0WZ1PsAcf4OJ+NZymePeJY58NbAZpEo6QOG5n0Zbu1D1gTph5T4rMGVlKp1ExlSFvS&#10;yetimD7woGQVgzEtfnKpHNkxHIeNYvxzLAuxTrLwpgw6I+ueXbRCt+kOUmyg2qMSDvph8pavJOKu&#10;mQ83zOH0IC/cr3CNR60Ai4GDRUkD7uu//DEfm4pRSlqcxpL6L1vmBCXqncF2n43yPI5vuuTFdIwX&#10;dxrZnEbMVl8CMhzhJluezJgf1NGsHehPuIbL+CqGmOH4dknD0bwM/Y7gGnOxXKYkHFjLwtrcWh6h&#10;e9mX2wC1TB2JMvXaHNTDkU3iHtYr7sTpPWU9/qUs/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4&#10;ESTL1wAAAAUBAAAPAAAAAAAAAAEAIAAAACIAAABkcnMvZG93bnJldi54bWxQSwECFAAUAAAACACH&#10;TuJA3f3Iv14CAACaBAAADgAAAAAAAAABACAAAAAmAQAAZHJzL2Uyb0RvYy54bWxQSwUGAAAAAAYA&#10;BgBZAQAA9gUAAAAA&#10;">
                        <v:fill on="f" focussize="0,0"/>
                        <v:stroke weight="0.5pt" color="#000000 [3204]" joinstyle="round"/>
                        <v:imagedata o:title=""/>
                        <o:lock v:ext="edit" aspectratio="f"/>
                        <v:textbox>
                          <w:txbxContent>
                            <w:p w14:paraId="689C3B47">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21"/>
                                  <w:lang w:val="en-US" w:eastAsia="zh-CN"/>
                                </w:rPr>
                              </w:pPr>
                              <w:r>
                                <w:rPr>
                                  <w:rFonts w:hint="eastAsia" w:ascii="Times New Roman" w:hAnsi="Times New Roman" w:eastAsia="宋体" w:cs="Times New Roman"/>
                                  <w:sz w:val="18"/>
                                  <w:szCs w:val="21"/>
                                  <w:lang w:val="en-US" w:eastAsia="zh-CN"/>
                                </w:rPr>
                                <w:t>沥青罐储存</w:t>
                              </w:r>
                            </w:p>
                          </w:txbxContent>
                        </v:textbox>
                      </v:shape>
                      <v:shape id="_x0000_s1026" o:spid="_x0000_s1026" o:spt="202" type="#_x0000_t202" style="position:absolute;left:1732915;top:1348740;height:226695;width:426085;" filled="f" stroked="t" coordsize="21600,21600" o:gfxdata="UEsDBAoAAAAAAIdO4kAAAAAAAAAAAAAAAAAEAAAAZHJzL1BLAwQUAAAACACHTuJAuBEky9cAAAAF&#10;AQAADwAAAGRycy9kb3ducmV2LnhtbE2PwU7DMBBE70j9B2srcaN2ApQqjdNDRQ9ICImCaI9OvMQR&#10;9jqN3bTw9RgucFlpNKOZt+Xq7CwbcQidJwnZTABDarzuqJXw+rK5WgALUZFW1hNK+MQAq2pyUapC&#10;+xM947iNLUslFAolwcTYF5yHxqBTYeZ7pOS9+8GpmOTQcj2oUyp3ludCzLlTHaUFo3pcG2w+tkcn&#10;4fFtd7jfPO3FDmvb3Y72zjx81VJeTjOxBBbxHP/C8IOf0KFKTLU/kg7MSkiPxN+bvEWWz4HVEm6y&#10;6xx4VfL/9NU3UEsDBBQAAAAIAIdO4kA0LGutXQIAAJsEAAAOAAAAZHJzL2Uyb0RvYy54bWytVMFu&#10;EzEQvSPxD5bvdJNtmrZRN1VoVYRU0UoBcXa83qyF1za2k93yAfQPOHHhznf1O3j2btqocOiBizOe&#10;mX3j92YmZ+ddo8hWOC+NLuj4YESJ0NyUUq8L+unj1ZsTSnxgumTKaFHQO+Hp+fz1q7PWzkRuaqNK&#10;4QhAtJ+1tqB1CHaWZZ7XomH+wFihEayMa1jA1a2z0rEW6I3K8tFomrXGldYZLryH97IP0gHRvQTQ&#10;VJXk4tLwTSN06FGdUCyAkq+l9XSeXltVgoebqvIiEFVQMA3pRBHYq3hm8zM2Wztma8mHJ7CXPOEZ&#10;p4ZJjaKPUJcsMLJx8i+oRnJnvKnCATdN1hNJioDFePRMm2XNrEhcILW3j6L7/wfLP2xvHZFlQSdH&#10;lGjWoOMPP+4ffv5++PWdwAeBWutnyFtaZIburekwNju/hzPy7irXxF8wIjF+fJifjoF4B/twcnI8&#10;GaQWXSAcCZN8OjpBnCMhz6fT01QpewKyzod3wjQkGgV16GQSmG2vfcCjkLpLiXW1uZJKpW4qTdqC&#10;Tg+PRukDb5QsYzCmxU8ulCNbhnlYKca/RCLA2svCTWk4I+2eXrRCt+oGLVamvIMUzvTT5C2/ksC9&#10;Zj7cMofxwXBhwcINjkoZPMYMFiW1cd/+5Y/56CqilLQYx4L6rxvmBCXqvUa/T8cTSEhCukyOjnNc&#10;3H5ktR/Rm+bCgOEYq2x5MmN+UDuzcqb5jD1cxKoIMc1Ru6BhZ16Efkmwx1wsFikJE2tZuNZLyyN0&#10;L/tiE0wlU0eiTL02g3qY2STusF9xKfbvKevpP2X+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gR&#10;JMvXAAAABQEAAA8AAAAAAAAAAQAgAAAAIgAAAGRycy9kb3ducmV2LnhtbFBLAQIUABQAAAAIAIdO&#10;4kA0LGutXQIAAJsEAAAOAAAAAAAAAAEAIAAAACYBAABkcnMvZTJvRG9jLnhtbFBLBQYAAAAABgAG&#10;AFkBAAD1BQAAAAA=&#10;">
                        <v:fill on="f" focussize="0,0"/>
                        <v:stroke weight="0.5pt" color="#000000 [3204]" joinstyle="round"/>
                        <v:imagedata o:title=""/>
                        <o:lock v:ext="edit" aspectratio="f"/>
                        <v:textbox>
                          <w:txbxContent>
                            <w:p w14:paraId="44C9D210">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21"/>
                                  <w:lang w:val="en-US" w:eastAsia="zh-CN"/>
                                </w:rPr>
                              </w:pPr>
                              <w:r>
                                <w:rPr>
                                  <w:rFonts w:hint="eastAsia" w:ascii="Times New Roman" w:hAnsi="Times New Roman" w:eastAsia="宋体" w:cs="Times New Roman"/>
                                  <w:sz w:val="18"/>
                                  <w:szCs w:val="21"/>
                                  <w:lang w:val="en-US" w:eastAsia="zh-CN"/>
                                </w:rPr>
                                <w:t>加热</w:t>
                              </w:r>
                            </w:p>
                          </w:txbxContent>
                        </v:textbox>
                      </v:shape>
                      <v:shape id="_x0000_s1026" o:spid="_x0000_s1026" o:spt="202" type="#_x0000_t202" style="position:absolute;left:667385;top:1351915;height:234315;width:659765;" filled="f" stroked="t" coordsize="21600,21600" o:gfxdata="UEsDBAoAAAAAAIdO4kAAAAAAAAAAAAAAAAAEAAAAZHJzL1BLAwQUAAAACACHTuJAuBEky9cAAAAF&#10;AQAADwAAAGRycy9kb3ducmV2LnhtbE2PwU7DMBBE70j9B2srcaN2ApQqjdNDRQ9ICImCaI9OvMQR&#10;9jqN3bTw9RgucFlpNKOZt+Xq7CwbcQidJwnZTABDarzuqJXw+rK5WgALUZFW1hNK+MQAq2pyUapC&#10;+xM947iNLUslFAolwcTYF5yHxqBTYeZ7pOS9+8GpmOTQcj2oUyp3ludCzLlTHaUFo3pcG2w+tkcn&#10;4fFtd7jfPO3FDmvb3Y72zjx81VJeTjOxBBbxHP/C8IOf0KFKTLU/kg7MSkiPxN+bvEWWz4HVEm6y&#10;6xx4VfL/9NU3UEsDBBQAAAAIAIdO4kDIuYVVWwIAAJoEAAAOAAAAZHJzL2Uyb0RvYy54bWytVM1u&#10;EzEQviPxDpbvdPPfNuqmCq2KkCpaqSDOjtfbtfAftpPd8gD0DThx4c5z9Tn47E3aqHDogYsznvn2&#10;m5nPMzk57bQiG+GDtKakw4MBJcJwW0lzW9JPHy/eHFESIjMVU9aIkt6JQE8Xr1+dtG4uRraxqhKe&#10;gMSEeetK2sTo5kUReCM0CwfWCYNgbb1mEVd/W1SetWDXqhgNBrOitb5y3nIRArznfZBuGf1LCG1d&#10;Sy7OLV9rYWLP6oViES2FRrpAF7nauhY8XtV1EJGokqLTmE8kgb1KZ7E4YfNbz1wj+bYE9pISnvWk&#10;mTRI+kh1ziIjay//otKSextsHQ+41UXfSFYEXQwHz7S5aZgTuRdIHdyj6OH/0fIPm2tPZFXSyYwS&#10;wzRe/OHH/cPP3w+/vhP4IFDrwhy4Gwdk7N7aDmOz8wc4U99d7XX6RUcE8dnscHw0peQO0PF0eDyc&#10;9kqLLhKe4tPjwxniHIDReDLu48UTj/MhvhNWk2SU1OMhs75scxkiagJ0B0lpjb2QSuXHVIa0SDCe&#10;DvIHwSpZpWCCpU/OlCcbhnFYKca/pLLAtYfCTRk4U9d9d8mK3arbSrGy1R2U8LYfpuD4hQTvJQvx&#10;mnlMD2YL+xWvcNTKohi7tShprP/2L3/C41ERpaTFNJY0fF0zLyhR7w2e+3g4maTxzZfJ9HCEi9+P&#10;rPYjZq3PLDocYpMdz2bCR7Uza2/1Z6zhMmVFiBmO3CWNO/Ms9juCNeZiucwgDKxj8dLcOJ6oe9mX&#10;62hrmV8kydRrs1UPI5vF3a5X2on9e0Y9/aUs/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4ESTL&#10;1wAAAAUBAAAPAAAAAAAAAAEAIAAAACIAAABkcnMvZG93bnJldi54bWxQSwECFAAUAAAACACHTuJA&#10;yLmFVVsCAACaBAAADgAAAAAAAAABACAAAAAmAQAAZHJzL2Uyb0RvYy54bWxQSwUGAAAAAAYABgBZ&#10;AQAA8wUAAAAA&#10;">
                        <v:fill on="f" focussize="0,0"/>
                        <v:stroke weight="0.5pt" color="#000000 [3204]" joinstyle="round"/>
                        <v:imagedata o:title=""/>
                        <o:lock v:ext="edit" aspectratio="f"/>
                        <v:textbox>
                          <w:txbxContent>
                            <w:p w14:paraId="3B925BA9">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21"/>
                                  <w:lang w:val="en-US" w:eastAsia="zh-CN"/>
                                </w:rPr>
                              </w:pPr>
                              <w:r>
                                <w:rPr>
                                  <w:rFonts w:hint="eastAsia" w:ascii="Times New Roman" w:hAnsi="Times New Roman" w:eastAsia="宋体" w:cs="Times New Roman"/>
                                  <w:sz w:val="18"/>
                                  <w:szCs w:val="21"/>
                                  <w:lang w:val="en-US" w:eastAsia="zh-CN"/>
                                </w:rPr>
                                <w:t>导热油炉</w:t>
                              </w:r>
                            </w:p>
                          </w:txbxContent>
                        </v:textbox>
                      </v:shape>
                      <v:shape id="_x0000_s1026" o:spid="_x0000_s1026" o:spt="202" type="#_x0000_t202" style="position:absolute;left:563880;top:38100;height:424815;width:880110;" filled="f" stroked="f" coordsize="21600,21600" o:gfxdata="UEsDBAoAAAAAAIdO4kAAAAAAAAAAAAAAAAAEAAAAZHJzL1BLAwQUAAAACACHTuJA2TacB9cAAAAF&#10;AQAADwAAAGRycy9kb3ducmV2LnhtbE2PT0vDQBDF74LfYZmCN7tJ1BJiNkUCRRA9tPbibZKdJqG7&#10;szG7/aOf3tVLvQw83uO935TLszXiSJMfHCtI5wkI4tbpgTsF2/fVbQ7CB2SNxjEp+CIPy+r6qsRC&#10;uxOv6bgJnYgl7AtU0IcwFlL6tieLfu5G4ujt3GQxRDl1Uk94iuXWyCxJFtLiwHGhx5Hqntr95mAV&#10;vNSrN1w3mc2/Tf38unsaP7cfD0rdzNLkEUSgc7iE4Rc/okMVmRp3YO2FURAfCX83enmaLUA0Cu7T&#10;uwxkVcr/9NUPUEsDBBQAAAAIAIdO4kAPXNgpRAIAAHAEAAAOAAAAZHJzL2Uyb0RvYy54bWytVEtu&#10;2zAU3BfoHQjua1n+JK4ROXBjuCgQNAHSomuaoiIB/JWkI6UHaG+QVTfd91w5R4eUnARpF1l0Qz9y&#10;nudx5j3q5LRTktwI5xujC5qPxpQIzU3Z6OuCfv60fbOgxAemSyaNFgW9FZ6erl6/OmntUkxMbWQp&#10;HAGJ9svWFrQOwS6zzPNaKOZHxgoNsDJOsYCtu85Kx1qwK5lNxuOjrDWutM5w4T1ONz1IB0b3EkJT&#10;VQ0XG8P3SujQszohWYAkXzfW01W6bVUJHi6qyotAZEGhNKQVRRDv4pqtTtjy2jFbN3y4AnvJFZ5p&#10;UqzRKPpAtWGBkb1r/qJSDXfGmyqMuFFZLyQ5AhX5+Jk3VzWzImmB1d4+mO7/Hy3/eHPpSFMWdHZM&#10;iWYKHb+/+3H/8/f9r+8EZzCotX6JvCuLzNC9Mx3G5nDucRh1d5VT8ReKCPD50XSxgMe3BZ0u8vHg&#10;s+gC4UAB5TlQDng2mS3yeaTLHlms8+G9MIrEoKAObUzusptzH/rUQ0osqs22kTK1UmrSFvRoOh+n&#10;PzwgIJcaNaKW/s4xCt2uGwTuTHkLfc70I+It3zYofs58uGQOM4H74tWECyyVNChihoiS2rhv/zqP&#10;+WgVUEpazFhB/dc9c4IS+UGjiW/z2Qy0IW1m8+MJNu4psnuK6L06MxjjHO/T8hTG/CAPYeWM+oLH&#10;tY5VATHNUbug4RCehX7y8Ti5WK9TEsbQsnCuryyP1L2d630wVZOcjjb13gzuYRBTr4ZHEyf96T5l&#10;PX4oV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2TacB9cAAAAFAQAADwAAAAAAAAABACAAAAAi&#10;AAAAZHJzL2Rvd25yZXYueG1sUEsBAhQAFAAAAAgAh07iQA9c2ClEAgAAcAQAAA4AAAAAAAAAAQAg&#10;AAAAJgEAAGRycy9lMm9Eb2MueG1sUEsFBgAAAAAGAAYAWQEAANwFAAAAAA==&#10;">
                        <v:fill on="f" focussize="0,0"/>
                        <v:stroke on="f" weight="0.5pt"/>
                        <v:imagedata o:title=""/>
                        <o:lock v:ext="edit" aspectratio="f"/>
                        <v:textbox>
                          <w:txbxContent>
                            <w:p w14:paraId="1CAD22A2">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21"/>
                                  <w:lang w:val="en-US" w:eastAsia="zh-CN"/>
                                </w:rPr>
                              </w:pPr>
                              <w:r>
                                <w:rPr>
                                  <w:rFonts w:hint="default" w:ascii="Times New Roman" w:hAnsi="Times New Roman" w:eastAsia="宋体" w:cs="Times New Roman"/>
                                  <w:sz w:val="18"/>
                                  <w:szCs w:val="21"/>
                                  <w:lang w:val="en-US" w:eastAsia="zh-CN"/>
                                </w:rPr>
                                <w:t>天然气燃烧废气、设备噪声</w:t>
                              </w:r>
                            </w:p>
                          </w:txbxContent>
                        </v:textbox>
                      </v:shape>
                      <v:shape id="_x0000_s1026" o:spid="_x0000_s1026" o:spt="202" type="#_x0000_t202" style="position:absolute;left:3107690;top:133350;height:253365;width:1111250;" filled="f" stroked="f" coordsize="21600,21600" o:gfxdata="UEsDBAoAAAAAAIdO4kAAAAAAAAAAAAAAAAAEAAAAZHJzL1BLAwQUAAAACACHTuJA2TacB9cAAAAF&#10;AQAADwAAAGRycy9kb3ducmV2LnhtbE2PT0vDQBDF74LfYZmCN7tJ1BJiNkUCRRA9tPbibZKdJqG7&#10;szG7/aOf3tVLvQw83uO935TLszXiSJMfHCtI5wkI4tbpgTsF2/fVbQ7CB2SNxjEp+CIPy+r6qsRC&#10;uxOv6bgJnYgl7AtU0IcwFlL6tieLfu5G4ujt3GQxRDl1Uk94iuXWyCxJFtLiwHGhx5Hqntr95mAV&#10;vNSrN1w3mc2/Tf38unsaP7cfD0rdzNLkEUSgc7iE4Rc/okMVmRp3YO2FURAfCX83enmaLUA0Cu7T&#10;uwxkVcr/9NUPUEsDBBQAAAAIAIdO4kDEFf+rQgIAAHMEAAAOAAAAZHJzL2Uyb0RvYy54bWytVM1u&#10;EzEQviPxDpbvdPNfGnVThVZFSBWtVBBnx+vtrmR7jO10tzwAvAEnLtx5rjwHn3c3bSkceiAHZzwz&#10;+cbfNzM5PmmNZrfKh5pszscHI86UlVTU9ibnHz+cv3rNWYjCFkKTVTm/U4GfrF6+OG7cUk2oIl0o&#10;zwBiw7JxOa9idMssC7JSRoQDcsoiWJI3IuLqb7LCiwboRmeT0WiRNeQL50mqEOA964N8QPTPAaSy&#10;rKU6I7k1ysYe1SstIiiFqnaBr7rXlqWS8bIsg4pM5xxMY3eiCOxNOrPVsVjeeOGqWg5PEM95whNO&#10;RtQWRe+hzkQUbOvrv6BMLT0FKuOBJJP1RDpFwGI8eqLNdSWc6rhA6uDuRQ//D1a+v73yrC5yPkPf&#10;rTDo+O77t92PX7ufXxl8EKhxYYm8a4fM2L6hFmOz9wc4E++29CZ9gxFDfDoeHS6OIPIdcqfT6XxQ&#10;WrWRyfR7fCZwMomEyXw6XcwTYvYA5HyIbxUZloyce3SyE1jcXoTYp+5TUl1L57XWXTe1ZU3OF6nm&#10;HxGAa4saiU7/7GTFdtMOHDdU3IGip35KgpPnNYpfiBCvhMdY4L1YnHiJo9SEIjRYnFXkv/zLn/LR&#10;LUQ5azBmOQ+ft8IrzvQ7iz4ejWczwMbuMpsfTnDxjyObxxG7NaeESR5jRZ3szJQf9d4sPZlP2K91&#10;qoqQsBK1cx735mnshx/7KdV63SVhEp2IF/bayQTdi7beRirrTukkU6/NoB5msevVsDdp2B/fu6yH&#10;/4rV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k2nAfXAAAABQEAAA8AAAAAAAAAAQAgAAAAIgAA&#10;AGRycy9kb3ducmV2LnhtbFBLAQIUABQAAAAIAIdO4kDEFf+rQgIAAHMEAAAOAAAAAAAAAAEAIAAA&#10;ACYBAABkcnMvZTJvRG9jLnhtbFBLBQYAAAAABgAGAFkBAADaBQAAAAA=&#10;">
                        <v:fill on="f" focussize="0,0"/>
                        <v:stroke on="f" weight="0.5pt"/>
                        <v:imagedata o:title=""/>
                        <o:lock v:ext="edit" aspectratio="f"/>
                        <v:textbox>
                          <w:txbxContent>
                            <w:p w14:paraId="25366F50">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21"/>
                                  <w:lang w:val="en-US" w:eastAsia="zh-CN"/>
                                </w:rPr>
                              </w:pPr>
                              <w:r>
                                <w:rPr>
                                  <w:rFonts w:hint="eastAsia" w:ascii="Times New Roman" w:hAnsi="Times New Roman" w:eastAsia="宋体" w:cs="Times New Roman"/>
                                  <w:sz w:val="18"/>
                                  <w:szCs w:val="21"/>
                                  <w:lang w:val="en-US" w:eastAsia="zh-CN"/>
                                </w:rPr>
                                <w:t>自来水、乳化剂</w:t>
                              </w:r>
                            </w:p>
                          </w:txbxContent>
                        </v:textbox>
                      </v:shape>
                      <v:shape id="_x0000_s1026" o:spid="_x0000_s1026" o:spt="202" type="#_x0000_t202" style="position:absolute;left:0;top:682625;height:234950;width:551180;" filled="f" stroked="f" coordsize="21600,21600" o:gfxdata="UEsDBAoAAAAAAIdO4kAAAAAAAAAAAAAAAAAEAAAAZHJzL1BLAwQUAAAACACHTuJA2TacB9cAAAAF&#10;AQAADwAAAGRycy9kb3ducmV2LnhtbE2PT0vDQBDF74LfYZmCN7tJ1BJiNkUCRRA9tPbibZKdJqG7&#10;szG7/aOf3tVLvQw83uO935TLszXiSJMfHCtI5wkI4tbpgTsF2/fVbQ7CB2SNxjEp+CIPy+r6qsRC&#10;uxOv6bgJnYgl7AtU0IcwFlL6tieLfu5G4ujt3GQxRDl1Uk94iuXWyCxJFtLiwHGhx5Hqntr95mAV&#10;vNSrN1w3mc2/Tf38unsaP7cfD0rdzNLkEUSgc7iE4Rc/okMVmRp3YO2FURAfCX83enmaLUA0Cu7T&#10;uwxkVcr/9NUPUEsDBBQAAAAIAIdO4kDiVF/BQQIAAGwEAAAOAAAAZHJzL2Uyb0RvYy54bWytVMFu&#10;EzEQvSPxD5bvdJM0KWnUTRVaFSFVtFJBnB2vt7uS7TG2093yAfAHnLhw57v6HTx7k7YUDj1wccZ+&#10;s29m3szk6Lg3mt0oH1qyJR/vjThTVlLV2uuSf/xw9mrOWYjCVkKTVSW/VYEfL1++OOrcQk2oIV0p&#10;z0Biw6JzJW9idIuiCLJRRoQ9csoCrMkbEXH110XlRQd2o4vJaHRQdOQr50mqEPB6OoB8y+ifQ0h1&#10;3Up1SnJjlI0Dq1daRJQUmtYFvszZ1rWS8aKug4pMlxyVxnwiCOx1OovlkVhce+GaVm5TEM9J4UlN&#10;RrQWQe+pTkUUbOPbv6hMKz0FquOeJFMMhWRFUMV49ESbq0Y4lWuB1MHdix7+H618f3PpWVuVfHrI&#10;mRUGHb/7/u3ux6+7n18Z3iBQ58ICflcOnrF/Qz3GZvce8Jjq7mtv0i8qYsAh723JD+aTg8ls0Fj1&#10;kUkgs9l4PAcsgU/2p4ez3IPigcH5EN8qMiwZJfdoYVZW3JyHiGzgunNJAS2dtVrnNmrLOgTdB+Uf&#10;CL7QFh+mOoZ8kxX7db8tbk3VLWrzNIxHcPKsRfBzEeKl8JgH5IuNiRc4ak0IQluLs4b8l3+9J3+0&#10;CShnHear5OHzRnjFmX5n0cDD8XQK2pgv09nrCS7+MbJ+jNiNOSGM8Bi76WQ2k3/UO7P2ZD5hsVYp&#10;KiBhJWKXPO7MkzhMPRZTqtUqO2EEnYjn9srJRD2IttpEqtusdJJp0GarHoYwN2C7MGnKH9+z18Of&#10;xP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TacB9cAAAAFAQAADwAAAAAAAAABACAAAAAiAAAA&#10;ZHJzL2Rvd25yZXYueG1sUEsBAhQAFAAAAAgAh07iQOJUX8FBAgAAbAQAAA4AAAAAAAAAAQAgAAAA&#10;JgEAAGRycy9lMm9Eb2MueG1sUEsFBgAAAAAGAAYAWQEAANkFAAAAAA==&#10;">
                        <v:fill on="f" focussize="0,0"/>
                        <v:stroke on="f" weight="0.5pt"/>
                        <v:imagedata o:title=""/>
                        <o:lock v:ext="edit" aspectratio="f"/>
                        <v:textbox>
                          <w:txbxContent>
                            <w:p w14:paraId="73788033">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21"/>
                                  <w:lang w:val="en-US" w:eastAsia="zh-CN"/>
                                </w:rPr>
                              </w:pPr>
                              <w:r>
                                <w:rPr>
                                  <w:rFonts w:hint="default" w:ascii="Times New Roman" w:hAnsi="Times New Roman" w:eastAsia="宋体" w:cs="Times New Roman"/>
                                  <w:sz w:val="18"/>
                                  <w:szCs w:val="21"/>
                                  <w:lang w:val="en-US" w:eastAsia="zh-CN"/>
                                </w:rPr>
                                <w:t>天然气</w:t>
                              </w:r>
                            </w:p>
                          </w:txbxContent>
                        </v:textbox>
                      </v:shape>
                      <v:shape id="_x0000_s1026" o:spid="_x0000_s1026" o:spt="202" type="#_x0000_t202" style="position:absolute;left:3326130;top:1960880;height:241935;width:661670;" filled="f" stroked="t" coordsize="21600,21600" o:gfxdata="UEsDBAoAAAAAAIdO4kAAAAAAAAAAAAAAAAAEAAAAZHJzL1BLAwQUAAAACACHTuJAuBEky9cAAAAF&#10;AQAADwAAAGRycy9kb3ducmV2LnhtbE2PwU7DMBBE70j9B2srcaN2ApQqjdNDRQ9ICImCaI9OvMQR&#10;9jqN3bTw9RgucFlpNKOZt+Xq7CwbcQidJwnZTABDarzuqJXw+rK5WgALUZFW1hNK+MQAq2pyUapC&#10;+xM947iNLUslFAolwcTYF5yHxqBTYeZ7pOS9+8GpmOTQcj2oUyp3ludCzLlTHaUFo3pcG2w+tkcn&#10;4fFtd7jfPO3FDmvb3Y72zjx81VJeTjOxBBbxHP/C8IOf0KFKTLU/kg7MSkiPxN+bvEWWz4HVEm6y&#10;6xx4VfL/9NU3UEsDBBQAAAAIAIdO4kBFBRwYWwIAAJsEAAAOAAAAZHJzL2Uyb0RvYy54bWytVEtu&#10;2zAQ3RfoHQjuG1m24zhG5MBNkKJA0ARIi65pioqI8leStpQeoLlBV91033PlHH2U5MRIu8iiG3rI&#10;eX4z82ZGJ6etVmQrfJDWFDQ/GFEiDLelNLcF/fTx4s2ckhCZKZmyRhT0TgR6unz96qRxCzG2tVWl&#10;8AQkJiwaV9A6RrfIssBroVk4sE4YOCvrNYu4+tus9KwBu1bZeDSaZY31pfOWixDwet476cDoX0Jo&#10;q0pycW75RgsTe1YvFIsoKdTSBbrssq0qweNVVQURiSooKo3diSCw1+nMlidsceuZqyUfUmAvSeFZ&#10;TZpJg6CPVOcsMrLx8i8qLbm3wVbxgFud9YV0iqCKfPRMm5uaOdHVAqmDexQ9/D9a/mF77YksC3oI&#10;SQzT6PjDj/uHn78ffn0neINAjQsL4G4ckLF9a1uMze494DHV3VZep19UROCfTMazfALGO2CPZ6P5&#10;fJBatJFwAGazfHYEPwdgPM2PJ4eJMXsicj7Ed8JqkoyCenSyE5htL0PsoTtIimvshVSq66YypEGA&#10;CZJPnmCVLJMzXdJfzpQnW4Z5WCvGvwxh91BIQhnkksruy0tWbNftoMXalneQwtt+moLjFxK8lyzE&#10;a+YxPqgLCxavcFTKIhk7WJTU1n/713vCo6vwUtJgHAsavm6YF5So9wb9Ps6nU9DG7jI9PBrj4vc9&#10;632P2egziwpzrLLjnZnwUe3Mylv9GXu4SlHhYoYjdkHjzjyL/ZJgj7lYrToQJtaxeGluHE/Uveyr&#10;TbSV7DqSZOq1GdTDzHY9HfYrLcX+vUM9fVO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4ESTL&#10;1wAAAAUBAAAPAAAAAAAAAAEAIAAAACIAAABkcnMvZG93bnJldi54bWxQSwECFAAUAAAACACHTuJA&#10;RQUcGFsCAACbBAAADgAAAAAAAAABACAAAAAmAQAAZHJzL2Uyb0RvYy54bWxQSwUGAAAAAAYABgBZ&#10;AQAA8wUAAAAA&#10;">
                        <v:fill on="f" focussize="0,0"/>
                        <v:stroke weight="0.5pt" color="#000000 [3204]" joinstyle="round"/>
                        <v:imagedata o:title=""/>
                        <o:lock v:ext="edit" aspectratio="f"/>
                        <v:textbox>
                          <w:txbxContent>
                            <w:p w14:paraId="2CAB0CF9">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lang w:val="en-US" w:eastAsia="zh-CN"/>
                                </w:rPr>
                              </w:pPr>
                              <w:r>
                                <w:rPr>
                                  <w:rFonts w:hint="eastAsia" w:ascii="Times New Roman" w:hAnsi="Times New Roman" w:eastAsia="宋体" w:cs="Times New Roman"/>
                                  <w:sz w:val="18"/>
                                  <w:szCs w:val="21"/>
                                  <w:lang w:val="en-US" w:eastAsia="zh-CN"/>
                                </w:rPr>
                                <w:t>混合搅拌</w:t>
                              </w:r>
                            </w:p>
                          </w:txbxContent>
                        </v:textbox>
                      </v:shape>
                      <v:shape id="_x0000_s1026" o:spid="_x0000_s1026" o:spt="202" type="#_x0000_t202" style="position:absolute;left:1567815;top:1961515;height:241935;width:748030;" filled="f" stroked="t" coordsize="21600,21600" o:gfxdata="UEsDBAoAAAAAAIdO4kAAAAAAAAAAAAAAAAAEAAAAZHJzL1BLAwQUAAAACACHTuJAuBEky9cAAAAF&#10;AQAADwAAAGRycy9kb3ducmV2LnhtbE2PwU7DMBBE70j9B2srcaN2ApQqjdNDRQ9ICImCaI9OvMQR&#10;9jqN3bTw9RgucFlpNKOZt+Xq7CwbcQidJwnZTABDarzuqJXw+rK5WgALUZFW1hNK+MQAq2pyUapC&#10;+xM947iNLUslFAolwcTYF5yHxqBTYeZ7pOS9+8GpmOTQcj2oUyp3ludCzLlTHaUFo3pcG2w+tkcn&#10;4fFtd7jfPO3FDmvb3Y72zjx81VJeTjOxBBbxHP/C8IOf0KFKTLU/kg7MSkiPxN+bvEWWz4HVEm6y&#10;6xx4VfL/9NU3UEsDBBQAAAAIAIdO4kBo9BqjWwIAAJsEAAAOAAAAZHJzL2Uyb0RvYy54bWytVM1u&#10;EzEQviPxDpbvdLNpkrZRNyi0KkKqaKWCODteb9fCf9hOdssDwBtw4sKd5+pz8NmbtFHh0AMXZ+z5&#10;9puZb2Zy+rrXimyED9KaipYHI0qE4baW5raiHz9cvDqmJERmaqasERW9E4G+Xrx8cdq5uRjb1qpa&#10;eAISE+adq2gbo5sXReCt0CwcWCcMnI31mkVc/W1Re9aBXatiPBrNis762nnLRQh4PR+cdMvon0No&#10;m0ZycW75WgsTB1YvFIsoKbTSBbrI2TaN4PGqaYKIRFUUlcZ8IgjsVTqLxSmb33rmWsm3KbDnpPCk&#10;Js2kQdAHqnMWGVl7+ReVltzbYJt4wK0uhkKyIqiiHD3R5qZlTuRaIHVwD6KH/0fL32+uPZF1Racl&#10;JYZpdPz+x/f7n7/vf30jeINAnQtz4G4ckLF/Y3uMze494DHV3Tdep19URJJ/Ojs6LqeU3ME+mZVT&#10;2Flq0UfCATiaHI8O0QQOwHhSnhxmf/FI5HyIb4XVJBkV9ehkFphtLkMEFaA7SIpr7IVUKodQhnQV&#10;nR1OR/mDYJWskzPB0idnypMNwzysFOOfU1rg2kPhpgweU9lDecmK/aoHNJkrW99BCm+HaQqOX0jw&#10;XrIQr5nH+KAuLFi8wtEoi2Ts1qKktf7rv94THl2Fl5IO41jR8GXNvKBEvTPo90k5maT5zZfJ9GiM&#10;i9/3rPY9Zq3PLCpES5FdNhM+qp3ZeKs/YQ+XKSpczHDErmjcmWdxWBLsMRfLZQZhYh2Ll+bG8UQ9&#10;yL5cR9vI3JFHbbbqYWazuNv9Skuxf8+ox/+Ux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4ESTL&#10;1wAAAAUBAAAPAAAAAAAAAAEAIAAAACIAAABkcnMvZG93bnJldi54bWxQSwECFAAUAAAACACHTuJA&#10;aPQao1sCAACbBAAADgAAAAAAAAABACAAAAAmAQAAZHJzL2Uyb0RvYy54bWxQSwUGAAAAAAYABgBZ&#10;AQAA8wUAAAAA&#10;">
                        <v:fill on="f" focussize="0,0"/>
                        <v:stroke weight="0.5pt" color="#000000 [3204]" joinstyle="round"/>
                        <v:imagedata o:title=""/>
                        <o:lock v:ext="edit" aspectratio="f"/>
                        <v:textbox>
                          <w:txbxContent>
                            <w:p w14:paraId="6A920DC5">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计量投料</w:t>
                              </w:r>
                            </w:p>
                          </w:txbxContent>
                        </v:textbox>
                      </v:shape>
                      <v:shape id="_x0000_s1026" o:spid="_x0000_s1026" o:spt="202" type="#_x0000_t202" style="position:absolute;left:1736725;top:446405;height:234315;width:433705;" filled="f" stroked="f" coordsize="21600,21600" o:gfxdata="UEsDBAoAAAAAAIdO4kAAAAAAAAAAAAAAAAAEAAAAZHJzL1BLAwQUAAAACACHTuJA2TacB9cAAAAF&#10;AQAADwAAAGRycy9kb3ducmV2LnhtbE2PT0vDQBDF74LfYZmCN7tJ1BJiNkUCRRA9tPbibZKdJqG7&#10;szG7/aOf3tVLvQw83uO935TLszXiSJMfHCtI5wkI4tbpgTsF2/fVbQ7CB2SNxjEp+CIPy+r6qsRC&#10;uxOv6bgJnYgl7AtU0IcwFlL6tieLfu5G4ujt3GQxRDl1Uk94iuXWyCxJFtLiwHGhx5Hqntr95mAV&#10;vNSrN1w3mc2/Tf38unsaP7cfD0rdzNLkEUSgc7iE4Rc/okMVmRp3YO2FURAfCX83enmaLUA0Cu7T&#10;uwxkVcr/9NUPUEsDBBQAAAAIAIdO4kBhSOZnSAIAAHIEAAAOAAAAZHJzL2Uyb0RvYy54bWytVM2O&#10;0zAQviPxDpbvNP1JW6iarspWRUgrdqWCOLuO00SyPcZ2m5QHgDfgxIU7z9XnYOyk3WrhsAcuzni+&#10;8Yznm8+Z3zRKkoOwrgKd0UGvT4nQHPJK7zL66eP61WtKnGc6ZxK0yOhROHqzePliXpuZGEIJMheW&#10;YBLtZrXJaOm9mSWJ46VQzPXACI1gAVYxj1u7S3LLasyuZDLs9ydJDTY3FrhwDr2rFqRdRvuchFAU&#10;FRcr4HsltG+zWiGZx5ZcWRlHF/G2RSG4vy8KJzyRGcVOfVyxCNrbsCaLOZvtLDNlxbsrsOdc4UlP&#10;ilUai15SrZhnZG+rv1KpiltwUPgeB5W0jURGsItB/wk3m5IZEXtBqp25kO7+X1r+4fBgSZVndDyk&#10;RDOFEz/9+H76+fv06xtBHxJUGzfDuI3BSN+8hQZlc/Y7dIa+m8Kq8MWOSMCno8l0OKbkmNE0naT9&#10;ccu0aDzhiKej0RR9hCM+HKWjQcSTxzzGOv9OgCLByKjFQUZ+2eHOebwThp5DQlkN60rKOEypSZ3R&#10;yWjcjwcuCJ6QGg+GbtpbB8s326ZrcQv5ETu00IrEGb6usPgdc/6BWVQFagbfjb/HpZCARaCzKCnB&#10;fv2XP8TjsBClpEaVZdR92TMrKJHvNY7xzSBNgyzjJh1Ph7ix18j2GtF7dQso5AG+UMOjGeK9PJuF&#10;BfUZn9cyVEWIaY61M+rP5q1vtY/Pk4vlMgahEA3zd3pjeEjd0rnceyiqyHSgqeWmYw+lGAfQPZug&#10;9et9jHr8VS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k2nAfXAAAABQEAAA8AAAAAAAAAAQAg&#10;AAAAIgAAAGRycy9kb3ducmV2LnhtbFBLAQIUABQAAAAIAIdO4kBhSOZnSAIAAHIEAAAOAAAAAAAA&#10;AAEAIAAAACYBAABkcnMvZTJvRG9jLnhtbFBLBQYAAAAABgAGAFkBAADgBQAAAAA=&#10;">
                        <v:fill on="f" focussize="0,0"/>
                        <v:stroke on="f" weight="0.5pt"/>
                        <v:imagedata o:title=""/>
                        <o:lock v:ext="edit" aspectratio="f"/>
                        <v:textbox>
                          <w:txbxContent>
                            <w:p w14:paraId="7243A3C8">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21"/>
                                  <w:lang w:val="en-US" w:eastAsia="zh-CN"/>
                                </w:rPr>
                              </w:pPr>
                              <w:r>
                                <w:rPr>
                                  <w:rFonts w:hint="eastAsia" w:ascii="Times New Roman" w:hAnsi="Times New Roman" w:eastAsia="宋体" w:cs="Times New Roman"/>
                                  <w:sz w:val="18"/>
                                  <w:szCs w:val="21"/>
                                  <w:lang w:val="en-US" w:eastAsia="zh-CN"/>
                                </w:rPr>
                                <w:t>沥青</w:t>
                              </w:r>
                            </w:p>
                          </w:txbxContent>
                        </v:textbox>
                      </v:shape>
                      <v:shape id="_x0000_s1026" o:spid="_x0000_s1026" o:spt="32" type="#_x0000_t32" style="position:absolute;left:3660140;top:386715;flip:x;height:252730;width:3175;" filled="f" stroked="t" coordsize="21600,21600" o:gfxdata="UEsDBAoAAAAAAIdO4kAAAAAAAAAAAAAAAAAEAAAAZHJzL1BLAwQUAAAACACHTuJAXaTDI9UAAAAF&#10;AQAADwAAAGRycy9kb3ducmV2LnhtbE2PQUvDQBCF74L/YZmCNztJLLXEbAoKvYgX01Y8TrPTJDQ7&#10;G7Kbtv57Vy96GXi8x3vfFOur7dWZR9850ZDOE1AstTOdNBp22839CpQPJIZ6J6zhiz2sy9ubgnLj&#10;LvLO5yo0KpaIz0lDG8KQI/q6ZUt+7gaW6B3daClEOTZoRrrEcttjliRLtNRJXGhp4JeW61M1WQ17&#10;dttPfDw6rjav+Mwfb4tpX2t9N0uTJ1CBr+EvDD/4ER3KyHRwkxiveg3xkfB7o7dKsyWog4ZF+pAB&#10;lgX+py+/AVBLAwQUAAAACACHTuJAP/uBaS8CAAAyBAAADgAAAGRycy9lMm9Eb2MueG1srVPNbhMx&#10;EL4j8Q6W72STTZNUq2x6SCgcEESCPoDj9e5a8p88bjZ5CV4AiRNwopx652mgfQzG3iih5dIDe7DG&#10;O55v5vv8eX6x04pshQdpTUlHgyElwnBbSdOU9OrD5YtzSiAwUzFljSjpXgC9WDx/Nu9cIXLbWlUJ&#10;TxDEQNG5krYhuCLLgLdCMxhYJwwma+s1C7j1TVZ51iG6Vlk+HE6zzvrKecsFAP5d9Ul6QPRPAbR1&#10;LblYWX6thQk9qheKBaQErXRAF2nauhY8vKtrEIGokiLTkFZsgvEmrtlizorGM9dKfhiBPWWER5w0&#10;kwabHqFWLDBy7eU/UFpyb8HWYcCtznoiSRFkMRo+0uZ9y5xIXFBqcEfR4f/B8rfbtSeyKulkTIlh&#10;Gm/87tPt749f737c/Ppye//zc4y/fyOYR7E6BwXWLM3aR7oQljuTys/QNrLalTTvNRWmOqbyQyrJ&#10;nT2AiBtwPdiu9prUSrrX6MukJupDEHI8nQ5HZ3hle4zPp7PR5NBjFwiP+dFsQgnHbD7JZ+O+DSsi&#10;XhzSeQivhNUkBiWF4Jls2rC0xqA/rO97se0bCMgwOxXEYmMvpVLJJsqQLjmHM/R9jX7DptqhdmAa&#10;Sphq8EHx4NPoYJWsYmmSyTebpfJky6IN0xcZYKsHx+J8KwZtfy6leqKBSfXSVCTsHd5P8JKZRgka&#10;xwFNiRLYGIMeUhlEPukao42t9msf03GHVkq9D7aPXv17n06dnvr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2kwyPVAAAABQEAAA8AAAAAAAAAAQAgAAAAIgAAAGRycy9kb3ducmV2LnhtbFBLAQIU&#10;ABQAAAAIAIdO4kA/+4FpLwIAADIEAAAOAAAAAAAAAAEAIAAAACQBAABkcnMvZTJvRG9jLnhtbFBL&#10;BQYAAAAABgAGAFkBAADFBQAAAAA=&#10;">
                        <v:fill on="f" focussize="0,0"/>
                        <v:stroke weight="0pt" color="#000000 [3213]" joinstyle="round" endarrow="block" endarrowwidth="narrow" endarrowlength="short"/>
                        <v:imagedata o:title=""/>
                        <o:lock v:ext="edit" aspectratio="f"/>
                      </v:shape>
                      <v:shape id="_x0000_s1026" o:spid="_x0000_s1026" o:spt="202" type="#_x0000_t202" style="position:absolute;left:2330450;top:1329690;height:256540;width:880110;" filled="f" stroked="f" coordsize="21600,21600" o:gfxdata="UEsDBAoAAAAAAIdO4kAAAAAAAAAAAAAAAAAEAAAAZHJzL1BLAwQUAAAACACHTuJA2TacB9cAAAAF&#10;AQAADwAAAGRycy9kb3ducmV2LnhtbE2PT0vDQBDF74LfYZmCN7tJ1BJiNkUCRRA9tPbibZKdJqG7&#10;szG7/aOf3tVLvQw83uO935TLszXiSJMfHCtI5wkI4tbpgTsF2/fVbQ7CB2SNxjEp+CIPy+r6qsRC&#10;uxOv6bgJnYgl7AtU0IcwFlL6tieLfu5G4ujt3GQxRDl1Uk94iuXWyCxJFtLiwHGhx5Hqntr95mAV&#10;vNSrN1w3mc2/Tf38unsaP7cfD0rdzNLkEUSgc7iE4Rc/okMVmRp3YO2FURAfCX83enmaLUA0Cu7T&#10;uwxkVcr/9NUPUEsDBBQAAAAIAIdO4kCt1iFQRQIAAHMEAAAOAAAAZHJzL2Uyb0RvYy54bWytVM1u&#10;EzEQviPxDpbvdPNPEnVThVZFSBWtFBBnx+vtruQ/bCe74QHgDThx4c5z9Tn47N20pXDogYsz9nw7&#10;M983Mzk9a5Uke+F8bXROhycDSoTmpqj1bU4/frh8NafEB6YLJo0WOT0IT89WL1+cNnYpRqYyshCO&#10;IIj2y8bmtArBLrPM80oo5k+MFRrO0jjFAq7uNiscaxBdyWw0GMyyxrjCOsOF93i96Jy0j+ieE9CU&#10;Zc3FheE7JXToojohWQAlX9XW01WqtiwFD9dl6UUgMqdgGtKJJLC38cxWp2x565itat6XwJ5TwhNO&#10;itUaSe9DXbDAyM7Vf4VSNXfGmzKccKOyjkhSBCyGgyfabCpmReICqb29F93/v7D8/f7GkbrI6XRC&#10;iWYKHb/7/u3ux6+7n18J3iBQY/0SuI0FMrRvTIuxOb57PEbebelU/AUjAv9oPB5MphD5AOx4tJgt&#10;eqlFGwgHYD4fDIfwcwBG09l0kvzZQyDrfHgrjCLRyKlDJ5PAbH/lA4oC9AiJebW5rKVM3ZSaNDmd&#10;jZH+Dw++kBofRjpd2dEK7bbtOW5NcQBFZ7op8ZZf1kh+xXy4YQ5jgXqxOOEaRykNkpjeoqQy7su/&#10;3iMe3YKXkgZjllP/ececoES+0+jjYjgBdRLSZTJ9PcLFPfZsH3v0Tp0bTPIQK2p5MiM+yKNZOqM+&#10;Yb/WMStcTHPkzmk4muehG37sJxfrdQJhEi0LV3pjeQzdibbeBVPWSekoU6dNrx5mMTWg35s47I/v&#10;CfXwX7H6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k2nAfXAAAABQEAAA8AAAAAAAAAAQAgAAAA&#10;IgAAAGRycy9kb3ducmV2LnhtbFBLAQIUABQAAAAIAIdO4kCt1iFQRQIAAHMEAAAOAAAAAAAAAAEA&#10;IAAAACYBAABkcnMvZTJvRG9jLnhtbFBLBQYAAAAABgAGAFkBAADdBQAAAAA=&#10;">
                        <v:fill on="f" focussize="0,0"/>
                        <v:stroke on="f" weight="0.5pt"/>
                        <v:imagedata o:title=""/>
                        <o:lock v:ext="edit" aspectratio="f"/>
                        <v:textbox>
                          <w:txbxContent>
                            <w:p w14:paraId="13BA086B">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21"/>
                                  <w:lang w:val="en-US" w:eastAsia="zh-CN"/>
                                </w:rPr>
                              </w:pPr>
                              <w:r>
                                <w:rPr>
                                  <w:rFonts w:hint="eastAsia" w:ascii="Times New Roman" w:hAnsi="Times New Roman" w:eastAsia="宋体" w:cs="Times New Roman"/>
                                  <w:sz w:val="18"/>
                                  <w:szCs w:val="21"/>
                                  <w:lang w:val="en-US" w:eastAsia="zh-CN"/>
                                </w:rPr>
                                <w:t>沥青加热废气</w:t>
                              </w:r>
                            </w:p>
                          </w:txbxContent>
                        </v:textbox>
                      </v:shape>
                      <v:shape id="_x0000_s1026" o:spid="_x0000_s1026" o:spt="32" type="#_x0000_t32" style="position:absolute;left:1003935;top:462915;flip:x y;height:220345;width:635;" filled="f" stroked="t" coordsize="21600,21600" o:gfxdata="UEsDBAoAAAAAAIdO4kAAAAAAAAAAAAAAAAAEAAAAZHJzL1BLAwQUAAAACACHTuJA1iQeW9QAAAAF&#10;AQAADwAAAGRycy9kb3ducmV2LnhtbE2PS2vDMBCE74X+B7GF3Br5EUJwLecQSG85NA963VhbW8Ra&#10;GUu2038ftZf2sjDMMPNtub3bTkw0eONYQbpMQBDXThtuFJxP+9cNCB+QNXaOScE3edhWz08lFtrN&#10;/EHTMTQilrAvUEEbQl9I6euWLPql64mj9+UGiyHKoZF6wDmW205mSbKWFg3HhRZ72rVU346jVZDP&#10;l507fd4Oq8lYM+b1Yf/ea6UWL2nyBiLQPfyF4Qc/okMVma5uZO1FpyA+En5v9DZptgZxVbBK8wxk&#10;Vcr/9NUDUEsDBBQAAAAIAIdO4kDIvtpCMgIAADsEAAAOAAAAZHJzL2Uyb0RvYy54bWytU82O0zAQ&#10;viPxDpbvNGnaLWzUdA8tCwcElfi5Tx0nseQ/2d6mfQleAIkT7Ak47Z2ngeUxGDuluyyXPZBDMs54&#10;vvnm8+f52U5JsuXOC6MrOh7llHDNTC10W9G3b84fPaHEB9A1SKN5Rffc07PFwwfz3pa8MJ2RNXcE&#10;QbQve1vRLgRbZplnHVfgR8ZyjcnGOAUBl67Nagc9oiuZFXk+y3rjausM497j39WQpAdEdx9A0zSC&#10;8ZVhF4rrMKA6LiHgSL4T1tNFYts0nIVXTeN5ILKiOGlIb2yC8Sa+s8UcytaB7QQ7UID7ULgzkwKh&#10;sekRagUByIUT/0ApwZzxpgkjZlQ2DJIUwSnG+R1tXndgeZoFpfb2KLr/f7Ds5XbtiKgrenJCiQaF&#10;J3794ern+8/X377++HT16/vHGH+5JJhHsXrrS6xZ6rWL4/qw3OlUPp1Q/O6OmnJdH1OPD6kiImR/&#10;QcSFtwPYrnGKNFLY5+hLmqJ3MYqNUCmC4OM8n5xOkOm+otNZcTpOpKDku0AY5mcxxzBZFPlkmpIZ&#10;lBE4gljnwzNuFIlBRX1wINouLI3WaBTjhlawfeFDJHpTEIu1ORdSJr9ITfpkIQZ4ARo0HjZVFkX0&#10;uqUEZIs3iwWXmHsjRR1Lk16u3SylI1uIfkxP0gSVvL0t8luB74Z9KTU4NYCQT3VNwt7iQQUnQLeS&#10;00jHK0okx8YYDOylPqg9CByl3ph6v3Z/TgE9lcY8+D+a9vY6Vd/c+c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iQeW9QAAAAFAQAADwAAAAAAAAABACAAAAAiAAAAZHJzL2Rvd25yZXYueG1sUEsB&#10;AhQAFAAAAAgAh07iQMi+2kIyAgAAOwQAAA4AAAAAAAAAAQAgAAAAIwEAAGRycy9lMm9Eb2MueG1s&#10;UEsFBgAAAAAGAAYAWQEAAMcFAAAAAA==&#10;">
                        <v:fill on="f" focussize="0,0"/>
                        <v:stroke weight="0pt" color="#000000 [3213]" joinstyle="round" endarrow="block" endarrowwidth="narrow" endarrowlength="short"/>
                        <v:imagedata o:title=""/>
                        <o:lock v:ext="edit" aspectratio="f"/>
                      </v:shape>
                      <v:shape id="_x0000_s1026" o:spid="_x0000_s1026" o:spt="32" type="#_x0000_t32" style="position:absolute;left:551180;top:800100;height:4445;width:231775;" filled="f" stroked="t" coordsize="21600,21600" o:gfxdata="UEsDBAoAAAAAAIdO4kAAAAAAAAAAAAAAAAAEAAAAZHJzL1BLAwQUAAAACACHTuJAWITSL9YAAAAF&#10;AQAADwAAAGRycy9kb3ducmV2LnhtbE2PwU7DMBBE70j9B2srcaNO0lKFEKeHSj1AhURLP8CJl8Qi&#10;Xke20zR/j+ECl5VGM5p5W+5upmdXdF5bEpCuEmBIjVWaWgGXj8NDDswHSUr2llDAjB521eKulIWy&#10;E53weg4tiyXkCymgC2EoOPdNh0b6lR2QovdpnZEhStdy5eQUy03PsyTZciM1xYVODrjvsPk6j0bA&#10;dDrOL49uri9HP+pcvz69b9ZvQtwv0+QZWMBb+AvDD35Ehyoy1XYk5VkvID4Sfm/08jTbAqsFbNJ1&#10;Brwq+X/66htQSwMEFAAAAAgAh07iQLsGIKAoAgAAJwQAAA4AAABkcnMvZTJvRG9jLnhtbK1TzY7T&#10;MBC+I/EOlu80zbbdLVHTPbQsFwSVgAdwHSex5D95vE37ErwAEifgBJz2ztPA8hiMnbSwy2UP5JDY&#10;+TzfzHzzeXG514rshAdpTUnz0ZgSYbitpGlK+vbN1ZM5JRCYqZiyRpT0IIBeLh8/WnSuEGe2taoS&#10;niCJgaJzJW1DcEWWAW+FZjCyThgEa+s1C7j1TVZ51iG7VtnZeHyeddZXzlsuAPDvugfpwOgfQmjr&#10;WnKxtvxaCxN6Vi8UC9gStNIBXaZq61rw8KquQQSiSoqdhvTGJLjexne2XLCi8cy1kg8lsIeUcK8n&#10;zaTBpCeqNQuMXHv5D5WW3FuwdRhxq7O+kaQIdpGP72nzumVOpF5QanAn0eH/0fKXu40nsirp7JwS&#10;wzRO/Pb9zc93n26/ff3x8ebX9w9x/eUzQRzF6hwUGLMyGx/bhbDamxQ+fUrxuy/ppNdUmOoETQYo&#10;j1B2hyJuwPVk+9rrSIqqECSazfJ8jnM6lHQ+RnGGYYl9IBzhs0l+cTGjhCM+nU5niZsVRxLnITwX&#10;VpO4KCkEz2TThpU1Bk1hfZ7GxXYvIMSiWHEMiBUYeyWVSt5QhnTJLpyh2Ws0GabUDgUD01DCVIO3&#10;iAef6MAqWcXQpI1vtivlyY5F76VnqPHOsZh3zaDtzyWoVzAwqZ6ZioSDw6EEL5lplKCxHNCUKIGJ&#10;cdFXr8ygbC9mlHVrq8PGHxVH/6Q2B69Hg/69T9F/7vf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iE0i/WAAAABQEAAA8AAAAAAAAAAQAgAAAAIgAAAGRycy9kb3ducmV2LnhtbFBLAQIUABQAAAAI&#10;AIdO4kC7BiCgKAIAACcEAAAOAAAAAAAAAAEAIAAAACUBAABkcnMvZTJvRG9jLnhtbFBLBQYAAAAA&#10;BgAGAFkBAAC/BQAAAAA=&#10;">
                        <v:fill on="f" focussize="0,0"/>
                        <v:stroke weight="0pt" color="#000000 [3213]" joinstyle="round" endarrow="block" endarrowwidth="narrow" endarrowlength="short"/>
                        <v:imagedata o:title=""/>
                        <o:lock v:ext="edit" aspectratio="f"/>
                      </v:shape>
                      <v:shape id="_x0000_s1026" o:spid="_x0000_s1026" o:spt="32" type="#_x0000_t32" style="position:absolute;left:1941830;top:1575435;flip:x;height:386080;width:4445;" filled="f" stroked="t" coordsize="21600,21600" o:gfxdata="UEsDBAoAAAAAAIdO4kAAAAAAAAAAAAAAAAAEAAAAZHJzL1BLAwQUAAAACACHTuJAXaTDI9UAAAAF&#10;AQAADwAAAGRycy9kb3ducmV2LnhtbE2PQUvDQBCF74L/YZmCNztJLLXEbAoKvYgX01Y8TrPTJDQ7&#10;G7Kbtv57Vy96GXi8x3vfFOur7dWZR9850ZDOE1AstTOdNBp22839CpQPJIZ6J6zhiz2sy9ubgnLj&#10;LvLO5yo0KpaIz0lDG8KQI/q6ZUt+7gaW6B3daClEOTZoRrrEcttjliRLtNRJXGhp4JeW61M1WQ17&#10;dttPfDw6rjav+Mwfb4tpX2t9N0uTJ1CBr+EvDD/4ER3KyHRwkxiveg3xkfB7o7dKsyWog4ZF+pAB&#10;lgX+py+/AVBLAwQUAAAACACHTuJAmIIcSS8CAAAzBAAADgAAAGRycy9lMm9Eb2MueG1srVPLjtMw&#10;FN0j8Q+W9zR9ZShR01m0DCwQVAI+wHWcxJJf8vU07U/wA0isgBWwmj1fA8NncO2EKTNsZkEX6XWu&#10;fc49xyfL84NWZC88SGtKOhmNKRGG20qapqRv31w8WlACgZmKKWtESY8C6Pnq4YNl5woxta1VlfAE&#10;QQwUnStpG4Irsgx4KzSDkXXCYLO2XrOAS99klWcdomuVTcfjs6yzvnLecgGAbzd9kw6I/j6Atq4l&#10;FxvLL7UwoUf1QrGAkqCVDugqTVvXgodXdQ0iEFVSVBrSE0mw3sVntlqyovHMtZIPI7D7jHBHk2bS&#10;IOkN1IYFRi69/AdKS+4t2DqMuNVZLyQ5giom4zvevG6ZE0kLWg3uxnT4f7D85X7riaxKmuO9G6bx&#10;xq/fX/189+n629cfH69+ff8Q6y+fCfbRrM5BgWfWZuujXAjrg0nH5znF/0NJp72nwlR/WvlkaCW7&#10;s1sQcQGuBzvUXpNaSfccc5ncRH8IQk6ezCeLGV7ZEev8cT6f5QPJIRCOG+bzSM+xPVucjRc9Dysi&#10;YJzSeQjPhNUkFiWF4Jls2rC2xmBArO/J2P4FBJSYnQ7Ew8ZeSKVSTpQhXYoOZxj8GgOHpNqheWAa&#10;Sphq8IviwafZwSpZxaPJJ9/s1sqTPYs5TL+oAKlubYvzbRi0/b7U6oUGJtVTU5FwdHhBwUtmGiVo&#10;HAc0JUogMRY9pDKIfDI2VjtbHbc+tuMKs5S4h9zHsP69TrtO3/r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2kwyPVAAAABQEAAA8AAAAAAAAAAQAgAAAAIgAAAGRycy9kb3ducmV2LnhtbFBLAQIU&#10;ABQAAAAIAIdO4kCYghxJLwIAADMEAAAOAAAAAAAAAAEAIAAAACQBAABkcnMvZTJvRG9jLnhtbFBL&#10;BQYAAAAABgAGAFkBAADFBQAAAAA=&#10;">
                        <v:fill on="f" focussize="0,0"/>
                        <v:stroke weight="0pt" color="#000000 [3213]" joinstyle="round" endarrow="block" endarrowwidth="narrow" endarrowlength="short"/>
                        <v:imagedata o:title=""/>
                        <o:lock v:ext="edit" aspectratio="f"/>
                      </v:shape>
                      <v:shape id="_x0000_s1026" o:spid="_x0000_s1026" o:spt="32" type="#_x0000_t32" style="position:absolute;left:2159000;top:1457960;flip:y;height:4445;width:171450;" filled="f" stroked="t" coordsize="21600,21600" o:gfxdata="UEsDBAoAAAAAAIdO4kAAAAAAAAAAAAAAAAAEAAAAZHJzL1BLAwQUAAAACACHTuJAXaTDI9UAAAAF&#10;AQAADwAAAGRycy9kb3ducmV2LnhtbE2PQUvDQBCF74L/YZmCNztJLLXEbAoKvYgX01Y8TrPTJDQ7&#10;G7Kbtv57Vy96GXi8x3vfFOur7dWZR9850ZDOE1AstTOdNBp22839CpQPJIZ6J6zhiz2sy9ubgnLj&#10;LvLO5yo0KpaIz0lDG8KQI/q6ZUt+7gaW6B3daClEOTZoRrrEcttjliRLtNRJXGhp4JeW61M1WQ17&#10;dttPfDw6rjav+Mwfb4tpX2t9N0uTJ1CBr+EvDD/4ER3KyHRwkxiveg3xkfB7o7dKsyWog4ZF+pAB&#10;lgX+py+/AVBLAwQUAAAACACHTuJAXn+o0jECAAAzBAAADgAAAGRycy9lMm9Eb2MueG1srVNLctQw&#10;EN1TxR1U2jOeGWYS4hpPFjOEDQVTxWffkWVbVfqVWpnPJbgAVayAFbDKntNAOAYt2QkkbLLAC1vS&#10;637d/fS8ON0bzbYyoHK24pPRmDNphauVbSv+5vXZoyecYQRbg3ZWVvwgkZ8uHz5Y7Hwpp65zupaB&#10;EYnFcucr3sXoy6JA0UkDOHJeWgIbFwxE2oa2qAPsiN3oYjoeHxU7F2ofnJCIdLruQT4whvsQuqZR&#10;Qq6duDDSxp41SA2RRsJOeeTL3G3TSBFfNg3KyHTFadKY31SE1ufpXSwXULYBfKfE0ALcp4U7MxlQ&#10;loreUK0hArsI6h8qo0Rw6Jo4Es4U/SBZEZpiMr6jzasOvMyzkNTob0TH/0crXmw3gam64vMTziwY&#10;uvGr95c/3326+vb1x8fLX98/pPWXz4xwEmvnsaScld2ENC7G1d7m9Nmc03df8ce9ptLW19B8NkCT&#10;BBW3KNIGfU+2b4JhjVb+Lfkyq0n6MKKcTuYn4zFd2YGA2fz45Gi4OLmPTFDA5JiOCRcUMJtRK6kO&#10;lIkwdekDxmfSGZYWFccYQLVdXDlrySAu9MVg+xxjn3idkJKtO1Na0zmU2rJdto4AMn5DhqOSxpN4&#10;aFvOQLf0R4kYcu/otKpTatYptOcrHdgWkg/zM/R4KyzVXQN2fVyGejUjKP3U1iwePF1QDApsqyVP&#10;7aDhTEsqTIu+e20HlXthk8Tnrj5sQoLTjryU9Rl8n8z69z5H/fnXl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aTDI9UAAAAFAQAADwAAAAAAAAABACAAAAAiAAAAZHJzL2Rvd25yZXYueG1sUEsB&#10;AhQAFAAAAAgAh07iQF5/qNIxAgAAMwQAAA4AAAAAAAAAAQAgAAAAJAEAAGRycy9lMm9Eb2MueG1s&#10;UEsFBgAAAAAGAAYAWQEAAMcFAAAAAA==&#10;">
                        <v:fill on="f" focussize="0,0"/>
                        <v:stroke weight="0pt" color="#000000 [3213]" joinstyle="round" endarrow="block" endarrowwidth="narrow" endarrowlength="short"/>
                        <v:imagedata o:title=""/>
                        <o:lock v:ext="edit" aspectratio="f"/>
                      </v:shape>
                      <v:shape id="_x0000_s1026" o:spid="_x0000_s1026" o:spt="32" type="#_x0000_t32" style="position:absolute;left:1327150;top:1528445;flip:x;height:6985;width:405765;" filled="f" stroked="t" coordsize="21600,21600" o:gfxdata="UEsDBAoAAAAAAIdO4kAAAAAAAAAAAAAAAAAEAAAAZHJzL1BLAwQUAAAACACHTuJAXaTDI9UAAAAF&#10;AQAADwAAAGRycy9kb3ducmV2LnhtbE2PQUvDQBCF74L/YZmCNztJLLXEbAoKvYgX01Y8TrPTJDQ7&#10;G7Kbtv57Vy96GXi8x3vfFOur7dWZR9850ZDOE1AstTOdNBp22839CpQPJIZ6J6zhiz2sy9ubgnLj&#10;LvLO5yo0KpaIz0lDG8KQI/q6ZUt+7gaW6B3daClEOTZoRrrEcttjliRLtNRJXGhp4JeW61M1WQ17&#10;dttPfDw6rjav+Mwfb4tpX2t9N0uTJ1CBr+EvDD/4ER3KyHRwkxiveg3xkfB7o7dKsyWog4ZF+pAB&#10;lgX+py+/AVBLAwQUAAAACACHTuJAis2TgxYCAADxAwAADgAAAGRycy9lMm9Eb2MueG1srVO9jhMx&#10;EO6ReAfLPdkkJLkQZXNFwkGBIBLwAI7Xu2vJf5rxZZOX4AWQqIAKqK7naeB4DMbecMDRXMEWqxmP&#10;55v5vhkvzw/WsL0C1N6VfDQYcqac9JV2Tclfv7p4MOcMo3CVMN6pkh8V8vPV/XvLLizU2LfeVAoY&#10;gThcdKHkbYxhURQoW2UFDnxQjoK1BysiudAUFYiO0K0pxsPhrOg8VAG8VIh0uumD/IQIdwH0da2l&#10;2nh5aZWLPSooIyJRwlYH5KvcbV0rGV/UNarITMmJacx/KkL2Lv2L1VIsGhCh1fLUgrhLC7c4WaEd&#10;Fb2B2ogo2CXof6CsluDR13EgvS16IlkRYjEa3tLmZSuCylxIagw3ouP/g5XP91tguir5jCRxwtLE&#10;r99efX/z4frL52/vr358fZfsTx8ZxUmsLuCCctZuCycPwxYS80MNltVGh6e0VVkLYscO5Dwcn42m&#10;hH4kezqeTybTXnZ1iEzShclwejabcibpwuzRPEeLHjABB8D4RHnLklFyjCB008a1d47G66EvJvbP&#10;MFJLlPgrISU7f6GNyVM2jnV58FLQ2ta0LlTSBqKOruFMmIbeg4yQe0dvdJVSEwhCs1sbYHuRtih/&#10;iQGV+utaqrsR2Pb3cqgnGoU2j13F4jGQvBG0cI1RPLWDljOjqDAZPaRxhJxk7oVN1s5Xx6x3PqdN&#10;yLVPW5tW7U8/Z/9+qa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aTDI9UAAAAFAQAADwAAAAAA&#10;AAABACAAAAAiAAAAZHJzL2Rvd25yZXYueG1sUEsBAhQAFAAAAAgAh07iQIrNk4MWAgAA8QMAAA4A&#10;AAAAAAAAAQAgAAAAJAEAAGRycy9lMm9Eb2MueG1sUEsFBgAAAAAGAAYAWQEAAKwFAAAAAA==&#10;">
                        <v:fill on="f" focussize="0,0"/>
                        <v:stroke weight="0pt" color="#000000 [3213]" joinstyle="round" endarrow="block" endarrowwidth="narrow" endarrowlength="short"/>
                        <v:imagedata o:title=""/>
                        <o:lock v:ext="edit" aspectratio="f"/>
                      </v:shape>
                      <v:shape id="_x0000_s1026" o:spid="_x0000_s1026" o:spt="32" type="#_x0000_t32" style="position:absolute;left:1327150;top:1410970;flip:y;height:6985;width:405765;" filled="f" stroked="t" coordsize="21600,21600" o:gfxdata="UEsDBAoAAAAAAIdO4kAAAAAAAAAAAAAAAAAEAAAAZHJzL1BLAwQUAAAACACHTuJAXaTDI9UAAAAF&#10;AQAADwAAAGRycy9kb3ducmV2LnhtbE2PQUvDQBCF74L/YZmCNztJLLXEbAoKvYgX01Y8TrPTJDQ7&#10;G7Kbtv57Vy96GXi8x3vfFOur7dWZR9850ZDOE1AstTOdNBp22839CpQPJIZ6J6zhiz2sy9ubgnLj&#10;LvLO5yo0KpaIz0lDG8KQI/q6ZUt+7gaW6B3daClEOTZoRrrEcttjliRLtNRJXGhp4JeW61M1WQ17&#10;dttPfDw6rjav+Mwfb4tpX2t9N0uTJ1CBr+EvDD/4ER3KyHRwkxiveg3xkfB7o7dKsyWog4ZF+pAB&#10;lgX+py+/AVBLAwQUAAAACACHTuJAdhRVHxcCAADxAwAADgAAAGRycy9lMm9Eb2MueG1srVO9jhMx&#10;EO6ReAfLPdkkXJK7VTZXJBwNgkj89BOvd9eS/+Tx5ecleAEkKqA6qK7naeB4DMbecMDRXMEWqxnP&#10;zDfzfR7Pz/dGs60MqJyt+Ggw5Exa4Wpl24q/fnXx6JQzjGBr0M7Kih8k8vPFwwfznS/l2HVO1zIw&#10;ArFY7nzFuxh9WRQoOmkAB85LS8HGBQOR3NAWdYAdoRtdjIfDabFzofbBCYlIp6s+yI+I4T6ArmmU&#10;kCsnLo20sUcNUkMkStgpj3yRp20aKeKLpkEZma44MY35T03I3qR/sZhD2QbwnRLHEeA+I9zhZEBZ&#10;anoLtYII7DKof6CMEsGha+JAOFP0RLIixGI0vKPNyw68zFxIavS3ouP/gxXPt+vAVF3x6YgzC4Zu&#10;/Obd9fe3H2++fP724frH1/fJvvrEKE5i7TyWVLO063D00K9DYr5vgmGNVv4NbVXWgtixPTmPx7PR&#10;hAQ/kH0yGp7NjrLLfWSCEk6Gk9l0wpmghOnZ6ST1KXrABOwDxqfSGZaMimMMoNouLp21dL0u9M1g&#10;+wxjX/irIBVbd6G0pnMotWW7fPECaG0bWhdqaTxRR9tyBrql9yBiyLOj06pOpakSQ7tZ6sC2kLYo&#10;f8cZ/0pLfVeAXZ+XQykNyghKP7E1iwdP8sagwLZa8jQOGs60pMZk9NNrS+yTzL2wydq4+pD1zue0&#10;CVmf49amVfvTz9W/X+ri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2kwyPVAAAABQEAAA8AAAAA&#10;AAAAAQAgAAAAIgAAAGRycy9kb3ducmV2LnhtbFBLAQIUABQAAAAIAIdO4kB2FFUfFwIAAPEDAAAO&#10;AAAAAAAAAAEAIAAAACQBAABkcnMvZTJvRG9jLnhtbFBLBQYAAAAABgAGAFkBAACtBQAAAAA=&#10;">
                        <v:fill on="f" focussize="0,0"/>
                        <v:stroke weight="0pt" color="#000000 [3213]" joinstyle="round" endarrow="block" endarrowwidth="narrow" endarrowlength="short"/>
                        <v:imagedata o:title=""/>
                        <o:lock v:ext="edit" aspectratio="f"/>
                      </v:shape>
                      <v:shape id="_x0000_s1026" o:spid="_x0000_s1026" o:spt="32" type="#_x0000_t32" style="position:absolute;left:997585;top:925195;flip:x;height:426720;width:6985;" filled="f" stroked="t" coordsize="21600,21600" o:gfxdata="UEsDBAoAAAAAAIdO4kAAAAAAAAAAAAAAAAAEAAAAZHJzL1BLAwQUAAAACACHTuJAXaTDI9UAAAAF&#10;AQAADwAAAGRycy9kb3ducmV2LnhtbE2PQUvDQBCF74L/YZmCNztJLLXEbAoKvYgX01Y8TrPTJDQ7&#10;G7Kbtv57Vy96GXi8x3vfFOur7dWZR9850ZDOE1AstTOdNBp22839CpQPJIZ6J6zhiz2sy9ubgnLj&#10;LvLO5yo0KpaIz0lDG8KQI/q6ZUt+7gaW6B3daClEOTZoRrrEcttjliRLtNRJXGhp4JeW61M1WQ17&#10;dttPfDw6rjav+Mwfb4tpX2t9N0uTJ1CBr+EvDD/4ER3KyHRwkxiveg3xkfB7o7dKsyWog4ZF+pAB&#10;lgX+py+/AVBLAwQUAAAACACHTuJAUGJwgC4CAAAxBAAADgAAAGRycy9lMm9Eb2MueG1srVPLbhMx&#10;FN0j8Q+W93SS0KTNqJMuEgoLBJWAD7jxeGYs+SVfN5P8BD+AxApYAavu+Roon8G1J0pp2XRBFpPr&#10;Ofa59xyfOTvfGs02MqBytuLjoxFn0gpXK9tW/N3biyennGEEW4N2VlZ8J5GfLx4/Out9KSeuc7qW&#10;gRGJxbL3Fe9i9GVRoOikATxyXloCGxcMRFqGtqgD9MRudDEZjWZF70LtgxMSkd6uBpDvGcNDCF3T&#10;KCFXTlwZaePAGqSGSJKwUx75Ik/bNFLE102DMjJdcVIa85OaUL1Oz2JxBmUbwHdK7EeAh4xwT5MB&#10;ZanpgWoFEdhVUP9QGSWCQ9fEI+FMMQjJjpCK8eieN2868DJrIavRH0zH/0crXm0uA1N1xWcTziwY&#10;uvGbD9e/3n+++f7t56fr3z8+pvrrF0Y4mdV7LOnM0l6GJBfjcmvz8eOnnP63Fc/boJS2PkCzPZTt&#10;Lu5QpAX6gWzbBMMarfwLymV2k/xhRDmfn0xPp5ztqJxMx/PpcG1yG5kgeDZPoCD0eDI7mQxdoEx0&#10;aUYfMD6XzrBUVBxjANV2cemspXi4MLSCzUuMJLC4PZAOW3ehtM4p0Zb1OTgCKPYNxY2aGk/WoW05&#10;A93S9yRiyJOj06pOR7NLoV0vdWAbSCnMv6SAWt3ZluZbAXbDvgwNQiMo/czWLO48XU8MCmyrJU/j&#10;oOFMS2pMxUCpLTHf2pqqtat3lyHBaUVJyr33qU9R/Xudd91+6Y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aTDI9UAAAAFAQAADwAAAAAAAAABACAAAAAiAAAAZHJzL2Rvd25yZXYueG1sUEsBAhQA&#10;FAAAAAgAh07iQFBicIAuAgAAMQQAAA4AAAAAAAAAAQAgAAAAJAEAAGRycy9lMm9Eb2MueG1sUEsF&#10;BgAAAAAGAAYAWQEAAMQFAAAAAA==&#10;">
                        <v:fill on="f" focussize="0,0"/>
                        <v:stroke weight="0pt" color="#000000 [3213]" joinstyle="round" endarrow="block" endarrowwidth="narrow" endarrowlength="short"/>
                        <v:imagedata o:title=""/>
                        <o:lock v:ext="edit" aspectratio="f"/>
                      </v:shape>
                      <v:shape id="_x0000_s1026" o:spid="_x0000_s1026" o:spt="202" type="#_x0000_t202" style="position:absolute;left:1245235;top:1189355;height:234315;width:549910;" filled="f" stroked="f" coordsize="21600,21600" o:gfxdata="UEsDBAoAAAAAAIdO4kAAAAAAAAAAAAAAAAAEAAAAZHJzL1BLAwQUAAAACACHTuJA2TacB9cAAAAF&#10;AQAADwAAAGRycy9kb3ducmV2LnhtbE2PT0vDQBDF74LfYZmCN7tJ1BJiNkUCRRA9tPbibZKdJqG7&#10;szG7/aOf3tVLvQw83uO935TLszXiSJMfHCtI5wkI4tbpgTsF2/fVbQ7CB2SNxjEp+CIPy+r6qsRC&#10;uxOv6bgJnYgl7AtU0IcwFlL6tieLfu5G4ujt3GQxRDl1Uk94iuXWyCxJFtLiwHGhx5Hqntr95mAV&#10;vNSrN1w3mc2/Tf38unsaP7cfD0rdzNLkEUSgc7iE4Rc/okMVmRp3YO2FURAfCX83enmaLUA0Cu7T&#10;uwxkVcr/9NUPUEsDBBQAAAAIAIdO4kCpxIgYSAIAAHMEAAAOAAAAZHJzL2Uyb0RvYy54bWytVMFu&#10;2zAMvQ/YPwi6L46TuGuCOEXWIMOAYi2QDTsrshwbkERNUmJnH7D9QU+77L7vyneMkpM06HboYReZ&#10;IimS75H09KZVkuyEdTXonKa9PiVCcyhqvcnp50/LN9eUOM90wSRokdO9cPRm9vrVtDETMYAKZCEs&#10;wSDaTRqT08p7M0kSxyuhmOuBERqNJVjFPF7tJiksazC6ksmg379KGrCFscCFc6hddEZ6jGhfEhDK&#10;suZiAXyrhPZdVCsk8wjJVbVxdBarLUvB/X1ZOuGJzCki9fHEJCivw5nMpmyyscxUNT+WwF5SwjNM&#10;itUak55DLZhnZGvrv0KpmltwUPoeB5V0QCIjiCLtP+NmVTEjIhak2pkz6e7/heUfdw+W1EVOr4aU&#10;aKaw44fHH4efvw+/vhPUIUGNcRP0Wxn09O07aHFsTnqHyoC7La0KX0REgn0wygbDjJI9yun1eJhl&#10;HdWi9YSjQzYaj1NsAkeHwXA0TKM9eQpkrPPvBSgShJxa7GQkmO3unMei0PXkEvJqWNZSxm5KTZoA&#10;J+vHB2cLvpAaHwY4XdlB8u26PWJcQ7FHiBa6KXGGL2tMfsecf2AWxwLrxcXx93iUEjAJHCVKKrDf&#10;/qUP/tgttFLS4Jjl1H3dMisokR809nGcjkZhLuNllL0d4MVeWtaXFr1Vt4CTnOKKGh7F4O/lSSwt&#10;qC+4X/OQFU1Mc8ydU38Sb303/LifXMzn0Qkn0TB/p1eGh9AdnfOth7KOTAeaOm6O7OEsxgYc9yYM&#10;++U9ej39K2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k2nAfXAAAABQEAAA8AAAAAAAAAAQAg&#10;AAAAIgAAAGRycy9kb3ducmV2LnhtbFBLAQIUABQAAAAIAIdO4kCpxIgYSAIAAHMEAAAOAAAAAAAA&#10;AAEAIAAAACYBAABkcnMvZTJvRG9jLnhtbFBLBQYAAAAABgAGAFkBAADgBQAAAAA=&#10;">
                        <v:fill on="f" focussize="0,0"/>
                        <v:stroke on="f" weight="0.5pt"/>
                        <v:imagedata o:title=""/>
                        <o:lock v:ext="edit" aspectratio="f"/>
                        <v:textbox>
                          <w:txbxContent>
                            <w:p w14:paraId="3BEB0106">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21"/>
                                  <w:lang w:val="en-US" w:eastAsia="zh-CN"/>
                                </w:rPr>
                              </w:pPr>
                              <w:r>
                                <w:rPr>
                                  <w:rFonts w:hint="eastAsia" w:ascii="Times New Roman" w:hAnsi="Times New Roman" w:eastAsia="宋体" w:cs="Times New Roman"/>
                                  <w:sz w:val="18"/>
                                  <w:szCs w:val="21"/>
                                  <w:lang w:val="en-US" w:eastAsia="zh-CN"/>
                                </w:rPr>
                                <w:t>导热油</w:t>
                              </w:r>
                            </w:p>
                          </w:txbxContent>
                        </v:textbox>
                      </v:shape>
                      <v:shape id="_x0000_s1026" o:spid="_x0000_s1026" o:spt="32" type="#_x0000_t32" style="position:absolute;left:1949450;top:680720;flip:x;height:175895;width:4445;" filled="f" stroked="t" coordsize="21600,21600" o:gfxdata="UEsDBAoAAAAAAIdO4kAAAAAAAAAAAAAAAAAEAAAAZHJzL1BLAwQUAAAACACHTuJAXaTDI9UAAAAF&#10;AQAADwAAAGRycy9kb3ducmV2LnhtbE2PQUvDQBCF74L/YZmCNztJLLXEbAoKvYgX01Y8TrPTJDQ7&#10;G7Kbtv57Vy96GXi8x3vfFOur7dWZR9850ZDOE1AstTOdNBp22839CpQPJIZ6J6zhiz2sy9ubgnLj&#10;LvLO5yo0KpaIz0lDG8KQI/q6ZUt+7gaW6B3daClEOTZoRrrEcttjliRLtNRJXGhp4JeW61M1WQ17&#10;dttPfDw6rjav+Mwfb4tpX2t9N0uTJ1CBr+EvDD/4ER3KyHRwkxiveg3xkfB7o7dKsyWog4ZF+pAB&#10;lgX+py+/AVBLAwQUAAAACACHTuJA7LI3rjICAAAyBAAADgAAAGRycy9lMm9Eb2MueG1srVPNctMw&#10;EL4zwztodCdOMk6beOL0kFA4MJAZ4AEUWbY1o7/RqnHyErwAM5yAE+XUO08D5TFYyW5Ly6UHfLBX&#10;Xu233376tDw7aEX2woO0pqST0ZgSYbitpGlK+v7d+bM5JRCYqZiyRpT0KICerZ4+WXauEFPbWlUJ&#10;TxDEQNG5krYhuCLLgLdCMxhZJwwma+s1C7j0TVZ51iG6Vtl0PD7JOusr5y0XAPh30yfpgOgfA2jr&#10;WnKxsfxCCxN6VC8UCzgStNIBXSW2dS14eFPXIAJRJcVJQ3pjE4x38Z2tlqxoPHOt5AMF9hgKD2bS&#10;TBpsegu1YYGRCy//gdKSewu2DiNuddYPkhTBKSbjB9q8bZkTaRaUGtyt6PD/YPnr/dYTWZX0JKfE&#10;MI0nfv3x6teHL9ffL39+vvr941OMv30lmEexOgcF1qzN1sdxIawPJpXPphS/h5JOe02FqW5SOSKn&#10;VJI7uwcRF+B6sEPtNamVdC/Rl0lN1Icg5GSRL/IZHtkRac7Hp9Ph3MQhEI75PM9nlHDMTk5n88Us&#10;MshYEfEiSechvBBWkxiUFIJnsmnD2hqD/rC+78X2ryD0hTcFsdjYc6lUsokypEvO4Qx9X6PfsKl2&#10;qB2YhhKmGrxQPPhEHaySVSxNMvlmt1ae7Fm0YXoGjve2xb4bBm2/L6V6MQOT6rmpSDg6PJ/gJTON&#10;EjTSAU2JEtgYg569Mjj9na4x2tnquPUxHVdopaTPYPvo1b/XadfdVV/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2kwyPVAAAABQEAAA8AAAAAAAAAAQAgAAAAIgAAAGRycy9kb3ducmV2LnhtbFBL&#10;AQIUABQAAAAIAIdO4kDssjeuMgIAADIEAAAOAAAAAAAAAAEAIAAAACQBAABkcnMvZTJvRG9jLnht&#10;bFBLBQYAAAAABgAGAFkBAADIBQAAAAA=&#10;">
                        <v:fill on="f" focussize="0,0"/>
                        <v:stroke weight="0pt" color="#000000 [3213]" joinstyle="round" endarrow="block" endarrowwidth="narrow" endarrowlength="short"/>
                        <v:imagedata o:title=""/>
                        <o:lock v:ext="edit" aspectratio="f"/>
                      </v:shape>
                      <v:shape id="_x0000_s1026" o:spid="_x0000_s1026" o:spt="32" type="#_x0000_t32" style="position:absolute;left:3651885;top:2202815;flip:x;height:179070;width:5080;" filled="f" stroked="t" coordsize="21600,21600" o:gfxdata="UEsDBAoAAAAAAIdO4kAAAAAAAAAAAAAAAAAEAAAAZHJzL1BLAwQUAAAACACHTuJAXaTDI9UAAAAF&#10;AQAADwAAAGRycy9kb3ducmV2LnhtbE2PQUvDQBCF74L/YZmCNztJLLXEbAoKvYgX01Y8TrPTJDQ7&#10;G7Kbtv57Vy96GXi8x3vfFOur7dWZR9850ZDOE1AstTOdNBp22839CpQPJIZ6J6zhiz2sy9ubgnLj&#10;LvLO5yo0KpaIz0lDG8KQI/q6ZUt+7gaW6B3daClEOTZoRrrEcttjliRLtNRJXGhp4JeW61M1WQ17&#10;dttPfDw6rjav+Mwfb4tpX2t9N0uTJ1CBr+EvDD/4ER3KyHRwkxiveg3xkfB7o7dKsyWog4ZF+pAB&#10;lgX+py+/AVBLAwQUAAAACACHTuJAW3TFbTICAAAzBAAADgAAAGRycy9lMm9Eb2MueG1srVNLbhNB&#10;EN0jcYdW7/GMjew4o4yzsAksEEQCDlDp6ZlpqX/q6vhzCS6AxApYEVbZcxoIx6C6x8QkbLLAi1G1&#10;q+u9V2/enJxujWZrGVA5W/PxqORMWuEaZbuav3t79mTOGUawDWhnZc13Evnp4vGjk42v5MT1Tjcy&#10;MAKxWG18zfsYfVUUKHppAEfOS0vN1gUDkY6hK5oAG0I3upiU5azYuND44IREpH9XQ5PvEcNDAF3b&#10;KiFXTlwaaeOAGqSGSCthrzzyRVbbtlLE122LMjJdc9o05ieRUH2RnsXiBKougO+V2EuAh0i4t5MB&#10;ZYn0FmoFEdhlUP9AGSWCQ9fGkXCmGBbJjtAW4/KeN2968DLvQlajvzUd/x+seLU+D0w1NZ9NObNg&#10;6I3ffLj++f7zzberH5+uf33/mOqvXxj1yayNx4pmlvY8pHUxLrc2j0/JUdVsaz4ZPJW2+dOaHe9b&#10;2e7iDkQ6oB/Atm0wrNXKv6BcZjfJH0aQT2fT8XxO+nYEPykn83HWApXcRibowrScE72g9vjouDwa&#10;eKBKgEmlDxifS2dYKmqOMYDq+rh01lJAXBjIYP0SI61YHAbSsHVnSuucE23ZJkdHAAW/pcARqfFk&#10;HtqOM9AdfVEihqwdnVZNGs0+he5iqQNbQ8ph/iWbiOrOtaRvBdgP93JrcDOC0s9sw+LO0wuKQYHt&#10;tORJDhrOtCRiKgZIbQn5YGyqLlyzOw+pnU6Upcy9z30K69/nfOvwrS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2kwyPVAAAABQEAAA8AAAAAAAAAAQAgAAAAIgAAAGRycy9kb3ducmV2LnhtbFBL&#10;AQIUABQAAAAIAIdO4kBbdMVtMgIAADMEAAAOAAAAAAAAAAEAIAAAACQBAABkcnMvZTJvRG9jLnht&#10;bFBLBQYAAAAABgAGAFkBAADIBQAAAAA=&#10;">
                        <v:fill on="f" focussize="0,0"/>
                        <v:stroke weight="0pt" color="#000000 [3213]" joinstyle="round" endarrow="block" endarrowwidth="narrow" endarrowlength="short"/>
                        <v:imagedata o:title=""/>
                        <o:lock v:ext="edit" aspectratio="f"/>
                      </v:shape>
                      <v:shape id="_x0000_s1026" o:spid="_x0000_s1026" o:spt="32" type="#_x0000_t32" style="position:absolute;left:3656965;top:873760;flip:x;height:1087120;width:3175;" filled="f" stroked="t" coordsize="21600,21600" o:gfxdata="UEsDBAoAAAAAAIdO4kAAAAAAAAAAAAAAAAAEAAAAZHJzL1BLAwQUAAAACACHTuJAXaTDI9UAAAAF&#10;AQAADwAAAGRycy9kb3ducmV2LnhtbE2PQUvDQBCF74L/YZmCNztJLLXEbAoKvYgX01Y8TrPTJDQ7&#10;G7Kbtv57Vy96GXi8x3vfFOur7dWZR9850ZDOE1AstTOdNBp22839CpQPJIZ6J6zhiz2sy9ubgnLj&#10;LvLO5yo0KpaIz0lDG8KQI/q6ZUt+7gaW6B3daClEOTZoRrrEcttjliRLtNRJXGhp4JeW61M1WQ17&#10;dttPfDw6rjav+Mwfb4tpX2t9N0uTJ1CBr+EvDD/4ER3KyHRwkxiveg3xkfB7o7dKsyWog4ZF+pAB&#10;lgX+py+/AVBLAwQUAAAACACHTuJA/u2MxDECAAAzBAAADgAAAGRycy9lMm9Eb2MueG1srVPNjtMw&#10;EL4j8Q6W7zRNl6YlarqHloUDgkrAA7iOk1jynzzepn0JXgCJE3ACTnvnaWB5DMZO2bLLZQ/kkIzz&#10;eb6Z+fx5cb7XiuyEB2lNRfPRmBJhuK2laSv69s3FozklEJipmbJGVPQggJ4vHz5Y9K4UE9tZVQtP&#10;kMRA2buKdiG4MsuAd0IzGFknDIKN9ZoFXPo2qz3rkV2rbDIeF1lvfe285QIA/64HkB4Z/X0IbdNI&#10;LtaWX2phwsDqhWIBR4JOOqDL1G3TCB5eNQ2IQFRFcdKQ3lgE4218Z8sFK1vPXCf5sQV2nxbuzKSZ&#10;NFj0hmrNAiOXXv5DpSX3FmwTRtzqbBgkKYJT5OM72rzumBNpFpQa3I3o8P9o+cvdxhNZV7QoKDFM&#10;44lfv7/6+e7T9bevPz5e/fr+IcZfPhPEUazeQYk5K7PxcVwIq71J6Y8nFL/7ik4GTYWp/0BTFDtB&#10;Se7sFkVcgBvI9o3XpFHSPUdfJjVRH4KUZ8W0eFJMKTlUdD47mxXHcxP7QHjE8xmCHNF8PJ/lk6EO&#10;KyNh7NJ5CM+E1SQGFYXgmWy7sLLGoEGsH4qx3QsIOGJ2SojJxl5IpZJPlCF9sg5naPwGDYdVtUPx&#10;wLSUMNXijeLBp97BKlnH1KSTb7cr5cmORR+mJ8qEpW5ti/2tGXTDvgQNagYm1VNTk3BweEDBS2Za&#10;JWhsBzQlSmBhDAZKZZD5JGyMtrY+bHyE4wq9lGoffR/N+vc67Trd9e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aTDI9UAAAAFAQAADwAAAAAAAAABACAAAAAiAAAAZHJzL2Rvd25yZXYueG1sUEsB&#10;AhQAFAAAAAgAh07iQP7tjMQxAgAAMwQAAA4AAAAAAAAAAQAgAAAAJAEAAGRycy9lMm9Eb2MueG1s&#10;UEsFBgAAAAAGAAYAWQEAAMcFAAAAAA==&#10;">
                        <v:fill on="f" focussize="0,0"/>
                        <v:stroke weight="0pt" color="#000000 [3213]" joinstyle="round" endarrow="block" endarrowwidth="narrow" endarrowlength="short"/>
                        <v:imagedata o:title=""/>
                        <o:lock v:ext="edit" aspectratio="f"/>
                      </v:shape>
                      <v:shape id="_x0000_s1026" o:spid="_x0000_s1026" o:spt="32" type="#_x0000_t32" style="position:absolute;left:1946275;top:1104900;flip:x;height:243840;width:3175;" filled="f" stroked="t" coordsize="21600,21600" o:gfxdata="UEsDBAoAAAAAAIdO4kAAAAAAAAAAAAAAAAAEAAAAZHJzL1BLAwQUAAAACACHTuJAXaTDI9UAAAAF&#10;AQAADwAAAGRycy9kb3ducmV2LnhtbE2PQUvDQBCF74L/YZmCNztJLLXEbAoKvYgX01Y8TrPTJDQ7&#10;G7Kbtv57Vy96GXi8x3vfFOur7dWZR9850ZDOE1AstTOdNBp22839CpQPJIZ6J6zhiz2sy9ubgnLj&#10;LvLO5yo0KpaIz0lDG8KQI/q6ZUt+7gaW6B3daClEOTZoRrrEcttjliRLtNRJXGhp4JeW61M1WQ17&#10;dttPfDw6rjav+Mwfb4tpX2t9N0uTJ1CBr+EvDD/4ER3KyHRwkxiveg3xkfB7o7dKsyWog4ZF+pAB&#10;lgX+py+/AVBLAwQUAAAACACHTuJA9xjZ6C8CAAAzBAAADgAAAGRycy9lMm9Eb2MueG1srVPNctMw&#10;EL4zwztodCd2UpO2njg9JBQODGSG8gCKLNua0d9o1Th5CV6AGU7ACTj1ztPQ8his5ExCy6UHfLBX&#10;/rTf7n76NLvYakU2woO0pqLjUU6JMNzW0rQVfX91+eyMEgjM1ExZIyq6E0Av5k+fzHpXiontrKqF&#10;J0hioOxdRbsQXJllwDuhGYysEwbBxnrNAi59m9We9ciuVTbJ82nWW187b7kAwL/LAaR7Rv8YQts0&#10;koul5ddamDCweqFYwJGgkw7oPHXbNIKHt00DIhBVUZw0pDcWwXgd39l8xsrWM9dJvm+BPaaFBzNp&#10;Jg0WPVAtWWDk2st/qLTk3oJtwohbnQ2DJEVwinH+QJt3HXMizYJSgzuIDv+Plr/ZrDyRdUWnp5QY&#10;pvHE7z7e3H74cvfj+6/PN79/forxt68EcRSrd1BizsKsfBwXwmJrUnpRUPxuKzoZNBWmPkDP91CS&#10;O7tHERfgBrJt4zVplHSv0JdJTdSHIOX4vJhOTpFlh/E4L87z/cGJbSAcN5yMI8oRnhQnZ8VQh5WR&#10;MHbpPISXwmoSg4pC8Ey2XVhYY9Ag1g/F2OY1BBwxOybEZGMvpVLJJ8qQPlmHMzR+g4bDotqheGBa&#10;Sphq8Ubx4FPvYJWsY2rSybfrhfJkw6IP0xNlwlL3tsX+lgy6YV+CBjUDk+qFqUnYOTyg4CUzrRI0&#10;tgOaEiWwMAYDpTLIfBQ2Rmtb71Y+wnGFXkq1976PZv17nXYd7/r8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2kwyPVAAAABQEAAA8AAAAAAAAAAQAgAAAAIgAAAGRycy9kb3ducmV2LnhtbFBLAQIU&#10;ABQAAAAIAIdO4kD3GNnoLwIAADMEAAAOAAAAAAAAAAEAIAAAACQBAABkcnMvZTJvRG9jLnhtbFBL&#10;BQYAAAAABgAGAFkBAADFBQAAAAA=&#10;">
                        <v:fill on="f" focussize="0,0"/>
                        <v:stroke weight="0pt" color="#000000 [3213]" joinstyle="round" endarrow="block" endarrowwidth="narrow" endarrowlength="short"/>
                        <v:imagedata o:title=""/>
                        <o:lock v:ext="edit" aspectratio="f"/>
                      </v:shape>
                      <v:shape id="_x0000_s1026" o:spid="_x0000_s1026" o:spt="32" type="#_x0000_t32" style="position:absolute;left:2315845;top:2082165;flip:y;height:635;width:1010285;" filled="f" stroked="t" coordsize="21600,21600" o:gfxdata="UEsDBAoAAAAAAIdO4kAAAAAAAAAAAAAAAAAEAAAAZHJzL1BLAwQUAAAACACHTuJAXaTDI9UAAAAF&#10;AQAADwAAAGRycy9kb3ducmV2LnhtbE2PQUvDQBCF74L/YZmCNztJLLXEbAoKvYgX01Y8TrPTJDQ7&#10;G7Kbtv57Vy96GXi8x3vfFOur7dWZR9850ZDOE1AstTOdNBp22839CpQPJIZ6J6zhiz2sy9ubgnLj&#10;LvLO5yo0KpaIz0lDG8KQI/q6ZUt+7gaW6B3daClEOTZoRrrEcttjliRLtNRJXGhp4JeW61M1WQ17&#10;dttPfDw6rjav+Mwfb4tpX2t9N0uTJ1CBr+EvDD/4ER3KyHRwkxiveg3xkfB7o7dKsyWog4ZF+pAB&#10;lgX+py+/AVBLAwQUAAAACACHTuJAceDcTTACAAAzBAAADgAAAGRycy9lMm9Eb2MueG1srVPNjtMw&#10;EL4j8Q6W7zRNS6sqarqHluWCYCV+7q5jJ5b8J4+3aV+CF0DiBJxgT3vnaWB5DMZO6S7LZQ/0kI4z&#10;M9988/nL8mxvNNmJAMrZmpajMSXCctco29b07ZvzJwtKIDLbMO2sqOlBAD1bPX607H0lJq5zuhGB&#10;IIiFqvc17WL0VVEA74RhMHJeWExKFwyLeAxt0QTWI7rRxWQ8nhe9C40PjgsAfLsZkvSIGB4C6KRU&#10;XGwcvzTCxgE1CM0irgSd8kBXma2UgsdXUoKIRNcUN435iUMw3qZnsVqyqg3Md4ofKbCHULi3k2HK&#10;4tAT1IZFRi6D+gfKKB4cOBlH3JliWCQrgluU43vavO6YF3kXlBr8SXT4f7D85e4iENXUdI73bpnB&#10;G7/5cP3z/eebq28/Pl3/+v4xxV+/EMyjWL2HCnvW9iKkdSGu9za3z0qK//uaTgdNhW1OKRQ7p8qU&#10;Kv6CSAfwA9heBkOkVv4d+jKrifoQhJxMy9ni6YySA8bjxaScz45D9pFwLChRu8kCCzhWzKc5W7Aq&#10;ASaWPkB8LpwhKagpxMBU28W1sxYN4sIwjO1eQEwEbxtSs3XnSuvsE21Jn63DGRpfouFwovEoHtiW&#10;EqZb/KJ4DJk7OK2a1Jp1Cu12rQPZseTD/MtaoIJ3yxK/DYNuqMupYdHIlH5mGxIPHi8oBsVsqwVN&#10;dMBQogUOxmBgr+1R5UHYJPHWNYeL8Ed99FJe8+j7ZNa759x9+62v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dpMMj1QAAAAUBAAAPAAAAAAAAAAEAIAAAACIAAABkcnMvZG93bnJldi54bWxQSwEC&#10;FAAUAAAACACHTuJAceDcTTACAAAzBAAADgAAAAAAAAABACAAAAAkAQAAZHJzL2Uyb0RvYy54bWxQ&#10;SwUGAAAAAAYABgBZAQAAxgUAAAAA&#10;">
                        <v:fill on="f" focussize="0,0"/>
                        <v:stroke weight="0pt" color="#000000 [3213]" joinstyle="round" endarrow="block" endarrowwidth="narrow" endarrowlength="short"/>
                        <v:imagedata o:title=""/>
                        <o:lock v:ext="edit" aspectratio="f"/>
                      </v:shape>
                      <v:shape id="_x0000_s1026" o:spid="_x0000_s1026" o:spt="202" type="#_x0000_t202" style="position:absolute;left:3273425;top:2381885;height:241935;width:756285;" filled="f" stroked="t" coordsize="21600,21600" o:gfxdata="UEsDBAoAAAAAAIdO4kAAAAAAAAAAAAAAAAAEAAAAZHJzL1BLAwQUAAAACACHTuJAuBEky9cAAAAF&#10;AQAADwAAAGRycy9kb3ducmV2LnhtbE2PwU7DMBBE70j9B2srcaN2ApQqjdNDRQ9ICImCaI9OvMQR&#10;9jqN3bTw9RgucFlpNKOZt+Xq7CwbcQidJwnZTABDarzuqJXw+rK5WgALUZFW1hNK+MQAq2pyUapC&#10;+xM947iNLUslFAolwcTYF5yHxqBTYeZ7pOS9+8GpmOTQcj2oUyp3ludCzLlTHaUFo3pcG2w+tkcn&#10;4fFtd7jfPO3FDmvb3Y72zjx81VJeTjOxBBbxHP/C8IOf0KFKTLU/kg7MSkiPxN+bvEWWz4HVEm6y&#10;6xx4VfL/9NU3UEsDBBQAAAAIAIdO4kAuvQBlXwIAAJsEAAAOAAAAZHJzL2Uyb0RvYy54bWytVM1u&#10;EzEQviPxDpbvZJPNT9OomyqkKkKKaKWCODteb9bC9hjbyW54APoGnLhw57n6HIy9SRsVDj1wccYz&#10;336e+WYmF5etVmQnnJdgCjro9SkRhkMpzaagnz5ev5lS4gMzJVNgREH3wtPL+etXF42diRxqUKVw&#10;BEmMnzW2oHUIdpZlntdCM98DKwwGK3CaBby6TVY61iC7Vlne70+yBlxpHXDhPXqvuiA9MLqXEEJV&#10;SS6ugG+1MKFjdUKxgCX5WlpP5ynbqhI83FSVF4GogmKlIZ34CNrreGbzCzbbOGZryQ8psJek8Kwm&#10;zaTBRx+prlhgZOvkX1RacgceqtDjoLOukKQIVjHoP9PmrmZWpFpQam8fRff/j5Z/2N06IsuCTs4p&#10;MUxjxx9+3D/8/P3w6ztBHwrUWD9D3J1FZGjfQotjc/R7dMa628rp+IsVEYwP87PhKB9Tsi9oPpwO&#10;ptNxJ7VoA+EIOBtPcvQRHgGjwfkwxbMnIut8eCdAk2gU1GEnk8Bst/IBk0LoERLfNXAtlUrdVIY0&#10;WM5w3E8feFCyjMEIi58slSM7hvOwVox/iWkh1wkKb8qgM5bdlRet0K7bgxZrKPcohYNumrzl1xJ5&#10;V8yHW+ZwfHC4cMHCDR6VAkwGDhYlNbhv//JHPHYVo5Q0OI4F9V+3zAlK1HuD/T4fjEZxftNlND7L&#10;8eJOI+vTiNnqJWCFA1xly5MZ8UEdzcqB/ox7uIivYogZjm8XNBzNZeiWBPeYi8UigXBiLQsrc2d5&#10;pO5kX2wDVDJ1JMrUaXNQD2c2iXvYr7gUp/eEevpPmf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BEky9cAAAAFAQAADwAAAAAAAAABACAAAAAiAAAAZHJzL2Rvd25yZXYueG1sUEsBAhQAFAAAAAgA&#10;h07iQC69AGVfAgAAmwQAAA4AAAAAAAAAAQAgAAAAJgEAAGRycy9lMm9Eb2MueG1sUEsFBgAAAAAG&#10;AAYAWQEAAPcFAAAAAA==&#10;">
                        <v:fill on="f" focussize="0,0"/>
                        <v:stroke weight="0.5pt" color="#000000 [3204]" joinstyle="round"/>
                        <v:imagedata o:title=""/>
                        <o:lock v:ext="edit" aspectratio="f"/>
                        <v:textbox>
                          <w:txbxContent>
                            <w:p w14:paraId="5C93EF90">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成品储存</w:t>
                              </w:r>
                            </w:p>
                          </w:txbxContent>
                        </v:textbox>
                      </v:shape>
                      <v:shape id="_x0000_s1026" o:spid="_x0000_s1026" o:spt="202" type="#_x0000_t202" style="position:absolute;left:4270375;top:1960245;height:234315;width:689610;" filled="f" stroked="f" coordsize="21600,21600" o:gfxdata="UEsDBAoAAAAAAIdO4kAAAAAAAAAAAAAAAAAEAAAAZHJzL1BLAwQUAAAACACHTuJA2TacB9cAAAAF&#10;AQAADwAAAGRycy9kb3ducmV2LnhtbE2PT0vDQBDF74LfYZmCN7tJ1BJiNkUCRRA9tPbibZKdJqG7&#10;szG7/aOf3tVLvQw83uO935TLszXiSJMfHCtI5wkI4tbpgTsF2/fVbQ7CB2SNxjEp+CIPy+r6qsRC&#10;uxOv6bgJnYgl7AtU0IcwFlL6tieLfu5G4ujt3GQxRDl1Uk94iuXWyCxJFtLiwHGhx5Hqntr95mAV&#10;vNSrN1w3mc2/Tf38unsaP7cfD0rdzNLkEUSgc7iE4Rc/okMVmRp3YO2FURAfCX83enmaLUA0Cu7T&#10;uwxkVcr/9NUPUEsDBBQAAAAIAIdO4kBU0MZARwIAAHMEAAAOAAAAZHJzL2Uyb0RvYy54bWytVEtu&#10;2zAQ3RfoHQjuG8n/xIgcuDFcFDCaAGnRNU1RkQD+StKR3AO0N+iqm+57rpyjj5SdBGkXWXRDDTmP&#10;b2beDHV+0SlJ7oTzjdEFHZzklAjNTdno24J++rh+c0qJD0yXTBotCroXnl4sXr86b+1cDE1tZCkc&#10;AYn289YWtA7BzrPM81oo5k+MFRrOyjjFArbuNisda8GuZDbM82nWGldaZ7jwHqer3kkPjO4lhKaq&#10;Gi5Whu+U0KFndUKygJJ83VhPFynbqhI8XFWVF4HIgqLSkFYEgb2Na7Y4Z/Nbx2zd8EMK7CUpPKtJ&#10;sUYj6APVigVGdq75i0o13BlvqnDCjcr6QpIiqGKQP9PmpmZWpFogtbcPovv/R8s/3F070pQFnUES&#10;zRQ6fv/j+/3P3/e/vhGcQaDW+jlwNxbI0L01HcbmeO5xGOvuKqfiFxUR+MfDWT6aTSjZA3s2zYfj&#10;SS+16ALhAExPz6YDROQADEfj0SD5s0ci63x4J4wi0SioQyeTwOxu4wOSAvQIiXG1WTdSpm5KTVoE&#10;GE3ydOHBgxtS42Isp087WqHbdocat6bco0Rn+inxlq8bBN8wH66Zw1ggXzyccIWlkgZBzMGipDbu&#10;67/OIx7dgpeSFmNWUP9lx5ygRL7X6OPZYDwGbUib8WQ2xMY99WyfevROXRpM8gBP1PJkRnyQR7Ny&#10;Rn3G+1rGqHAxzRG7oOFoXoZ++PE+uVguEwiTaFnY6BvLI3Uv53IXTNUkpaNMvTYH9TCLqQGHdxOH&#10;/ek+oR7/FY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2TacB9cAAAAFAQAADwAAAAAAAAABACAA&#10;AAAiAAAAZHJzL2Rvd25yZXYueG1sUEsBAhQAFAAAAAgAh07iQFTQxkBHAgAAcwQAAA4AAAAAAAAA&#10;AQAgAAAAJgEAAGRycy9lMm9Eb2MueG1sUEsFBgAAAAAGAAYAWQEAAN8FAAAAAA==&#10;">
                        <v:fill on="f" focussize="0,0"/>
                        <v:stroke on="f" weight="0.5pt"/>
                        <v:imagedata o:title=""/>
                        <o:lock v:ext="edit" aspectratio="f"/>
                        <v:textbox>
                          <w:txbxContent>
                            <w:p w14:paraId="1F34F442">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21"/>
                                  <w:lang w:val="en-US" w:eastAsia="zh-CN"/>
                                </w:rPr>
                              </w:pPr>
                              <w:r>
                                <w:rPr>
                                  <w:rFonts w:hint="eastAsia" w:ascii="Times New Roman" w:hAnsi="Times New Roman" w:eastAsia="宋体" w:cs="Times New Roman"/>
                                  <w:sz w:val="18"/>
                                  <w:szCs w:val="21"/>
                                  <w:lang w:val="en-US" w:eastAsia="zh-CN"/>
                                </w:rPr>
                                <w:t>搅拌废气</w:t>
                              </w:r>
                            </w:p>
                          </w:txbxContent>
                        </v:textbox>
                      </v:shape>
                      <v:shape id="_x0000_s1026" o:spid="_x0000_s1026" o:spt="32" type="#_x0000_t32" style="position:absolute;left:3987800;top:2077720;flip:y;height:4445;width:282575;" filled="f" stroked="t" coordsize="21600,21600" o:gfxdata="UEsDBAoAAAAAAIdO4kAAAAAAAAAAAAAAAAAEAAAAZHJzL1BLAwQUAAAACACHTuJAXaTDI9UAAAAF&#10;AQAADwAAAGRycy9kb3ducmV2LnhtbE2PQUvDQBCF74L/YZmCNztJLLXEbAoKvYgX01Y8TrPTJDQ7&#10;G7Kbtv57Vy96GXi8x3vfFOur7dWZR9850ZDOE1AstTOdNBp22839CpQPJIZ6J6zhiz2sy9ubgnLj&#10;LvLO5yo0KpaIz0lDG8KQI/q6ZUt+7gaW6B3daClEOTZoRrrEcttjliRLtNRJXGhp4JeW61M1WQ17&#10;dttPfDw6rjav+Mwfb4tpX2t9N0uTJ1CBr+EvDD/4ER3KyHRwkxiveg3xkfB7o7dKsyWog4ZF+pAB&#10;lgX+py+/AVBLAwQUAAAACACHTuJAUn8rTjACAAAzBAAADgAAAGRycy9lMm9Eb2MueG1srVPNjtMw&#10;EL4j8Q6W7zRpaEmJmu6hZbkgqMTP3XWcxJL/5PH25yV4ASROwAk47Z2ngeUxGDvtLrtc9kAO0Tgz&#10;8803n7/Mz/Zaka3wIK2p6XiUUyIMt400XU3fvjl/NKMEAjMNU9aImh4E0LPFwwfznatEYXurGuEJ&#10;ghiodq6mfQiuyjLgvdAMRtYJg8nWes0CHn2XNZ7tEF2rrMjzJ9nO+sZ5ywUAfl0NSXpE9PcBtG0r&#10;uVhZfqGFCQOqF4oFXAl66YAuEtu2FTy8alsQgaia4qYhvXEIxpv4zhZzVnWeuV7yIwV2Hwp3dtJM&#10;Ghx6DbVigZELL/+B0pJ7C7YNI251NiySFMEtxvkdbV73zIm0C0oN7lp0+H+w/OV27YlsalqOKTFM&#10;441ffbj89f7z1fdvPz9d/v7xMcZfvxDMo1g7BxX2LM3ax3UhLPcmtU9RUdnsa/p40FSY5pQqT6mE&#10;kN2CiAdwA9i+9Zq0Srp36MukJupDIuTTWTnLEeVQ0yIvy7I4XpzYB8KxoJgV03JKCceCyWQyjRQy&#10;VkXAyNJ5CM+F1SQGNYXgmez6sLTGoEGsH4ax7QsIQ+OpITYbey6VSj5RhuySdThD47doOBypHYoH&#10;pqOEqQ7/KB584g5WySa2Jp18t1kqT7Ys+jA9R463yuLcFYN+qEupQc3ApHpmGhIODi8oeMlMpwSN&#10;dEBTogQOxmBgrwxufyNsjDa2Oax9TMcTeinpc/R9NOvf51R1868v/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dpMMj1QAAAAUBAAAPAAAAAAAAAAEAIAAAACIAAABkcnMvZG93bnJldi54bWxQSwEC&#10;FAAUAAAACACHTuJAUn8rTjACAAAzBAAADgAAAAAAAAABACAAAAAkAQAAZHJzL2Uyb0RvYy54bWxQ&#10;SwUGAAAAAAYABgBZAQAAxgUAAAAA&#10;">
                        <v:fill on="f" focussize="0,0"/>
                        <v:stroke weight="0pt" color="#000000 [3213]" joinstyle="round" endarrow="block" endarrowwidth="narrow" endarrowlength="short"/>
                        <v:imagedata o:title=""/>
                        <o:lock v:ext="edit" aspectratio="f"/>
                      </v:shape>
                      <v:shape id="_x0000_s1026" o:spid="_x0000_s1026" o:spt="202" type="#_x0000_t202" style="position:absolute;left:4260850;top:641350;height:234315;width:689610;" filled="f" stroked="f" coordsize="21600,21600" o:gfxdata="UEsDBAoAAAAAAIdO4kAAAAAAAAAAAAAAAAAEAAAAZHJzL1BLAwQUAAAACACHTuJA2TacB9cAAAAF&#10;AQAADwAAAGRycy9kb3ducmV2LnhtbE2PT0vDQBDF74LfYZmCN7tJ1BJiNkUCRRA9tPbibZKdJqG7&#10;szG7/aOf3tVLvQw83uO935TLszXiSJMfHCtI5wkI4tbpgTsF2/fVbQ7CB2SNxjEp+CIPy+r6qsRC&#10;uxOv6bgJnYgl7AtU0IcwFlL6tieLfu5G4ujt3GQxRDl1Uk94iuXWyCxJFtLiwHGhx5Hqntr95mAV&#10;vNSrN1w3mc2/Tf38unsaP7cfD0rdzNLkEUSgc7iE4Rc/okMVmRp3YO2FURAfCX83enmaLUA0Cu7T&#10;uwxkVcr/9NUPUEsDBBQAAAAIAIdO4kDo2m6jQwIAAHIEAAAOAAAAZHJzL2Uyb0RvYy54bWytVMtu&#10;EzEU3SPxD5b3dDJpkrZRJlVoVIRU0UoFsXY8ns5IfmE7mQkfAH/QFRv2fFe/g2NP0pTCogs2zrXP&#10;zTm+x/fO7LxTkmyE843RBc2PBpQIzU3Z6LuCfvp4+eaUEh+YLpk0WhR0Kzw9n79+NWvtVAxNbWQp&#10;HAGJ9tPWFrQOwU6zzPNaKOaPjBUaYGWcYgFbd5eVjrVgVzIbDgaTrDWutM5w4T1Olz1Id4zuJYSm&#10;qhouloavldChZ3VCsoCSfN1YT+fptlUleLiuKi8CkQVFpSGtEEG8ims2n7HpnWO2bvjuCuwlV3hW&#10;k2KNhugj1ZIFRtau+YtKNdwZb6pwxI3K+kKSI6giHzzz5rZmVqRaYLW3j6b7/0fLP2xuHGnKgp4M&#10;KdFM4cUf7r8//Pj18PMbwRkMaq2fIu/WIjN0b02HttmfexzGurvKqfiLigjw0XAyOB3D5G1BJ6P8&#10;GGFyWnSBcOCT07NJDpgDHx6PjvNxxLMDj3U+vBNGkRgU1OEhk79sc+VDn7pPibLaXDZSJgmpSQuB&#10;KPkHAnKpoRGr6W8do9CtOvwthitTblGhM32TeMsvG4hfMR9umENX4L6Ym3CNpZIGImYXUVIb9/Vf&#10;5zEfjwWUkhZdVlD/Zc2coES+13jGs3w0Am1Im9H4ZIiNe4qsniJ6rS4MGjnHhFqewpgf5D6snFGf&#10;MV6LqAqIaQ7tgoZ9eBH63sd4crFYpCQ0omXhSt9aHql70xbrYKomOX3wZuceWjG91W5sYq8/3aes&#10;w6di/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ZNpwH1wAAAAUBAAAPAAAAAAAAAAEAIAAAACIA&#10;AABkcnMvZG93bnJldi54bWxQSwECFAAUAAAACACHTuJA6Npuo0MCAAByBAAADgAAAAAAAAABACAA&#10;AAAmAQAAZHJzL2Uyb0RvYy54bWxQSwUGAAAAAAYABgBZAQAA2wUAAAAA&#10;">
                        <v:fill on="f" focussize="0,0"/>
                        <v:stroke on="f" weight="0.5pt"/>
                        <v:imagedata o:title=""/>
                        <o:lock v:ext="edit" aspectratio="f"/>
                        <v:textbox>
                          <w:txbxContent>
                            <w:p w14:paraId="649C9349">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z w:val="18"/>
                                  <w:szCs w:val="21"/>
                                  <w:lang w:val="en-US" w:eastAsia="zh-CN"/>
                                </w:rPr>
                              </w:pPr>
                              <w:r>
                                <w:rPr>
                                  <w:rFonts w:hint="eastAsia" w:ascii="Times New Roman" w:hAnsi="Times New Roman" w:eastAsia="宋体" w:cs="Times New Roman"/>
                                  <w:sz w:val="18"/>
                                  <w:szCs w:val="21"/>
                                  <w:lang w:val="en-US" w:eastAsia="zh-CN"/>
                                </w:rPr>
                                <w:t>废包装桶</w:t>
                              </w:r>
                            </w:p>
                          </w:txbxContent>
                        </v:textbox>
                      </v:shape>
                      <v:shape id="_x0000_s1026" o:spid="_x0000_s1026" o:spt="32" type="#_x0000_t32" style="position:absolute;left:3998595;top:756920;height:1905;width:262255;" filled="f" stroked="t" coordsize="21600,21600" o:gfxdata="UEsDBAoAAAAAAIdO4kAAAAAAAAAAAAAAAAAEAAAAZHJzL1BLAwQUAAAACACHTuJAWITSL9YAAAAF&#10;AQAADwAAAGRycy9kb3ducmV2LnhtbE2PwU7DMBBE70j9B2srcaNO0lKFEKeHSj1AhURLP8CJl8Qi&#10;Xke20zR/j+ECl5VGM5p5W+5upmdXdF5bEpCuEmBIjVWaWgGXj8NDDswHSUr2llDAjB521eKulIWy&#10;E53weg4tiyXkCymgC2EoOPdNh0b6lR2QovdpnZEhStdy5eQUy03PsyTZciM1xYVODrjvsPk6j0bA&#10;dDrOL49uri9HP+pcvz69b9ZvQtwv0+QZWMBb+AvDD35Ehyoy1XYk5VkvID4Sfm/08jTbAqsFbNJ1&#10;Brwq+X/66htQSwMEFAAAAAgAh07iQOMgwisqAgAAKAQAAA4AAABkcnMvZTJvRG9jLnhtbK1TS3IT&#10;MRDdU8UdVNrjsQfsxFMZZ2ETNhSkCjhAR6OZUZV+pVb8uQQXoIoVsCKssuc0EI5BS2MHEjZZ4MVY&#10;mtd6/frpzcnp1mi2lgGVszWfjMacSStco2xX83dvz54cc4YRbAPaWVnznUR+unj86GTjK1m63ulG&#10;BkYkFquNr3kfo6+KAkUvDeDIeWkJbF0wEGkbuqIJsCF2o4tyPJ4VGxcaH5yQiPR2NYB8zxgeQuja&#10;Vgm5cuLSSBsH1iA1RBoJe+WRL7LatpUivm5blJHpmtOkMT+pCa0v0rNYnEDVBfC9EnsJ8BAJ92Yy&#10;oCw1vaVaQQR2GdQ/VEaJ4NC1cSScKYZBsiM0xWR8z5s3PXiZZyGr0d+ajv+PVrxanwemmpofPeXM&#10;gqEbv/lw/fP955tvVz8+Xf/6/jGtv35hhJNZG48VnVna85DGxbjc2nz8Wcnpf1vzXAaVtM0BOjpA&#10;k8RQ3KFIG/QD2bYNJpGSKywRzefH0/mUsx2Jm87m5f625DYyQXg5K8spwYLwyXw8zeRQHVh8wPhC&#10;OsPSouYYA6iuj0tnLaXChUm+L1i/xJhUQXU4kCRYd6a0zuHQlm1yXgRQ2ltKGbU0nhxD23EGuqPP&#10;SMSQ6dBp1aSj2ZzQXSx1YGtI4cu/vcY7ZanvCrAf6jKUyqCKoPRz27C483QrMSiwnZY8yUHDmZbU&#10;mBaDem331g5uJl8vXLM7DwlOOwpQHnMf9pTQv/e56s8Hvvg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ITSL9YAAAAFAQAADwAAAAAAAAABACAAAAAiAAAAZHJzL2Rvd25yZXYueG1sUEsBAhQAFAAA&#10;AAgAh07iQOMgwisqAgAAKAQAAA4AAAAAAAAAAQAgAAAAJQEAAGRycy9lMm9Eb2MueG1sUEsFBgAA&#10;AAAGAAYAWQEAAMEFAAAAAA==&#10;">
                        <v:fill on="f" focussize="0,0"/>
                        <v:stroke weight="0pt" color="#000000 [3213]" joinstyle="round" endarrow="block" endarrowwidth="narrow" endarrowlength="short"/>
                        <v:imagedata o:title=""/>
                        <o:lock v:ext="edit" aspectratio="f"/>
                      </v:shape>
                      <w10:wrap type="none"/>
                      <w10:anchorlock/>
                    </v:group>
                  </w:pict>
                </mc:Fallback>
              </mc:AlternateContent>
            </w:r>
          </w:p>
          <w:p w14:paraId="2C5B4C8E">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图2-</w:t>
            </w:r>
            <w:r>
              <w:rPr>
                <w:rFonts w:hint="eastAsia" w:ascii="Times New Roman" w:hAnsi="Times New Roman" w:eastAsia="宋体" w:cs="Times New Roman"/>
                <w:b/>
                <w:bCs/>
                <w:sz w:val="21"/>
                <w:szCs w:val="21"/>
                <w:lang w:val="en-US" w:eastAsia="zh-CN"/>
              </w:rPr>
              <w:t>7</w:t>
            </w:r>
            <w:r>
              <w:rPr>
                <w:rFonts w:hint="default" w:ascii="Times New Roman" w:hAnsi="Times New Roman" w:eastAsia="宋体" w:cs="Times New Roman"/>
                <w:b/>
                <w:bCs/>
                <w:sz w:val="21"/>
                <w:szCs w:val="21"/>
                <w:lang w:val="en-US" w:eastAsia="zh-CN"/>
              </w:rPr>
              <w:t xml:space="preserve">   </w:t>
            </w:r>
            <w:r>
              <w:rPr>
                <w:rFonts w:hint="eastAsia" w:ascii="Times New Roman" w:hAnsi="Times New Roman" w:eastAsia="宋体" w:cs="Times New Roman"/>
                <w:b/>
                <w:bCs/>
                <w:sz w:val="21"/>
                <w:szCs w:val="21"/>
                <w:lang w:val="en-US" w:eastAsia="zh-CN"/>
              </w:rPr>
              <w:t>乳化沥青</w:t>
            </w:r>
            <w:r>
              <w:rPr>
                <w:rFonts w:hint="default" w:ascii="Times New Roman" w:hAnsi="Times New Roman" w:eastAsia="宋体" w:cs="Times New Roman"/>
                <w:b/>
                <w:bCs/>
                <w:sz w:val="21"/>
                <w:szCs w:val="21"/>
                <w:lang w:val="en-US" w:eastAsia="zh-CN"/>
              </w:rPr>
              <w:t>工艺流程及产污环节图</w:t>
            </w:r>
          </w:p>
          <w:p w14:paraId="5CC2FC1C">
            <w:pPr>
              <w:keepNext w:val="0"/>
              <w:keepLines w:val="0"/>
              <w:pageBreakBefore w:val="0"/>
              <w:widowControl w:val="0"/>
              <w:kinsoku/>
              <w:wordWrap w:val="0"/>
              <w:overflowPunct/>
              <w:topLinePunct w:val="0"/>
              <w:autoSpaceDE w:val="0"/>
              <w:autoSpaceDN w:val="0"/>
              <w:bidi w:val="0"/>
              <w:adjustRightInd/>
              <w:snapToGrid/>
              <w:spacing w:line="360" w:lineRule="auto"/>
              <w:ind w:firstLine="482"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沥青储存、加热：</w:t>
            </w:r>
            <w:r>
              <w:rPr>
                <w:rFonts w:hint="eastAsia" w:ascii="Times New Roman" w:hAnsi="Times New Roman" w:eastAsia="宋体" w:cs="Times New Roman"/>
                <w:sz w:val="24"/>
                <w:szCs w:val="24"/>
                <w:lang w:val="en-US" w:eastAsia="zh-CN"/>
              </w:rPr>
              <w:t>外购的沥青在沥青罐内储存，使用导热油炉将沥青储罐中的沥青保持在</w:t>
            </w:r>
            <w:r>
              <w:rPr>
                <w:rFonts w:hint="eastAsia" w:cs="Times New Roman"/>
                <w:sz w:val="24"/>
                <w:szCs w:val="24"/>
                <w:lang w:val="en-US" w:eastAsia="zh-CN"/>
              </w:rPr>
              <w:t>150-180</w:t>
            </w:r>
            <w:r>
              <w:rPr>
                <w:rFonts w:hint="eastAsia" w:ascii="Times New Roman" w:hAnsi="Times New Roman" w:eastAsia="宋体" w:cs="Times New Roman"/>
                <w:sz w:val="24"/>
                <w:szCs w:val="24"/>
                <w:lang w:val="en-US" w:eastAsia="zh-CN"/>
              </w:rPr>
              <w:t>℃左右，导热油炉采用天然气为燃料，通过燃烧器燃烧后加热导热油对沥青间接加热。</w:t>
            </w:r>
            <w:r>
              <w:rPr>
                <w:rFonts w:hint="eastAsia" w:ascii="Times New Roman" w:hAnsi="Times New Roman" w:eastAsia="宋体" w:cs="Times New Roman"/>
                <w:b w:val="0"/>
                <w:bCs w:val="0"/>
                <w:sz w:val="24"/>
                <w:szCs w:val="24"/>
                <w:u w:val="single"/>
                <w:lang w:val="en-US" w:eastAsia="zh-CN"/>
              </w:rPr>
              <w:t>该工序产生沥青加热废气、天然气燃烧废气、设备噪声。</w:t>
            </w:r>
          </w:p>
          <w:p w14:paraId="325997D9">
            <w:pPr>
              <w:keepNext w:val="0"/>
              <w:keepLines w:val="0"/>
              <w:pageBreakBefore w:val="0"/>
              <w:widowControl w:val="0"/>
              <w:kinsoku/>
              <w:wordWrap w:val="0"/>
              <w:overflowPunct/>
              <w:topLinePunct w:val="0"/>
              <w:autoSpaceDE w:val="0"/>
              <w:autoSpaceDN w:val="0"/>
              <w:bidi w:val="0"/>
              <w:adjustRightInd/>
              <w:snapToGrid/>
              <w:spacing w:line="360" w:lineRule="auto"/>
              <w:ind w:firstLine="482"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配置皂液</w:t>
            </w:r>
            <w:r>
              <w:rPr>
                <w:rFonts w:hint="eastAsia" w:cs="Times New Roman"/>
                <w:b/>
                <w:bCs/>
                <w:sz w:val="24"/>
                <w:szCs w:val="24"/>
                <w:lang w:val="en-US" w:eastAsia="zh-CN"/>
              </w:rPr>
              <w:t>：</w:t>
            </w:r>
            <w:r>
              <w:rPr>
                <w:rFonts w:hint="eastAsia" w:ascii="Times New Roman" w:hAnsi="Times New Roman" w:eastAsia="宋体" w:cs="Times New Roman"/>
                <w:sz w:val="24"/>
                <w:szCs w:val="24"/>
                <w:lang w:val="en-US" w:eastAsia="zh-CN"/>
              </w:rPr>
              <w:t>将乳化剂、水按照一定的比例加入</w:t>
            </w:r>
            <w:r>
              <w:rPr>
                <w:rFonts w:hint="eastAsia" w:cs="Times New Roman"/>
                <w:sz w:val="24"/>
                <w:szCs w:val="24"/>
                <w:lang w:val="en-US" w:eastAsia="zh-CN"/>
              </w:rPr>
              <w:t>皂液</w:t>
            </w:r>
            <w:r>
              <w:rPr>
                <w:rFonts w:hint="eastAsia" w:ascii="Times New Roman" w:hAnsi="Times New Roman" w:eastAsia="宋体" w:cs="Times New Roman"/>
                <w:sz w:val="24"/>
                <w:szCs w:val="24"/>
                <w:lang w:val="en-US" w:eastAsia="zh-CN"/>
              </w:rPr>
              <w:t>罐中并搅拌。</w:t>
            </w:r>
            <w:r>
              <w:rPr>
                <w:rFonts w:hint="eastAsia" w:cs="Times New Roman"/>
                <w:sz w:val="24"/>
                <w:szCs w:val="24"/>
                <w:lang w:val="en-US" w:eastAsia="zh-CN"/>
              </w:rPr>
              <w:t>乳化剂</w:t>
            </w:r>
            <w:r>
              <w:rPr>
                <w:rFonts w:hint="eastAsia" w:ascii="Times New Roman" w:hAnsi="Times New Roman" w:eastAsia="宋体" w:cs="Times New Roman"/>
                <w:sz w:val="24"/>
                <w:szCs w:val="24"/>
                <w:lang w:val="en-US" w:eastAsia="zh-CN"/>
              </w:rPr>
              <w:t>上料时直接从塑料桶中抽取，抽取过程采用负压抽取方法，输送及配制皂液过程均为全密闭，不设置放空或排气装置</w:t>
            </w:r>
            <w:r>
              <w:rPr>
                <w:rFonts w:hint="eastAsia" w:cs="Times New Roman"/>
                <w:sz w:val="24"/>
                <w:szCs w:val="24"/>
                <w:lang w:val="en-US" w:eastAsia="zh-CN"/>
              </w:rPr>
              <w:t>。</w:t>
            </w:r>
            <w:r>
              <w:rPr>
                <w:rFonts w:hint="eastAsia" w:ascii="Times New Roman" w:hAnsi="Times New Roman" w:eastAsia="宋体" w:cs="Times New Roman"/>
                <w:b w:val="0"/>
                <w:bCs w:val="0"/>
                <w:sz w:val="24"/>
                <w:szCs w:val="24"/>
                <w:u w:val="single"/>
                <w:lang w:val="en-US" w:eastAsia="zh-CN"/>
              </w:rPr>
              <w:t>该工序产生废包装桶。</w:t>
            </w:r>
          </w:p>
          <w:p w14:paraId="689849D1">
            <w:pPr>
              <w:keepNext w:val="0"/>
              <w:keepLines w:val="0"/>
              <w:pageBreakBefore w:val="0"/>
              <w:widowControl w:val="0"/>
              <w:kinsoku/>
              <w:wordWrap w:val="0"/>
              <w:overflowPunct/>
              <w:topLinePunct w:val="0"/>
              <w:autoSpaceDE w:val="0"/>
              <w:autoSpaceDN w:val="0"/>
              <w:bidi w:val="0"/>
              <w:adjustRightInd/>
              <w:snapToGrid/>
              <w:spacing w:line="360" w:lineRule="auto"/>
              <w:ind w:firstLine="482"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混合搅拌</w:t>
            </w:r>
            <w:r>
              <w:rPr>
                <w:rFonts w:hint="eastAsia" w:cs="Times New Roman"/>
                <w:b/>
                <w:bCs/>
                <w:sz w:val="24"/>
                <w:szCs w:val="24"/>
                <w:lang w:val="en-US" w:eastAsia="zh-CN"/>
              </w:rPr>
              <w:t>：</w:t>
            </w:r>
            <w:r>
              <w:rPr>
                <w:rFonts w:hint="eastAsia" w:ascii="Times New Roman" w:hAnsi="Times New Roman" w:eastAsia="宋体" w:cs="Times New Roman"/>
                <w:sz w:val="24"/>
                <w:szCs w:val="24"/>
                <w:lang w:val="en-US" w:eastAsia="zh-CN"/>
              </w:rPr>
              <w:t>打开乳化沥青设备中的胶体磨、皂液阀门与沥青阀门，使皂液进入罐中一起充分搅拌，充分搅拌后即为成品。</w:t>
            </w:r>
            <w:r>
              <w:rPr>
                <w:rFonts w:hint="eastAsia" w:ascii="Times New Roman" w:hAnsi="Times New Roman" w:eastAsia="宋体" w:cs="Times New Roman"/>
                <w:b w:val="0"/>
                <w:bCs w:val="0"/>
                <w:sz w:val="24"/>
                <w:szCs w:val="24"/>
                <w:u w:val="single"/>
                <w:lang w:val="en-US" w:eastAsia="zh-CN"/>
              </w:rPr>
              <w:t>该工序产生沥青搅拌废气、设备噪声。</w:t>
            </w:r>
          </w:p>
          <w:p w14:paraId="04B263C9">
            <w:pPr>
              <w:keepNext w:val="0"/>
              <w:keepLines w:val="0"/>
              <w:pageBreakBefore w:val="0"/>
              <w:widowControl w:val="0"/>
              <w:kinsoku/>
              <w:wordWrap w:val="0"/>
              <w:overflowPunct/>
              <w:topLinePunct w:val="0"/>
              <w:autoSpaceDE w:val="0"/>
              <w:autoSpaceDN w:val="0"/>
              <w:bidi w:val="0"/>
              <w:adjustRightInd/>
              <w:snapToGrid/>
              <w:spacing w:line="360" w:lineRule="auto"/>
              <w:ind w:firstLine="482" w:firstLineChars="200"/>
              <w:textAlignment w:val="auto"/>
              <w:rPr>
                <w:rFonts w:hint="default" w:ascii="Times New Roman" w:hAnsi="Times New Roman" w:eastAsia="宋体" w:cs="Times New Roman"/>
                <w:sz w:val="24"/>
                <w:szCs w:val="24"/>
                <w:lang w:val="en-US" w:eastAsia="zh-CN"/>
              </w:rPr>
            </w:pPr>
            <w:r>
              <w:rPr>
                <w:rFonts w:hint="eastAsia" w:cs="Times New Roman"/>
                <w:b/>
                <w:bCs/>
                <w:sz w:val="24"/>
                <w:szCs w:val="24"/>
                <w:lang w:val="en-US" w:eastAsia="zh-CN"/>
              </w:rPr>
              <w:t>成品储存：</w:t>
            </w:r>
            <w:r>
              <w:rPr>
                <w:rFonts w:hint="eastAsia" w:cs="Times New Roman"/>
                <w:sz w:val="24"/>
                <w:szCs w:val="24"/>
                <w:lang w:val="en-US" w:eastAsia="zh-CN"/>
              </w:rPr>
              <w:t>混合搅拌完成后的</w:t>
            </w:r>
            <w:r>
              <w:rPr>
                <w:rFonts w:hint="eastAsia" w:ascii="Times New Roman" w:hAnsi="Times New Roman" w:eastAsia="宋体" w:cs="Times New Roman"/>
                <w:sz w:val="24"/>
                <w:szCs w:val="24"/>
                <w:lang w:val="en-US" w:eastAsia="zh-CN"/>
              </w:rPr>
              <w:t>乳化沥青产品</w:t>
            </w:r>
            <w:r>
              <w:rPr>
                <w:rFonts w:hint="eastAsia" w:cs="Times New Roman"/>
                <w:sz w:val="24"/>
                <w:szCs w:val="24"/>
                <w:lang w:val="en-US" w:eastAsia="zh-CN"/>
              </w:rPr>
              <w:t>进入乳化沥青成品罐进行储存。</w:t>
            </w:r>
          </w:p>
          <w:p w14:paraId="492CD8D3">
            <w:pPr>
              <w:keepNext w:val="0"/>
              <w:keepLines w:val="0"/>
              <w:pageBreakBefore w:val="0"/>
              <w:widowControl w:val="0"/>
              <w:kinsoku/>
              <w:wordWrap w:val="0"/>
              <w:overflowPunct/>
              <w:topLinePunct w:val="0"/>
              <w:autoSpaceDE w:val="0"/>
              <w:autoSpaceDN w:val="0"/>
              <w:bidi w:val="0"/>
              <w:adjustRightInd/>
              <w:snapToGrid/>
              <w:spacing w:line="360" w:lineRule="auto"/>
              <w:ind w:firstLine="482" w:firstLineChars="200"/>
              <w:textAlignment w:val="auto"/>
              <w:rPr>
                <w:rFonts w:hint="eastAsia" w:ascii="Times New Roman" w:hAnsi="Times New Roman" w:eastAsia="宋体" w:cs="Times New Roman"/>
                <w:b/>
                <w:bCs/>
                <w:sz w:val="24"/>
                <w:szCs w:val="24"/>
                <w:lang w:val="en-US" w:eastAsia="zh-CN"/>
              </w:rPr>
            </w:pPr>
            <w:r>
              <w:rPr>
                <w:rFonts w:hint="eastAsia" w:cs="Times New Roman"/>
                <w:b/>
                <w:bCs/>
                <w:sz w:val="24"/>
                <w:szCs w:val="24"/>
                <w:lang w:val="en-US" w:eastAsia="zh-CN"/>
              </w:rPr>
              <w:t>2.4煤粉</w:t>
            </w:r>
            <w:r>
              <w:rPr>
                <w:rFonts w:hint="eastAsia" w:ascii="Times New Roman" w:hAnsi="Times New Roman" w:eastAsia="宋体" w:cs="Times New Roman"/>
                <w:b/>
                <w:bCs/>
                <w:sz w:val="24"/>
                <w:szCs w:val="24"/>
                <w:lang w:val="en-US" w:eastAsia="zh-CN"/>
              </w:rPr>
              <w:t>工艺流程及产污环节</w:t>
            </w:r>
          </w:p>
          <w:p w14:paraId="41579E95">
            <w:pPr>
              <w:keepNext w:val="0"/>
              <w:keepLines w:val="0"/>
              <w:pageBreakBefore w:val="0"/>
              <w:widowControl w:val="0"/>
              <w:kinsoku/>
              <w:wordWrap w:val="0"/>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本项目煤粉生产</w:t>
            </w:r>
            <w:r>
              <w:rPr>
                <w:rFonts w:hint="default" w:ascii="Times New Roman" w:hAnsi="Times New Roman" w:eastAsia="宋体" w:cs="Times New Roman"/>
                <w:sz w:val="24"/>
                <w:szCs w:val="24"/>
                <w:lang w:val="en-US" w:eastAsia="zh-CN"/>
              </w:rPr>
              <w:t>工艺采用“一步法”，即烘干、磨制在立式磨煤机主机中一体完成，然后通过煤磨专用负压防爆除尘器收集成品煤粉送⼊下一步工序。进⼊厂区的原煤落⼊两个受煤坑后通过两条计量皮带汇⼊变频给料皮带送⼊原煤板链斗提（容积5m</w:t>
            </w:r>
            <w:r>
              <w:rPr>
                <w:rFonts w:hint="eastAsia"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），再通过封闭给煤设备将原料煤配给立式磨煤机的⼊料口，同时热风从立式磨煤机进风口进⼊磨内，使磨煤机实现干磨。</w:t>
            </w:r>
          </w:p>
          <w:p w14:paraId="7D0382AB">
            <w:pPr>
              <w:keepNext w:val="0"/>
              <w:keepLines w:val="0"/>
              <w:pageBreakBefore w:val="0"/>
              <w:widowControl w:val="0"/>
              <w:kinsoku/>
              <w:wordWrap w:val="0"/>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本工艺属于热态粉磨，实现了干燥、粉磨功能。主要设备为立式磨煤机（主电机：280k</w:t>
            </w:r>
            <w:r>
              <w:rPr>
                <w:rFonts w:hint="eastAsia" w:cs="Times New Roman"/>
                <w:sz w:val="24"/>
                <w:szCs w:val="24"/>
                <w:lang w:val="en-US" w:eastAsia="zh-CN"/>
              </w:rPr>
              <w:t>W</w:t>
            </w:r>
            <w:r>
              <w:rPr>
                <w:rFonts w:hint="default" w:ascii="Times New Roman" w:hAnsi="Times New Roman" w:eastAsia="宋体" w:cs="Times New Roman"/>
                <w:sz w:val="24"/>
                <w:szCs w:val="24"/>
                <w:lang w:val="en-US" w:eastAsia="zh-CN"/>
              </w:rPr>
              <w:t>/380</w:t>
            </w:r>
            <w:r>
              <w:rPr>
                <w:rFonts w:hint="eastAsia" w:cs="Times New Roman"/>
                <w:sz w:val="24"/>
                <w:szCs w:val="24"/>
                <w:lang w:val="en-US" w:eastAsia="zh-CN"/>
              </w:rPr>
              <w:t>V</w:t>
            </w:r>
            <w:r>
              <w:rPr>
                <w:rFonts w:hint="default" w:ascii="Times New Roman" w:hAnsi="Times New Roman" w:eastAsia="宋体" w:cs="Times New Roman"/>
                <w:sz w:val="24"/>
                <w:szCs w:val="24"/>
                <w:lang w:val="en-US" w:eastAsia="zh-CN"/>
              </w:rPr>
              <w:t>/6级），系统中的粉磨和干燥两个过程集中由⽴式磨煤机单独完成，即边磨边烘，热风既是干燥剂，同时也是携带输送煤粉的介质。</w:t>
            </w:r>
          </w:p>
          <w:p w14:paraId="5CA7A242">
            <w:pPr>
              <w:keepNext w:val="0"/>
              <w:keepLines w:val="0"/>
              <w:pageBreakBefore w:val="0"/>
              <w:widowControl w:val="0"/>
              <w:kinsoku/>
              <w:wordWrap w:val="0"/>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原煤落⼊两个受煤坑后通过两条计量⽪带汇⼊变频给料皮带送⼊原煤板链斗提，再通过封闭给煤设备将原料煤配给立式磨煤机的⼊料口，同时热风从立式磨煤机进风口进⼊磨内实现干磨，将原煤大小和水分含量降至工艺要求变成煤粉，合格的煤粉被⽓流吹到除尘箱中除尘，收集的煤粉最后输送到成品料仓中暂时储存后装罐运走，煤粉采用气力输送去成品仓，气力输送采用氮气保护，输送用的气体经成品仓的布袋除尘器过滤后通过成品煤粉仓顶端排入大气。</w:t>
            </w:r>
          </w:p>
          <w:p w14:paraId="7F2DD1B0">
            <w:pPr>
              <w:keepNext w:val="0"/>
              <w:keepLines w:val="0"/>
              <w:pageBreakBefore w:val="0"/>
              <w:widowControl w:val="0"/>
              <w:kinsoku/>
              <w:wordWrap w:val="0"/>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具体见下图：</w:t>
            </w:r>
          </w:p>
          <w:p w14:paraId="7578778D">
            <w:pPr>
              <w:keepNext w:val="0"/>
              <w:keepLines w:val="0"/>
              <w:pageBreakBefore w:val="0"/>
              <w:widowControl w:val="0"/>
              <w:kinsoku/>
              <w:wordWrap w:val="0"/>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p w14:paraId="2469F8A5">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sz w:val="21"/>
              </w:rPr>
              <mc:AlternateContent>
                <mc:Choice Requires="wpc">
                  <w:drawing>
                    <wp:inline distT="0" distB="0" distL="114300" distR="114300">
                      <wp:extent cx="5160010" cy="3382645"/>
                      <wp:effectExtent l="0" t="0" r="21590" b="0"/>
                      <wp:docPr id="6" name="画布 6"/>
                      <wp:cNvGraphicFramePr/>
                      <a:graphic xmlns:a="http://schemas.openxmlformats.org/drawingml/2006/main">
                        <a:graphicData uri="http://schemas.microsoft.com/office/word/2010/wordprocessingCanvas">
                          <wpc:wpc>
                            <wpc:bg/>
                            <wpc:whole/>
                            <wps:wsp>
                              <wps:cNvPr id="7" name="文本框 7"/>
                              <wps:cNvSpPr txBox="1"/>
                              <wps:spPr>
                                <a:xfrm>
                                  <a:off x="2270760" y="0"/>
                                  <a:ext cx="1035050" cy="2070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822664">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ascii="Times New Roman" w:hAnsi="Times New Roman" w:cs="Times New Roman"/>
                                        <w:sz w:val="15"/>
                                        <w:szCs w:val="18"/>
                                        <w:lang w:val="en-US" w:eastAsia="zh-CN"/>
                                      </w:rPr>
                                      <w:t>颗粒物、SO</w:t>
                                    </w:r>
                                    <w:r>
                                      <w:rPr>
                                        <w:rFonts w:hint="eastAsia" w:ascii="Times New Roman" w:hAnsi="Times New Roman" w:cs="Times New Roman"/>
                                        <w:sz w:val="15"/>
                                        <w:szCs w:val="18"/>
                                        <w:vertAlign w:val="subscript"/>
                                        <w:lang w:val="en-US" w:eastAsia="zh-CN"/>
                                      </w:rPr>
                                      <w:t>2</w:t>
                                    </w:r>
                                    <w:r>
                                      <w:rPr>
                                        <w:rFonts w:hint="eastAsia" w:ascii="Times New Roman" w:hAnsi="Times New Roman" w:cs="Times New Roman"/>
                                        <w:sz w:val="15"/>
                                        <w:szCs w:val="18"/>
                                        <w:lang w:val="en-US" w:eastAsia="zh-CN"/>
                                      </w:rPr>
                                      <w:t>、NO</w:t>
                                    </w:r>
                                    <w:r>
                                      <w:rPr>
                                        <w:rFonts w:hint="eastAsia" w:ascii="Times New Roman" w:hAnsi="Times New Roman" w:cs="Times New Roman"/>
                                        <w:sz w:val="15"/>
                                        <w:szCs w:val="18"/>
                                        <w:vertAlign w:val="subscript"/>
                                        <w:lang w:val="en-US" w:eastAsia="zh-CN"/>
                                      </w:rPr>
                                      <w:t>x</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 name="文本框 13"/>
                              <wps:cNvSpPr txBox="1"/>
                              <wps:spPr>
                                <a:xfrm>
                                  <a:off x="3130550" y="1089660"/>
                                  <a:ext cx="735965" cy="3302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0E76C8D">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lang w:val="en-US" w:eastAsia="zh-CN"/>
                                      </w:rPr>
                                    </w:pPr>
                                    <w:r>
                                      <w:rPr>
                                        <w:rFonts w:hint="eastAsia" w:cs="Times New Roman"/>
                                        <w:sz w:val="15"/>
                                        <w:szCs w:val="18"/>
                                        <w:lang w:val="en-US" w:eastAsia="zh-CN"/>
                                      </w:rPr>
                                      <w:t>收集的粉尘（成品煤粉）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文本框 14"/>
                              <wps:cNvSpPr txBox="1"/>
                              <wps:spPr>
                                <a:xfrm>
                                  <a:off x="2504440" y="1085215"/>
                                  <a:ext cx="526415" cy="34988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D28FDFE">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lang w:val="en-US" w:eastAsia="zh-CN"/>
                                      </w:rPr>
                                    </w:pPr>
                                    <w:r>
                                      <w:rPr>
                                        <w:rFonts w:hint="eastAsia" w:cs="Times New Roman"/>
                                        <w:sz w:val="15"/>
                                        <w:szCs w:val="18"/>
                                        <w:lang w:val="en-US" w:eastAsia="zh-CN"/>
                                      </w:rPr>
                                      <w:t>除尘器过滤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文本框 57"/>
                              <wps:cNvSpPr txBox="1"/>
                              <wps:spPr>
                                <a:xfrm>
                                  <a:off x="2471420" y="464185"/>
                                  <a:ext cx="615315" cy="35179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D2FFA57">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lang w:val="en-US" w:eastAsia="zh-CN"/>
                                      </w:rPr>
                                    </w:pPr>
                                    <w:r>
                                      <w:rPr>
                                        <w:rFonts w:hint="eastAsia" w:cs="Times New Roman"/>
                                        <w:sz w:val="15"/>
                                        <w:szCs w:val="18"/>
                                        <w:lang w:val="en-US" w:eastAsia="zh-CN"/>
                                      </w:rPr>
                                      <w:t>排气筒排放至大气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 name="文本框 74"/>
                              <wps:cNvSpPr txBox="1"/>
                              <wps:spPr>
                                <a:xfrm>
                                  <a:off x="422275" y="2221865"/>
                                  <a:ext cx="503555" cy="2203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2BF5BA3">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皮带机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5" name="文本框 75"/>
                              <wps:cNvSpPr txBox="1"/>
                              <wps:spPr>
                                <a:xfrm>
                                  <a:off x="1077595" y="2228215"/>
                                  <a:ext cx="477520" cy="20701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905EB43">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提升机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 name="文本框 76"/>
                              <wps:cNvSpPr txBox="1"/>
                              <wps:spPr>
                                <a:xfrm>
                                  <a:off x="1721485" y="2163445"/>
                                  <a:ext cx="476885" cy="33655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6B445FA">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封闭给料设备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 name="文本框 77"/>
                              <wps:cNvSpPr txBox="1"/>
                              <wps:spPr>
                                <a:xfrm>
                                  <a:off x="2417445" y="2623185"/>
                                  <a:ext cx="667385" cy="20701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D01BD3A">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燃气热风炉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 name="文本框 78"/>
                              <wps:cNvSpPr txBox="1"/>
                              <wps:spPr>
                                <a:xfrm>
                                  <a:off x="2407920" y="2221865"/>
                                  <a:ext cx="695325" cy="21971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F651034">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立式磨煤机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 name="文本框 79"/>
                              <wps:cNvSpPr txBox="1"/>
                              <wps:spPr>
                                <a:xfrm>
                                  <a:off x="4484370" y="1719580"/>
                                  <a:ext cx="675640" cy="20701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70D3023">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煤粉成品仓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 name="文本框 80"/>
                              <wps:cNvSpPr txBox="1"/>
                              <wps:spPr>
                                <a:xfrm>
                                  <a:off x="4575175" y="1071880"/>
                                  <a:ext cx="502285" cy="35115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37FD84">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气力输送装置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 name="文本框 81"/>
                              <wps:cNvSpPr txBox="1"/>
                              <wps:spPr>
                                <a:xfrm>
                                  <a:off x="3977005" y="1087120"/>
                                  <a:ext cx="485140" cy="33083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E5C582C">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螺旋输送机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 name="文本框 82"/>
                              <wps:cNvSpPr txBox="1"/>
                              <wps:spPr>
                                <a:xfrm>
                                  <a:off x="421005" y="2785110"/>
                                  <a:ext cx="503555" cy="2203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3BED64E">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原料斗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 name="文本框 83"/>
                              <wps:cNvSpPr txBox="1"/>
                              <wps:spPr>
                                <a:xfrm>
                                  <a:off x="415290" y="3159760"/>
                                  <a:ext cx="503555" cy="2203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C1335B">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原料煤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 name="直接箭头连接符 84"/>
                              <wps:cNvCnPr>
                                <a:stCxn id="82" idx="0"/>
                                <a:endCxn id="74" idx="2"/>
                              </wps:cNvCnPr>
                              <wps:spPr>
                                <a:xfrm flipV="1">
                                  <a:off x="673100" y="2442210"/>
                                  <a:ext cx="1270" cy="342900"/>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85" name="直接箭头连接符 85"/>
                              <wps:cNvCnPr>
                                <a:stCxn id="13" idx="3"/>
                                <a:endCxn id="81" idx="1"/>
                              </wps:cNvCnPr>
                              <wps:spPr>
                                <a:xfrm flipV="1">
                                  <a:off x="3866515" y="1252855"/>
                                  <a:ext cx="110490" cy="1905"/>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86" name="直接箭头连接符 86"/>
                              <wps:cNvCnPr>
                                <a:stCxn id="14" idx="3"/>
                                <a:endCxn id="13" idx="1"/>
                              </wps:cNvCnPr>
                              <wps:spPr>
                                <a:xfrm flipV="1">
                                  <a:off x="3030855" y="1254760"/>
                                  <a:ext cx="99695" cy="5715"/>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87" name="直接箭头连接符 87"/>
                              <wps:cNvCnPr>
                                <a:stCxn id="57" idx="0"/>
                                <a:endCxn id="7" idx="2"/>
                              </wps:cNvCnPr>
                              <wps:spPr>
                                <a:xfrm flipV="1">
                                  <a:off x="2779395" y="207010"/>
                                  <a:ext cx="8890" cy="257175"/>
                                </a:xfrm>
                                <a:prstGeom prst="straightConnector1">
                                  <a:avLst/>
                                </a:prstGeom>
                                <a:ln w="3175">
                                  <a:solidFill>
                                    <a:schemeClr val="tx1"/>
                                  </a:solidFill>
                                  <a:prstDash val="dashDot"/>
                                  <a:tailEnd type="triangle" w="sm" len="sm"/>
                                </a:ln>
                              </wps:spPr>
                              <wps:style>
                                <a:lnRef idx="2">
                                  <a:schemeClr val="accent1"/>
                                </a:lnRef>
                                <a:fillRef idx="0">
                                  <a:srgbClr val="FFFFFF"/>
                                </a:fillRef>
                                <a:effectRef idx="0">
                                  <a:srgbClr val="FFFFFF"/>
                                </a:effectRef>
                                <a:fontRef idx="minor">
                                  <a:schemeClr val="tx1"/>
                                </a:fontRef>
                              </wps:style>
                              <wps:bodyPr/>
                            </wps:wsp>
                            <wps:wsp>
                              <wps:cNvPr id="88" name="直接箭头连接符 88"/>
                              <wps:cNvCnPr>
                                <a:stCxn id="14" idx="0"/>
                                <a:endCxn id="57" idx="2"/>
                              </wps:cNvCnPr>
                              <wps:spPr>
                                <a:xfrm flipV="1">
                                  <a:off x="2767965" y="815975"/>
                                  <a:ext cx="11430" cy="269240"/>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89" name="直接箭头连接符 89"/>
                              <wps:cNvCnPr>
                                <a:stCxn id="78" idx="0"/>
                                <a:endCxn id="14" idx="2"/>
                              </wps:cNvCnPr>
                              <wps:spPr>
                                <a:xfrm flipV="1">
                                  <a:off x="2755900" y="1435100"/>
                                  <a:ext cx="12065" cy="786765"/>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90" name="直接箭头连接符 90"/>
                              <wps:cNvCnPr>
                                <a:stCxn id="76" idx="3"/>
                                <a:endCxn id="78" idx="1"/>
                              </wps:cNvCnPr>
                              <wps:spPr>
                                <a:xfrm>
                                  <a:off x="2198370" y="2331720"/>
                                  <a:ext cx="209550" cy="0"/>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91" name="直接箭头连接符 91"/>
                              <wps:cNvCnPr>
                                <a:stCxn id="75" idx="3"/>
                                <a:endCxn id="76" idx="1"/>
                              </wps:cNvCnPr>
                              <wps:spPr>
                                <a:xfrm>
                                  <a:off x="1555115" y="2331720"/>
                                  <a:ext cx="166370" cy="0"/>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92" name="直接箭头连接符 92"/>
                              <wps:cNvCnPr>
                                <a:stCxn id="74" idx="3"/>
                                <a:endCxn id="75" idx="1"/>
                              </wps:cNvCnPr>
                              <wps:spPr>
                                <a:xfrm flipV="1">
                                  <a:off x="925830" y="2331720"/>
                                  <a:ext cx="151765" cy="635"/>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93" name="直接箭头连接符 93"/>
                              <wps:cNvCnPr>
                                <a:stCxn id="77" idx="0"/>
                                <a:endCxn id="78" idx="2"/>
                              </wps:cNvCnPr>
                              <wps:spPr>
                                <a:xfrm flipV="1">
                                  <a:off x="2751455" y="2441575"/>
                                  <a:ext cx="4445" cy="181610"/>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94" name="直接箭头连接符 94"/>
                              <wps:cNvCnPr>
                                <a:stCxn id="83" idx="0"/>
                                <a:endCxn id="82" idx="2"/>
                              </wps:cNvCnPr>
                              <wps:spPr>
                                <a:xfrm flipV="1">
                                  <a:off x="667385" y="3005455"/>
                                  <a:ext cx="5715" cy="154305"/>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95" name="直接箭头连接符 95"/>
                              <wps:cNvCnPr>
                                <a:stCxn id="79" idx="2"/>
                                <a:endCxn id="98" idx="0"/>
                              </wps:cNvCnPr>
                              <wps:spPr>
                                <a:xfrm>
                                  <a:off x="4822190" y="1926590"/>
                                  <a:ext cx="1270" cy="167005"/>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96" name="直接箭头连接符 96"/>
                              <wps:cNvCnPr>
                                <a:stCxn id="80" idx="2"/>
                                <a:endCxn id="79" idx="0"/>
                              </wps:cNvCnPr>
                              <wps:spPr>
                                <a:xfrm flipH="1">
                                  <a:off x="4822190" y="1423035"/>
                                  <a:ext cx="4445" cy="296545"/>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97" name="直接箭头连接符 97"/>
                              <wps:cNvCnPr>
                                <a:stCxn id="81" idx="3"/>
                                <a:endCxn id="80" idx="1"/>
                              </wps:cNvCnPr>
                              <wps:spPr>
                                <a:xfrm flipV="1">
                                  <a:off x="4462145" y="1247775"/>
                                  <a:ext cx="113030" cy="5080"/>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98" name="文本框 98"/>
                              <wps:cNvSpPr txBox="1"/>
                              <wps:spPr>
                                <a:xfrm>
                                  <a:off x="4530725" y="2093595"/>
                                  <a:ext cx="585470" cy="2203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F2EC69">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装车外运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 name="文本框 99"/>
                              <wps:cNvSpPr txBox="1"/>
                              <wps:spPr>
                                <a:xfrm>
                                  <a:off x="3259455" y="2221230"/>
                                  <a:ext cx="646430" cy="2203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5163CF">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噪声、废气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 name="文本框 100"/>
                              <wps:cNvSpPr txBox="1"/>
                              <wps:spPr>
                                <a:xfrm>
                                  <a:off x="3221355" y="2618740"/>
                                  <a:ext cx="504825" cy="2203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C6364A">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天然气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 name="直接箭头连接符 102"/>
                              <wps:cNvCnPr>
                                <a:stCxn id="81" idx="0"/>
                                <a:endCxn id="111" idx="2"/>
                              </wps:cNvCnPr>
                              <wps:spPr>
                                <a:xfrm flipV="1">
                                  <a:off x="4219575" y="936625"/>
                                  <a:ext cx="3810" cy="150495"/>
                                </a:xfrm>
                                <a:prstGeom prst="straightConnector1">
                                  <a:avLst/>
                                </a:prstGeom>
                                <a:ln w="3175">
                                  <a:solidFill>
                                    <a:schemeClr val="tx1"/>
                                  </a:solidFill>
                                  <a:prstDash val="dashDot"/>
                                  <a:tailEnd type="triangle" w="sm" len="sm"/>
                                </a:ln>
                              </wps:spPr>
                              <wps:style>
                                <a:lnRef idx="2">
                                  <a:schemeClr val="accent1"/>
                                </a:lnRef>
                                <a:fillRef idx="0">
                                  <a:srgbClr val="FFFFFF"/>
                                </a:fillRef>
                                <a:effectRef idx="0">
                                  <a:srgbClr val="FFFFFF"/>
                                </a:effectRef>
                                <a:fontRef idx="minor">
                                  <a:schemeClr val="tx1"/>
                                </a:fontRef>
                              </wps:style>
                              <wps:bodyPr/>
                            </wps:wsp>
                            <wps:wsp>
                              <wps:cNvPr id="103" name="直接箭头连接符 103"/>
                              <wps:cNvCnPr>
                                <a:stCxn id="114" idx="1"/>
                                <a:endCxn id="109" idx="3"/>
                              </wps:cNvCnPr>
                              <wps:spPr>
                                <a:xfrm flipH="1" flipV="1">
                                  <a:off x="3650615" y="1824990"/>
                                  <a:ext cx="116205" cy="635"/>
                                </a:xfrm>
                                <a:prstGeom prst="straightConnector1">
                                  <a:avLst/>
                                </a:prstGeom>
                                <a:ln w="3175">
                                  <a:solidFill>
                                    <a:schemeClr val="tx1"/>
                                  </a:solidFill>
                                  <a:prstDash val="dashDot"/>
                                  <a:tailEnd type="triangle" w="sm" len="sm"/>
                                </a:ln>
                              </wps:spPr>
                              <wps:style>
                                <a:lnRef idx="2">
                                  <a:schemeClr val="accent1"/>
                                </a:lnRef>
                                <a:fillRef idx="0">
                                  <a:srgbClr val="FFFFFF"/>
                                </a:fillRef>
                                <a:effectRef idx="0">
                                  <a:srgbClr val="FFFFFF"/>
                                </a:effectRef>
                                <a:fontRef idx="minor">
                                  <a:schemeClr val="tx1"/>
                                </a:fontRef>
                              </wps:style>
                              <wps:bodyPr/>
                            </wps:wsp>
                            <wps:wsp>
                              <wps:cNvPr id="104" name="直接箭头连接符 104"/>
                              <wps:cNvCnPr>
                                <a:stCxn id="100" idx="1"/>
                                <a:endCxn id="77" idx="3"/>
                              </wps:cNvCnPr>
                              <wps:spPr>
                                <a:xfrm flipH="1" flipV="1">
                                  <a:off x="3084830" y="2726690"/>
                                  <a:ext cx="136525" cy="2540"/>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105" name="直接箭头连接符 105"/>
                              <wps:cNvCnPr>
                                <a:stCxn id="78" idx="3"/>
                                <a:endCxn id="99" idx="1"/>
                              </wps:cNvCnPr>
                              <wps:spPr>
                                <a:xfrm>
                                  <a:off x="3103245" y="2331720"/>
                                  <a:ext cx="156210" cy="0"/>
                                </a:xfrm>
                                <a:prstGeom prst="straightConnector1">
                                  <a:avLst/>
                                </a:prstGeom>
                                <a:ln w="3175">
                                  <a:solidFill>
                                    <a:schemeClr val="tx1"/>
                                  </a:solidFill>
                                  <a:prstDash val="dashDot"/>
                                  <a:tailEnd type="triangle" w="sm" len="sm"/>
                                </a:ln>
                              </wps:spPr>
                              <wps:style>
                                <a:lnRef idx="2">
                                  <a:schemeClr val="accent1"/>
                                </a:lnRef>
                                <a:fillRef idx="0">
                                  <a:srgbClr val="FFFFFF"/>
                                </a:fillRef>
                                <a:effectRef idx="0">
                                  <a:srgbClr val="FFFFFF"/>
                                </a:effectRef>
                                <a:fontRef idx="minor">
                                  <a:schemeClr val="tx1"/>
                                </a:fontRef>
                              </wps:style>
                              <wps:bodyPr/>
                            </wps:wsp>
                            <wps:wsp>
                              <wps:cNvPr id="106" name="文本框 106"/>
                              <wps:cNvSpPr txBox="1"/>
                              <wps:spPr>
                                <a:xfrm>
                                  <a:off x="998855" y="1862455"/>
                                  <a:ext cx="646430" cy="2203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750D73">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噪声、废气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 name="文本框 107"/>
                              <wps:cNvSpPr txBox="1"/>
                              <wps:spPr>
                                <a:xfrm>
                                  <a:off x="358140" y="1849755"/>
                                  <a:ext cx="646430" cy="2203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D3C26A">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噪声、废气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 name="文本框 108"/>
                              <wps:cNvSpPr txBox="1"/>
                              <wps:spPr>
                                <a:xfrm>
                                  <a:off x="1090295" y="2790825"/>
                                  <a:ext cx="646430" cy="2203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840494">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噪声、粉尘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 name="文本框 109"/>
                              <wps:cNvSpPr txBox="1"/>
                              <wps:spPr>
                                <a:xfrm>
                                  <a:off x="3174365" y="1714500"/>
                                  <a:ext cx="476250" cy="2203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BABD30">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颗粒物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 name="文本框 111"/>
                              <wps:cNvSpPr txBox="1"/>
                              <wps:spPr>
                                <a:xfrm>
                                  <a:off x="3900170" y="716280"/>
                                  <a:ext cx="646430" cy="2203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57340E">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噪声、废气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 name="文本框 113"/>
                              <wps:cNvSpPr txBox="1"/>
                              <wps:spPr>
                                <a:xfrm>
                                  <a:off x="1643380" y="1798320"/>
                                  <a:ext cx="646430" cy="2203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A49788">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噪声、废气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 name="文本框 114"/>
                              <wps:cNvSpPr txBox="1"/>
                              <wps:spPr>
                                <a:xfrm>
                                  <a:off x="3766820" y="1650365"/>
                                  <a:ext cx="593725" cy="34988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9272762">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lang w:val="en-US" w:eastAsia="zh-CN"/>
                                      </w:rPr>
                                    </w:pPr>
                                    <w:r>
                                      <w:rPr>
                                        <w:rFonts w:hint="eastAsia" w:cs="Times New Roman"/>
                                        <w:sz w:val="15"/>
                                        <w:szCs w:val="18"/>
                                        <w:lang w:val="en-US" w:eastAsia="zh-CN"/>
                                      </w:rPr>
                                      <w:t>仓顶除尘器过滤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 name="直接箭头连接符 115"/>
                              <wps:cNvCnPr>
                                <a:stCxn id="79" idx="1"/>
                                <a:endCxn id="114" idx="3"/>
                              </wps:cNvCnPr>
                              <wps:spPr>
                                <a:xfrm flipH="1">
                                  <a:off x="4360545" y="1823085"/>
                                  <a:ext cx="123825" cy="2540"/>
                                </a:xfrm>
                                <a:prstGeom prst="straightConnector1">
                                  <a:avLst/>
                                </a:prstGeom>
                                <a:ln w="3175">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116" name="直接箭头连接符 116"/>
                              <wps:cNvCnPr>
                                <a:stCxn id="82" idx="3"/>
                                <a:endCxn id="108" idx="1"/>
                              </wps:cNvCnPr>
                              <wps:spPr>
                                <a:xfrm>
                                  <a:off x="924560" y="2895600"/>
                                  <a:ext cx="165735" cy="5715"/>
                                </a:xfrm>
                                <a:prstGeom prst="straightConnector1">
                                  <a:avLst/>
                                </a:prstGeom>
                                <a:ln w="3175">
                                  <a:solidFill>
                                    <a:schemeClr val="tx1"/>
                                  </a:solidFill>
                                  <a:prstDash val="dashDot"/>
                                  <a:tailEnd type="triangle" w="sm" len="sm"/>
                                </a:ln>
                              </wps:spPr>
                              <wps:style>
                                <a:lnRef idx="2">
                                  <a:schemeClr val="accent1"/>
                                </a:lnRef>
                                <a:fillRef idx="0">
                                  <a:srgbClr val="FFFFFF"/>
                                </a:fillRef>
                                <a:effectRef idx="0">
                                  <a:srgbClr val="FFFFFF"/>
                                </a:effectRef>
                                <a:fontRef idx="minor">
                                  <a:schemeClr val="tx1"/>
                                </a:fontRef>
                              </wps:style>
                              <wps:bodyPr/>
                            </wps:wsp>
                            <wps:wsp>
                              <wps:cNvPr id="117" name="直接箭头连接符 117"/>
                              <wps:cNvCnPr>
                                <a:stCxn id="74" idx="0"/>
                                <a:endCxn id="107" idx="2"/>
                              </wps:cNvCnPr>
                              <wps:spPr>
                                <a:xfrm flipV="1">
                                  <a:off x="674370" y="2070100"/>
                                  <a:ext cx="6985" cy="151765"/>
                                </a:xfrm>
                                <a:prstGeom prst="straightConnector1">
                                  <a:avLst/>
                                </a:prstGeom>
                                <a:ln w="3175">
                                  <a:solidFill>
                                    <a:schemeClr val="tx1"/>
                                  </a:solidFill>
                                  <a:prstDash val="dashDot"/>
                                  <a:tailEnd type="triangle" w="sm" len="sm"/>
                                </a:ln>
                              </wps:spPr>
                              <wps:style>
                                <a:lnRef idx="2">
                                  <a:schemeClr val="accent1"/>
                                </a:lnRef>
                                <a:fillRef idx="0">
                                  <a:srgbClr val="FFFFFF"/>
                                </a:fillRef>
                                <a:effectRef idx="0">
                                  <a:srgbClr val="FFFFFF"/>
                                </a:effectRef>
                                <a:fontRef idx="minor">
                                  <a:schemeClr val="tx1"/>
                                </a:fontRef>
                              </wps:style>
                              <wps:bodyPr/>
                            </wps:wsp>
                            <wps:wsp>
                              <wps:cNvPr id="118" name="直接箭头连接符 118"/>
                              <wps:cNvCnPr>
                                <a:stCxn id="75" idx="0"/>
                                <a:endCxn id="106" idx="2"/>
                              </wps:cNvCnPr>
                              <wps:spPr>
                                <a:xfrm flipV="1">
                                  <a:off x="1316355" y="2082800"/>
                                  <a:ext cx="5715" cy="145415"/>
                                </a:xfrm>
                                <a:prstGeom prst="straightConnector1">
                                  <a:avLst/>
                                </a:prstGeom>
                                <a:ln w="3175">
                                  <a:solidFill>
                                    <a:schemeClr val="tx1"/>
                                  </a:solidFill>
                                  <a:prstDash val="dashDot"/>
                                  <a:tailEnd type="triangle" w="sm" len="sm"/>
                                </a:ln>
                              </wps:spPr>
                              <wps:style>
                                <a:lnRef idx="2">
                                  <a:schemeClr val="accent1"/>
                                </a:lnRef>
                                <a:fillRef idx="0">
                                  <a:srgbClr val="FFFFFF"/>
                                </a:fillRef>
                                <a:effectRef idx="0">
                                  <a:srgbClr val="FFFFFF"/>
                                </a:effectRef>
                                <a:fontRef idx="minor">
                                  <a:schemeClr val="tx1"/>
                                </a:fontRef>
                              </wps:style>
                              <wps:bodyPr/>
                            </wps:wsp>
                            <wps:wsp>
                              <wps:cNvPr id="119" name="直接箭头连接符 119"/>
                              <wps:cNvCnPr>
                                <a:stCxn id="76" idx="0"/>
                                <a:endCxn id="113" idx="2"/>
                              </wps:cNvCnPr>
                              <wps:spPr>
                                <a:xfrm flipV="1">
                                  <a:off x="1960245" y="2018665"/>
                                  <a:ext cx="6350" cy="144780"/>
                                </a:xfrm>
                                <a:prstGeom prst="straightConnector1">
                                  <a:avLst/>
                                </a:prstGeom>
                                <a:ln w="3175">
                                  <a:solidFill>
                                    <a:schemeClr val="tx1"/>
                                  </a:solidFill>
                                  <a:prstDash val="dashDot"/>
                                  <a:tailEnd type="triangle" w="sm" len="sm"/>
                                </a:ln>
                              </wps:spPr>
                              <wps:style>
                                <a:lnRef idx="2">
                                  <a:schemeClr val="accent1"/>
                                </a:lnRef>
                                <a:fillRef idx="0">
                                  <a:srgbClr val="FFFFFF"/>
                                </a:fillRef>
                                <a:effectRef idx="0">
                                  <a:srgbClr val="FFFFFF"/>
                                </a:effectRef>
                                <a:fontRef idx="minor">
                                  <a:schemeClr val="tx1"/>
                                </a:fontRef>
                              </wps:style>
                              <wps:bodyPr/>
                            </wps:wsp>
                          </wpc:wpc>
                        </a:graphicData>
                      </a:graphic>
                    </wp:inline>
                  </w:drawing>
                </mc:Choice>
                <mc:Fallback>
                  <w:pict>
                    <v:group id="_x0000_s1026" o:spid="_x0000_s1026" o:spt="203" style="height:266.35pt;width:406.3pt;" coordsize="5160010,3382645" editas="canvas" o:gfxdata="UEsDBAoAAAAAAIdO4kAAAAAAAAAAAAAAAAAEAAAAZHJzL1BLAwQUAAAACACHTuJA/0tYIdcAAAAF&#10;AQAADwAAAGRycy9kb3ducmV2LnhtbE2PQUvDQBCF70L/wzKCF7GbRKwlZtJDoVhEKE215212TILZ&#10;2TS7Teq/d/XSXgYe7/HeN9nibFoxUO8aywjxNAJBXFrdcIXwsVs9zEE4r1ir1jIh/JCDRT65yVSq&#10;7chbGgpfiVDCLlUItfddKqUrazLKTW1HHLwv2xvlg+wrqXs1hnLTyiSKZtKohsNCrTpa1lR+FyeD&#10;MJabYb97f5Wb+/3a8nF9XBafb4h3t3H0AsLT2V/C8Icf0CEPTAd7Yu1EixAe8f83ePM4mYE4IDw9&#10;Js8g80xe0+e/UEsDBBQAAAAIAIdO4kAwGO7R8gsAAPN4AAAOAAAAZHJzL2Uyb0RvYy54bWztXUuP&#10;3EoZ3SPxH6zek3GV36NMrsLkJiBF3Ejhsfa4n6LbbmxPZsIWCXasEBsQEhKwurC6CyQW/Jqb8DM4&#10;X5Wr7G7b/XCYyUxTd5Hr7vLY7fLxqe8736ny0y9uV0vr3SQvFll6MWJP7JE1SZNsvEhnF6Of/Pjl&#10;98KRVZRxOo6XWTq5GL2fFKMvnn33O09v1ucTns2z5XiSWzhIWpzfrC9G87Jcn5+dFcl8soqLJ9l6&#10;kqJxmuWruMTHfHY2zuMbHH21POO27Z/dZPl4nWfJpCjw7QvZOKqOmB9ywGw6XSSTF1lyvZqkpTxq&#10;PlnGJS6pmC/WxeiZ+LXT6SQpv5pOi0lpLS9GuNJS/IuTYPuK/j179jQ+n+Xxer5Iqp8QH/ITtq5p&#10;FS9SnFQf6kVcxtZ1vmgdarVI8qzIpuWTJFudyQsRPYKrYPZW37zKs+u1uJbZ+c1srTsdN2qr1wcf&#10;NvnRuze5tRhfjPyRlcYr3PCPv/vXt//8leVT39ysZ+fY5VW+frt+k1dfzOQnutzbab6i/+NCrFvR&#10;q+91r05uSyvBlx7zbVzbyErQ5jgh911P9nsyx81p/V0y/3LPX56pE5/R79M/52YNRBZ1NxWf1k1v&#10;5/F6Inq/oD6ouilQ3fTh97/58MevP/z511Yge0rsRd1klbffz3DhTH1f4MuO3uI8sAMfHdPuM2Y7&#10;nu1VfcbtgPoPva8vPD5f50X5apKtLNq4GOVAugBg/O51Ucpd1S506jR7uVgu8X18vkytG9xunED8&#10;gW7BwZcpzkHdKH8xbZW3V7fivhfnV9n4Pa4uz+RTVKyTlwuc/HVclG/iHI8Nfi+IpfwK/0yXGU6S&#10;VVsja57lv+z6nvbHbULryLrBY3gxKn5xHeeTkbX8YYobGDHXxWFL8cH1Ao4PebPlqtmSXq8uMzzp&#10;DBS2TsQm7V8u1eY0z1Y/A/88p7OiKU4TnPtiVKrNy1KSA/grmTx/LnbCk7qOy9fp23VCh5bd+fy6&#10;zKYL0dPUTbJvqt4DCOnRuQc0MqcNR3xX3TCg9hg8OsyxPQId8MjsMPKBTYEY9SQHjhf5nnqQbbD5&#10;XYGyyJaLMSGWOptwfLnMrXcxbu3VMk5+Xp22sZcBL3D82MDrdoDXHQhe7tmuoAoJXo+zapBR4PUw&#10;7uA7OQq5URiK9rtg1AYsDXhPlXm9jkAA3w1jXu4GzKWhDeB1AVOJzfhcYddnnqOx67EgMsRrooZD&#10;MoieGLaDeIOhxOtyxLHgVUAXWyxEgLARNHgIZb2Kdzm3HRn8G941Ee+e7LcHu4CSzFMbCZiAHAXc&#10;R0a8zA4CL9LgDVtBg4t24mVKXe82DTNBg4oUTjhdC7TI0gBvJbQcD96AMxeRgmBe5juuklVU1OAG&#10;PkW5le7iU2oHZjbMa5h3GPN2RLzB8IiXBQRYAV6fO+2Q1w8cBV7DvFJYM0LZAaJ5T9iAqkYrbAgH&#10;p2t2EFXpWmfM60eewyvm5SwK7k69NWHD/0PYEHWANxoIXtcNXSeoVN6ARV64pfL6geeT5m5iXipi&#10;GOY9uFzZzbyAV4t5JeQGJGyoAEH+kmEDkjcWboPXszlXYYPjMQblwcS8pr62v9beA15UErfDhlDX&#10;dY9UG5woCGxbgTcMGEKIDakM2RxTzOs4dugY8BqZd7jMG/IO8PKhYQNnCrs8AE5lSFuXKIzMu2l4&#10;MMaGA01OPcTbYWwIhxobUPflKJmR1oAyWkSemw3evT/sGrPNIzbbhLps9vEP33z47V8//uPv3/7l&#10;m//8+0+0/fXfLLQDVlVUe5lKzxesK7epMNgRHS/GwiUn0ZeOVROKb7JJsLNwYCG2kIeg4zUNZNZ0&#10;uVj/VBmRKuMdxDLQs1TTXFTkttmZwWqmrA94FPYIwUWZx4vZvLzM0hS+siyXpqdDrWWOiNATMnNN&#10;YcrEeVfrMYxd6Qwuq+UMrtOkzIWNakO9KPLZlbb52OI/6k/o1Ru7kRvoRVzMpR1INMmnuYwXyy/T&#10;sVW+X8PFWOaLOJ0tJ7CV4dQr+MkmODE25CE7nG7SwkXN1OX35+GidKVyXnbDqlndasOKLGACVoId&#10;MSDXsEKkKptExDoAVk7o+x4ZD8CcjHvIrMRvqUd9hAEuMStpBSxCbCt7V9lClQOxMikaXN0rrnSx&#10;qYeumoWnDlwpTmrjSkNuMK5sZDdkCpC4QqFqa0SOIkioElZeIJ1c/XUrA6t7hZUuA/XAqlkSasOK&#10;fFN9o+AnDoI8CCJHVfO1Z7omqzBUVMUBKqhIp0JWYwyHL7LykQ+DukLTg6tmtaaNK6boSjFJPQxq&#10;yA2NrnjgB8L4DLoKKYFojYKuUw2C3I84JJxTQdYphFe6eNKDq2YhpY2rALDs4SsNueG48jwKxsUw&#10;6EKuloF5zVhQCJXfPgj9QFrrzEBYp0S09bnidhpMdsXtaAcN0C/UuRxSGZ0OkheoJ27XmDsgvqIJ&#10;ElUSiEpzqCp73EEWtq0vczsS8zsoWjcc9YBSwEiXGbo5Cu07oYRQuQ9KCmXHQQl1MyqeSUGhC0rM&#10;9wXUDJRIoHhIUNKifw+UmgWAjuFOhVHtrI/KrgJlB0CpU6SKuBdSnAT26aQnhtKuGu4wPdEEUe3Z&#10;mJ9trNNyfA+qmtJ8B6p2JH0qvvqEIIq5lZbAXUj929E5poVVUgILmb/PimXEhPsUEyLQzc4Yao+k&#10;rrTPdtKn1fahuPIrAyrYykHlkyCGMbiOzYUuJYVPD+mfoauHNAjigd8JK3G3+kNzpIxipBPYwS2v&#10;tYRI0ZWMnzcOQR+alZpGaO6GqMlQwgA0sYj7SPs20VQXaJgvTCJGQagKMfVSBJ9t8NsjpEe7hXQy&#10;wPWgKVBAOwBNIqT6wVbdbwNXLncw124TV/Xgx6Fg7Zt7Zwa/ex389ijp0W4lXVf32qG6htzQUN11&#10;fUwukvkfw+xkTIPbxBXDWhFK8/Rs6cI0wlQ9AtDWZ+MrraTXs8wwbtUKwjGLgrieYwc0l4GyNjvC&#10;CiBbSPBCz1Xmgrud32vMM4/YPBNpGb4Byqb0fgwoMbkm0jkfIisMfJv05GMVBUVPBpRm+aRZt8tQ&#10;eKZkolCjsqrCVKH9cbDkDIsdSK70WRjISmAjZ7QRsKFdTK2507UQDFc+Yq5k9h4Rl3aoh/O23qZD&#10;Q0WLdQLLmDKFDRVGXGSyJLJRRBA5vg9AbwgjTgiNrRJG4A4TrScRGp6EzQIrC+7WRmiHXdhiuuwt&#10;kosNdYTZKqEVxzjAcSgS2s5qgeN7NtY9kpJJyN2oJZkwn9NsGiLTUyoXnAjM9ii7MI7uhhn5Iupy&#10;0wbMsOqAbPofoMwOXV2UCrjvt1AGHOoh2zPWnodU62T0+O/SeWmHXVymjRZtCYXylRp+u5msIfTC&#10;hu9wta5FZ+Hcg7JSjY9S9VOL2bbWdH1EatyJcJYWepvZQFPdPSYbiGiNSTV++QDFVpxkclSzxO/G&#10;Uuh9OaqWiZuobGrDx6DS8UIxx5gKUaELK6tBpVl4Gqvp9y5C34fKDpEZi0Y3httjUInEwebKuo/l&#10;TUkl2UgqDVkasjyILDtkZspK6yjwGFjCQ+si/pc5KJbo9bYN2pi5hIWnjaBnlumvXmfSw5YkurV0&#10;Znw5EJaYNMCqJZwCqCDbi+AYsjRkeQhZdr49YvDrIxhKbg45Dyi0DDAVYXv6gYGlgeVBsNTSYSPh&#10;geo8kCwD3w8BRQFLaMo0nm+Ell7kCIMD6ciOeTGEeIWPWWl08EqjYtrMTlFSzmev6svt4p02BXbU&#10;V3Tt5Sjlu6FPIpwlL7OqqtA0/M2nAV6KukRt9O4HNbeHMS1Qdk/DoB1qlmxDS5vi23o35e5DBG9M&#10;d/aqd5jxMMKmKjlX73BjvofXRskM6aSWcjgNyZtpcbEPUU2hsY0ovXKRuu0Np4GtynRDnQY+su8q&#10;zZFLgKuTVNjyI7XUZzV1DNg3ToPtN/h9LhsqY1oi7MNWUy7swBZoQ5Tg1G1vYkvNax2KLebglQnK&#10;qwW9Mdwmrsb8HtejN4cZcD2gGT6MaaGvD1xN0a8DXApAHeDS6xsNBlfk27oKbOOdSNs5h3j7pvRI&#10;uW5wQvb5ux4VUYgX78IVRF+9t5dettv8LCYO1e8qfvZ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Yg4AAFtDb250ZW50X1R5cGVzXS54bWxQSwEC&#10;FAAKAAAAAACHTuJAAAAAAAAAAAAAAAAABgAAAAAAAAAAABAAAABEDQAAX3JlbHMvUEsBAhQAFAAA&#10;AAgAh07iQIoUZjzRAAAAlAEAAAsAAAAAAAAAAQAgAAAAaA0AAF9yZWxzLy5yZWxzUEsBAhQACgAA&#10;AAAAh07iQAAAAAAAAAAAAAAAAAQAAAAAAAAAAAAQAAAAAAAAAGRycy9QSwECFAAUAAAACACHTuJA&#10;/0tYIdcAAAAFAQAADwAAAAAAAAABACAAAAAiAAAAZHJzL2Rvd25yZXYueG1sUEsBAhQAFAAAAAgA&#10;h07iQDAY7tHyCwAA83gAAA4AAAAAAAAAAQAgAAAAJgEAAGRycy9lMm9Eb2MueG1sUEsFBgAAAAAG&#10;AAYAWQEAAIoPAAAAAA==&#10;">
                      <o:lock v:ext="edit" aspectratio="f"/>
                      <v:shape id="_x0000_s1026" o:spid="_x0000_s1026" style="position:absolute;left:0;top:0;height:3382645;width:5160010;" filled="f" stroked="f" coordsize="21600,21600" o:gfxdata="UEsDBAoAAAAAAIdO4kAAAAAAAAAAAAAAAAAEAAAAZHJzL1BLAwQUAAAACACHTuJA/0tYIdcAAAAF&#10;AQAADwAAAGRycy9kb3ducmV2LnhtbE2PQUvDQBCF70L/wzKCF7GbRKwlZtJDoVhEKE215212TILZ&#10;2TS7Teq/d/XSXgYe7/HeN9nibFoxUO8aywjxNAJBXFrdcIXwsVs9zEE4r1ir1jIh/JCDRT65yVSq&#10;7chbGgpfiVDCLlUItfddKqUrazLKTW1HHLwv2xvlg+wrqXs1hnLTyiSKZtKohsNCrTpa1lR+FyeD&#10;MJabYb97f5Wb+/3a8nF9XBafb4h3t3H0AsLT2V/C8Icf0CEPTAd7Yu1EixAe8f83ePM4mYE4IDw9&#10;Js8g80xe0+e/UEsDBBQAAAAIAIdO4kAEth5PlgsAADp4AAAOAAAAZHJzL2Uyb0RvYy54bWztXctu&#10;3MgV3QfIPzR6H4tVJKtIwfLAkeMkgJEZwHmsqW621Eg32SFpS54PSHZZzmaCAAGSrCZZzT5fE08+&#10;I+dWsYrsJtlq0SNb6ikvZIpF8Xl469xzTxWffnazXk3epkW5zLOzKXviTSdpNsvny+zybPqbX7/8&#10;STSdlFWSzZNVnqVn03dpOf3s2Y9/9PR6c5ry/CpfzdNigp1k5en15mx6VVWb05OTcnaVrpPySb5J&#10;MzQu8mKdVPi1uDyZF8k19r5enXDPEyfXeTHfFPksLUusfaEbp/Uei0N2mC8Wy1n6Ip+9WadZpfda&#10;pKukwiWVV8tNOX2mznaxSGfV54tFmVaT1dkUV1qpnzgIli/o58mzp8npZZFsrpaz+hSSQ05h55rW&#10;yTLDQe2uXiRVMnlTLDu7Wi9nRV7mi+rJLF+f6AtRdwRXwbyde3OeZG8TfTEz3Gtzglj6Hvd7cYl7&#10;gF2eXuPRpmoZD7bc2EdcftjBXl8lm1Q9kPJ09qu3XxST5fxsKqeTLFkDXu+/+tP7v3zz/m9/nEh6&#10;GNcbtdXrDbarbn6a3wCiZn2JlXSPbxbFmv7H3ZugnXPpSYEH+s4+0PSmmszoTz0/9EI0zdDGPYlb&#10;TDs7afaxKcrq52m+ntDC2bQAYNRzTN6+Kiu9qdmEDpnlL5erFdYnp6tscn02FTiA+gPbgp2vMhyD&#10;rkSfMS1VNxc39eVd5PN3uLoi12AsN7OXSxz8VVJWXyQF0IfzxftZfY4fi1WOg+T10nRylRdf9q2n&#10;7fGY0DqdXAPNZ9PyD2+SIp1OVr/M8ABjFgTYbaV+CULJ8UvRbrlot2Rv1uc5XhiGSLCZqUXavlqZ&#10;xUWRr3+H1/g5HRVNSTbDsc+mlVk8r/Q7hjAwS58/VxsB8JukepW9Jviy+qY9f1Pli6W603Sb9L2p&#10;7x5AqAFx72hkfheOWFc/MKD2Lnj0me+FBDpgjnlRLIBNhRiDSumHsQg1KH3fQ1C8L1CW+Wo5J8QS&#10;YAnH56ti8jbBo71YJbPf14dtbeXACxw/NvAGPeANRoKXh16gQoUGb8hZuA3ekIsA61RE9YM4ilT7&#10;fUTUFiwdeI818oY9RADrxkVeHkgWUNcG8AaAqcZmcmoCr2Chb7EbMhm7wOtYwyFEfIDD9gReOTbw&#10;Bhw8FnGViCrnLAJB2CINIahsWMddzj0/cHHXYfcDsAsodRIwBakRGRjzpAxjC96oQxoCtFNcvv80&#10;zJEGwxSOOF2Toge8YiRpYJKzAExBRV4m/EBH1oY1BFIQy9WM1xeU2iEyO8brtIZb5LsB1tDDeOV4&#10;xsskAVaBV3C/S3mF9A1471cAc5H3hxB5URzo0IZoZOTlgSfjOl3r5bwiDn1eR17OYnl/6q0D7w8B&#10;vHEPeOOR4A2CKPBlrfJKFofRjsorZChIc3ecl4oYuqThShQHVP36aQPg1Ym8GnIjEjZUgCB/adqA&#10;5I1Fu+ANPc4NbfBDxqA8OM7r6mu3l6wHwItK4i5tiGxd9671tVhKzzPgjSQDhdiSypDNMRN5UV+L&#10;fAdeJ5WNl8oi3gNePpY2cGawyyVwqiltIzY4mXfb8OCMDQd6hQYCb4+xIRprbEDdl6NkRloDymgx&#10;eW624u7Hw64z2zxis01ky2bfff3t+z//47t//+u/f//2f//5Ky1/888J2gGrmtWeZ9rzBevKTaac&#10;YxSOl3OYuwz6srlpQvFNN6norBxY4BZ6F7S/toFsslgtN781RqTaSgaxDOFZq2kBKnK70ZnBamas&#10;D3gV1BkMC8FlVSTLy6vqPM8y+MryQpueDrWW+Yqhz8jMtYC3Ecddb+YwdmWXcFmtLmHenFWFslFt&#10;qRdlcXlhbT6e+kf3E6e5tRm5gV4k5ZW2A6km/TZXyXL1s2w+qd5tYM+rimWSXa5S2Mpw6DX8ZCkO&#10;jAW9yx6nm7ZwUTPd8o/n4aJ0RXPMAVi1q1tdWJEFTMFKRUd0yA2swFR1k2KsI2DlR0KEZDwgUw0P&#10;kVmpc2l6fdCAgCIraQUsBrfVd9cYHY0DsTYpOlx9VFzZYtMArtqFpx5cmZjUxZWF3GhcechuyBSg&#10;cYVClYmJtf81jiGhaliFUju5XLhqegJa+mThypaBBmDVLgl1YUW+qaFe8AM7QS5l7JtqvvVMN8Eq&#10;ikyo4gAVVKRjCVZzdIcv8uqRd4O2QjOAq3a1posrZsKViSRNN2ghN5ZdcSmkMj4jXEWUQHR6wcCv&#10;O0EuYlSHjgZZx0CvbPFkAFftQkoXVxKwHIhXFnLjcRWGRMZVNxhArtbEvIlYUAiN315GQmprnesI&#10;H0ZHSJ3JPt6OdnQwdK42l0MqY9NB8gIN8HaLuQP4VXs8EYsjU9njPrKwXX2Ze7Ea30Fs3cWoB5QC&#10;xrbM0B+j0L4XSqDKQ1AyKLsblFA3o+KZFhT6oMSEUFBzUCKB4iFByYr+A1BqFwB6ujtDo7pZH5Vd&#10;FcoOgFKvSBXzMCKehOjTG54YSrumu8PwREeiuqMxP1XSF1s5fgBVbWm+B1V7kj7Drz6ARLGg1hJ4&#10;AKl/l51jWFgtJbCIidusWE6j+pgaVYxws5dD3SKpG+2zm/RZtX0srkRtQEW08lH5JIihD264udKl&#10;tPAZIv1z4eohdYJ44ffCSj2tYWqOlFH1dAo7eOSNlhCbcKX589YumrSkGaZf12eCCDUZShiAJhZz&#10;gbRvG01NgYYJZRI5Fm3qCBSE+BYhHe372DkZ4AbQJA3QDkCTolS/2Kn7beEq4D7G2m3jqun8OBSs&#10;28beuc7vo3Z+tyjp8X4l3Vb3ulTdQm4sVQ8CgcFFOv9jGJ2MYXDbuGKYK8JonqGnXZhOmGp6AFr6&#10;ZGTdKunNHDXot5oYdZdJQYLQ9ySNZaCszYsxA8gOEsIoDIy54H7H9zrzzCM2z8RWhm+Bsi293wWU&#10;GFwT25wPzAod33Z4EphFwYQnB0o3fdJlv8tQeaZ0otCgsq7C1NT+brDkDJMd6FgpWCR1JbCVM3og&#10;bGhXQ2vudS4EFysfcaxk3i0iLm3QdOddvc1SQxMWmwSWMWMKGyuMBMhkSWQjRhD7QgDQOJcG5H4E&#10;ja0WRuAOU61HQQ2PwmaBmQX3ayO0wT5sMVv2VsnFljrCPJPQqn0c4DhUCW1vtQATFniY90hLJhEP&#10;4o5kwgSn0TQUTI+pXHAkMLtF2YVxdD/MyBfRlJu2YIZZB3TT94AyLwpsUUpyITooAw5tlx06a89D&#10;qnUyev336by0wb5YZo0WXQmF8pUGfvsjWcuDARu+z828Fr2F8xDKSt0/atWvEYsfr136SGKWFXrb&#10;2UBb3b1LNhDTHJOm/xIAxQ5Pcjmqm+J3a0bxoRzVysRtVLa14bug0g8jNcaYClFRACurQ6WbeBqT&#10;0g/O5T6Eyh6RGZNGt7rbu6ASiYPHjXUf05uSSrKVVLpg6YLlQcGyR2amrLRhgXeBJTy0Afi/zkEx&#10;RW+4a9DGyCVMPO0EPTdNf/1VkIFoSaJbR2fGypGwxKABVk/hJKGC7E6C44KlC5aHBMver0eM/nwE&#10;Q8nNJ+cBUUuJoQi7ww8cLB0sD4KllQ5bCQ9U55HBUgoRAYoKltCUqT/fopZh7CuDA+nI7sMQbr67&#10;g79yNdTX3yZK6vHsdX25W7yzpsCe+oqtvdxJ+W7pk6Cz5GU2VRUahr/9NsBL0ZSond79oMb2MGYF&#10;yv5hGLRBEyW70LKm+K7eTbn7GMEbw53D+htmPIqxaErO5ktmIsRno3SGdFRTORyH5M2suDiEqLbQ&#10;2EWUnbnIPPaW08AzZbqxTgOB7LtOc/QU4OYgNbZEbKb6rIeOAfvOabD7Bb9PZUNlzEqEQ9hqy4U9&#10;2ELYUCU489jb2DLjWsdii/n4ZILxakFvjHYDV2t8TxDSl8McuB7QCB/GrNA3BK626NcDLgOgHnDZ&#10;+Y1GgysWnq0Ce/gm0m7Oob6+qT1SQSCPyD5/370iCvEz+qKsCvT152/pm7Xt39UMbs0nf5/9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YOAABb&#10;Q29udGVudF9UeXBlc10ueG1sUEsBAhQACgAAAAAAh07iQAAAAAAAAAAAAAAAAAYAAAAAAAAAAAAQ&#10;AAAA6AwAAF9yZWxzL1BLAQIUABQAAAAIAIdO4kCKFGY80QAAAJQBAAALAAAAAAAAAAEAIAAAAAwN&#10;AABfcmVscy8ucmVsc1BLAQIUAAoAAAAAAIdO4kAAAAAAAAAAAAAAAAAEAAAAAAAAAAAAEAAAAAAA&#10;AABkcnMvUEsBAhQAFAAAAAgAh07iQP9LWCHXAAAABQEAAA8AAAAAAAAAAQAgAAAAIgAAAGRycy9k&#10;b3ducmV2LnhtbFBLAQIUABQAAAAIAIdO4kAEth5PlgsAADp4AAAOAAAAAAAAAAEAIAAAACYBAABk&#10;cnMvZTJvRG9jLnhtbFBLBQYAAAAABgAGAFkBAAAuDwAAAAA=&#10;">
                        <v:fill on="f" focussize="0,0"/>
                        <v:stroke on="f"/>
                        <v:imagedata o:title=""/>
                        <o:lock v:ext="edit" aspectratio="f"/>
                      </v:shape>
                      <v:shape id="_x0000_s1026" o:spid="_x0000_s1026" o:spt="202" type="#_x0000_t202" style="position:absolute;left:2270760;top:0;height:207010;width:1035050;" filled="f" stroked="f" coordsize="21600,21600" o:gfxdata="UEsDBAoAAAAAAIdO4kAAAAAAAAAAAAAAAAAEAAAAZHJzL1BLAwQUAAAACACHTuJAmOWdr9cAAAAF&#10;AQAADwAAAGRycy9kb3ducmV2LnhtbE2PT0vDQBDF74LfYRnBW7tJpDXEbIoEiiB6aO3F2yQ7TYK7&#10;szG7/aOf3q0XvQw83uO935SrszXiSJMfHCtI5wkI4tbpgTsFu7f1LAfhA7JG45gUfJGHVXV9VWKh&#10;3Yk3dNyGTsQS9gUq6EMYCyl925NFP3cjcfT2brIYopw6qSc8xXJrZJYkS2lx4LjQ40h1T+3H9mAV&#10;PNfrV9w0mc2/Tf30sn8cP3fvC6Vub9LkAUSgc/gLwwU/okMVmRp3YO2FURAfCb83enmaLUE0ChZ3&#10;2T3IqpT/6asfUEsDBBQAAAAIAIdO4kDZcBcyPgIAAGwEAAAOAAAAZHJzL2Uyb0RvYy54bWytVM2O&#10;0zAQviPxDpbvNGnpD1RNV2WrIqSKXakgzq7jNJFsj7HdJuUB4A32xIU7z9XnYOyk3WrhsAcu7tgz&#10;+Wa+b2Y6u2mUJAdhXQU6o/1eSonQHPJK7zL6+dPq1RtKnGc6ZxK0yOhROHozf/liVpupGEAJMheW&#10;IIh209pktPTeTJPE8VIo5npghEZnAVYxj1e7S3LLakRXMhmk6TipwebGAhfO4euyddIO0T4HEIqi&#10;4mIJfK+E9i2qFZJ5pOTKyjg6j9UWheD+riic8ERmFJn6eGIStLfhTOYzNt1ZZsqKdyWw55TwhJNi&#10;lcakF6gl84zsbfUXlKq4BQeF73FQSUskKoIs+ukTbTYlMyJyQamduYju/h8s/3i4t6TKMzqhRDOF&#10;DT89/Dj9/H369Z1Mgjy1cVOM2hiM8807aHBozu8OHwPrprAq/CIfgv7BYJJOxijx8SKxaDzh4dP0&#10;9SgdoYujb5BOkHQASx4xjHX+vQBFgpFRiy2MyrLD2vk29BwSUmpYVVLGNkpN6oyOMUH84OJBcKkx&#10;R2DSVhws32ybjt4W8iOys9COhzN8VWHyNXP+nlmcB6wXN8bf4VFIwCTQWZSUYL/96z3EY5vQS0mN&#10;85VR93XPrKBEftDYwLf94RBhfbwMR5MBXuy1Z3vt0Xt1CzjCfdxNw6MZ4r08m4UF9QUXaxGyootp&#10;jrkz6s/mrW+nHheTi8UiBuEIGubXemN4gG7lXOw9FFVUOsjUatOph0MYe9UtTJjy63uMevyTmP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OWdr9cAAAAFAQAADwAAAAAAAAABACAAAAAiAAAAZHJz&#10;L2Rvd25yZXYueG1sUEsBAhQAFAAAAAgAh07iQNlwFzI+AgAAbAQAAA4AAAAAAAAAAQAgAAAAJgEA&#10;AGRycy9lMm9Eb2MueG1sUEsFBgAAAAAGAAYAWQEAANYFAAAAAA==&#10;">
                        <v:fill on="f" focussize="0,0"/>
                        <v:stroke on="f" weight="0.5pt"/>
                        <v:imagedata o:title=""/>
                        <o:lock v:ext="edit" aspectratio="f"/>
                        <v:textbox>
                          <w:txbxContent>
                            <w:p w14:paraId="78822664">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ascii="Times New Roman" w:hAnsi="Times New Roman" w:cs="Times New Roman"/>
                                  <w:sz w:val="15"/>
                                  <w:szCs w:val="18"/>
                                  <w:lang w:val="en-US" w:eastAsia="zh-CN"/>
                                </w:rPr>
                                <w:t>颗粒物、SO</w:t>
                              </w:r>
                              <w:r>
                                <w:rPr>
                                  <w:rFonts w:hint="eastAsia" w:ascii="Times New Roman" w:hAnsi="Times New Roman" w:cs="Times New Roman"/>
                                  <w:sz w:val="15"/>
                                  <w:szCs w:val="18"/>
                                  <w:vertAlign w:val="subscript"/>
                                  <w:lang w:val="en-US" w:eastAsia="zh-CN"/>
                                </w:rPr>
                                <w:t>2</w:t>
                              </w:r>
                              <w:r>
                                <w:rPr>
                                  <w:rFonts w:hint="eastAsia" w:ascii="Times New Roman" w:hAnsi="Times New Roman" w:cs="Times New Roman"/>
                                  <w:sz w:val="15"/>
                                  <w:szCs w:val="18"/>
                                  <w:lang w:val="en-US" w:eastAsia="zh-CN"/>
                                </w:rPr>
                                <w:t>、NO</w:t>
                              </w:r>
                              <w:r>
                                <w:rPr>
                                  <w:rFonts w:hint="eastAsia" w:ascii="Times New Roman" w:hAnsi="Times New Roman" w:cs="Times New Roman"/>
                                  <w:sz w:val="15"/>
                                  <w:szCs w:val="18"/>
                                  <w:vertAlign w:val="subscript"/>
                                  <w:lang w:val="en-US" w:eastAsia="zh-CN"/>
                                </w:rPr>
                                <w:t>x</w:t>
                              </w:r>
                            </w:p>
                          </w:txbxContent>
                        </v:textbox>
                      </v:shape>
                      <v:shape id="_x0000_s1026" o:spid="_x0000_s1026" o:spt="202" type="#_x0000_t202" style="position:absolute;left:3130550;top:1089660;height:330200;width:735965;" filled="f" stroked="t" coordsize="21600,21600" o:gfxdata="UEsDBAoAAAAAAIdO4kAAAAAAAAAAAAAAAAAEAAAAZHJzL1BLAwQUAAAACACHTuJA+cIlY9cAAAAF&#10;AQAADwAAAGRycy9kb3ducmV2LnhtbE2PzU7DMBCE70h9B2uRuFE7Qf1RiNNDRQ9ICIkWUY5OvMQR&#10;9jrEblr69Lhc4LLSaEYz35ark7NsxCF0niRkUwEMqfG6o1bC625zuwQWoiKtrCeU8I0BVtXkqlSF&#10;9kd6wXEbW5ZKKBRKgomxLzgPjUGnwtT3SMn78INTMcmh5XpQx1TuLM+FmHOnOkoLRvW4Nth8bg9O&#10;wtPb/uth8/wu9ljbbjbahXk811LeXGfiHljEU/wLwwU/oUOVmGp/IB2YlZAeib83ecssnwOrJczu&#10;8gXwquT/6asfUEsDBBQAAAAIAIdO4kDqXRbOWwIAAJsEAAAOAAAAZHJzL2Uyb0RvYy54bWytVEtu&#10;2zAQ3RfoHQjuG8lR7CRG5MBNkKJA0ARIi65pioqI8leStpQeoLlBV91033PlHH2U5MRIu8iiG3rI&#10;eX4z82ZGJ6edVmQjfJDWlHSyl1MiDLeVNLcl/fTx4s0RJSEyUzFljSjpnQj0dPH61Unr5mLfNlZV&#10;whOQmDBvXUmbGN08ywJvhGZhzzph4Kyt1yzi6m+zyrMW7Fpl+3k+y1rrK+ctFyHg9Xxw0pHRv4TQ&#10;1rXk4tzytRYmDqxeKBZRUmikC3TRZ1vXgserug4iElVSVBr7E0Fgr9KZLU7Y/NYz10g+psBeksKz&#10;mjSTBkEfqc5ZZGTt5V9UWnJvg63jHrc6GwrpFUEVk/yZNjcNc6KvBVIH9yh6+H+0/MPm2hNZYRIK&#10;SgzT6PjDj/uHn78ffn0neINArQtz4G4ckLF7azuAt+8Bj6nurvY6/aIiAn8xKfLpFCLfAZsfHc9m&#10;o9Sii4QDcFhMj2dTSjgARZFjMBJj9kTkfIjvhNUkGSX16GQvMNtchjhAt5AU19gLqVTfTWVIW9JZ&#10;gfDJE6ySVXKmS/rLmfJkwzAPK8X4lzHsDgpJKINcUtlDecmK3aobtVjZ6g5SeDtMU3D8QoL3koV4&#10;zTzGB3VjweIVjlpZJGNHi5LG+m//ek94dBVeSlqMY0nD1zXzghL13qDfx5ODgzS//eVgeriPi9/1&#10;rHY9Zq3PLCqcYJUd782Ej2pr1t7qz9jDZYoKFzMcsUsat+ZZHJYEe8zFctmDMLGOxUtz43iiHmRf&#10;rqOtZd+RJNOgzageZrbv6bhfaSl27z3q6Zuy+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5wiVj&#10;1wAAAAUBAAAPAAAAAAAAAAEAIAAAACIAAABkcnMvZG93bnJldi54bWxQSwECFAAUAAAACACHTuJA&#10;6l0WzlsCAACbBAAADgAAAAAAAAABACAAAAAmAQAAZHJzL2Uyb0RvYy54bWxQSwUGAAAAAAYABgBZ&#10;AQAA8wUAAAAA&#10;">
                        <v:fill on="f" focussize="0,0"/>
                        <v:stroke weight="0.5pt" color="#000000 [3204]" joinstyle="round"/>
                        <v:imagedata o:title=""/>
                        <o:lock v:ext="edit" aspectratio="f"/>
                        <v:textbox>
                          <w:txbxContent>
                            <w:p w14:paraId="30E76C8D">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lang w:val="en-US" w:eastAsia="zh-CN"/>
                                </w:rPr>
                              </w:pPr>
                              <w:r>
                                <w:rPr>
                                  <w:rFonts w:hint="eastAsia" w:cs="Times New Roman"/>
                                  <w:sz w:val="15"/>
                                  <w:szCs w:val="18"/>
                                  <w:lang w:val="en-US" w:eastAsia="zh-CN"/>
                                </w:rPr>
                                <w:t>收集的粉尘（成品煤粉）</w:t>
                              </w:r>
                            </w:p>
                          </w:txbxContent>
                        </v:textbox>
                      </v:shape>
                      <v:shape id="_x0000_s1026" o:spid="_x0000_s1026" o:spt="202" type="#_x0000_t202" style="position:absolute;left:2504440;top:1085215;height:349885;width:526415;" filled="f" stroked="t" coordsize="21600,21600" o:gfxdata="UEsDBAoAAAAAAIdO4kAAAAAAAAAAAAAAAAAEAAAAZHJzL1BLAwQUAAAACACHTuJA+cIlY9cAAAAF&#10;AQAADwAAAGRycy9kb3ducmV2LnhtbE2PzU7DMBCE70h9B2uRuFE7Qf1RiNNDRQ9ICIkWUY5OvMQR&#10;9jrEblr69Lhc4LLSaEYz35ark7NsxCF0niRkUwEMqfG6o1bC625zuwQWoiKtrCeU8I0BVtXkqlSF&#10;9kd6wXEbW5ZKKBRKgomxLzgPjUGnwtT3SMn78INTMcmh5XpQx1TuLM+FmHOnOkoLRvW4Nth8bg9O&#10;wtPb/uth8/wu9ljbbjbahXk811LeXGfiHljEU/wLwwU/oUOVmGp/IB2YlZAeib83ecssnwOrJczu&#10;8gXwquT/6asfUEsDBBQAAAAIAIdO4kALyJQ/WwIAAJsEAAAOAAAAZHJzL2Uyb0RvYy54bWytVM1u&#10;EzEQviPxDpbvdDfppqRRNlVoVYRU0UoFcXa83uwK/2E72S0PAG/AiQt3nqvPwWdv0kaFQw9cnPHM&#10;t9/MfJ7J/KxXkmyF863RJR0d5ZQIzU3V6nVJP364fDWlxAemKyaNFiW9E56eLV6+mHd2JsamMbIS&#10;joBE+1lnS9qEYGdZ5nkjFPNHxgqNYG2cYgFXt84qxzqwK5mN8/wk64yrrDNceA/vxRCkO0b3HEJT&#10;1y0XF4ZvlNBhYHVCsoCWfNNaTxep2roWPFzXtReByJKi05BOJIG9ime2mLPZ2jHbtHxXAntOCU96&#10;UqzVSPpAdcECIxvX/kWlWu6MN3U44kZlQyNJEXQxyp9oc9swK1IvkNrbB9H9/6Pl77c3jrQVJqGg&#10;RDOFF7//8f3+5+/7X98IfBCos34G3K0FMvRvTA/w3u/hjH33tVPxFx0RxMeTvCgKiHwHbD6djEeT&#10;QWrRB8IBmIxPCvgIB+C4OJ1OUzx7JLLOh7fCKBKNkjq8ZBKYba98QFGA7iExrzaXrZTpNaUmXUlP&#10;jid5+sAb2VYxGGHxk3PpyJZhHlaS8c+xLHAdoHCTGs7Y9tBetEK/6ndarEx1BymcGabJW37ZgveK&#10;+XDDHMYHfWPBwjWOWhoUY3YWJY1xX//lj3i8KqKUdBjHkvovG+YEJfKdxnufjpKcIV2KyesxcrjD&#10;yOowojfq3KDDEVbZ8mRGfJB7s3ZGfcIeLmNWhJjmyF3SsDfPw7Ak2GMulssEwsRaFq70reWRepB9&#10;uQmmbtOLRJkGbXbqYWaTuLv9iktxeE+ox/+Ux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5wiVj&#10;1wAAAAUBAAAPAAAAAAAAAAEAIAAAACIAAABkcnMvZG93bnJldi54bWxQSwECFAAUAAAACACHTuJA&#10;C8iUP1sCAACbBAAADgAAAAAAAAABACAAAAAmAQAAZHJzL2Uyb0RvYy54bWxQSwUGAAAAAAYABgBZ&#10;AQAA8wUAAAAA&#10;">
                        <v:fill on="f" focussize="0,0"/>
                        <v:stroke weight="0.5pt" color="#000000 [3204]" joinstyle="round"/>
                        <v:imagedata o:title=""/>
                        <o:lock v:ext="edit" aspectratio="f"/>
                        <v:textbox>
                          <w:txbxContent>
                            <w:p w14:paraId="7D28FDFE">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lang w:val="en-US" w:eastAsia="zh-CN"/>
                                </w:rPr>
                              </w:pPr>
                              <w:r>
                                <w:rPr>
                                  <w:rFonts w:hint="eastAsia" w:cs="Times New Roman"/>
                                  <w:sz w:val="15"/>
                                  <w:szCs w:val="18"/>
                                  <w:lang w:val="en-US" w:eastAsia="zh-CN"/>
                                </w:rPr>
                                <w:t>除尘器过滤</w:t>
                              </w:r>
                            </w:p>
                          </w:txbxContent>
                        </v:textbox>
                      </v:shape>
                      <v:shape id="_x0000_s1026" o:spid="_x0000_s1026" o:spt="202" type="#_x0000_t202" style="position:absolute;left:2471420;top:464185;height:351790;width:615315;" filled="f" stroked="t" coordsize="21600,21600" o:gfxdata="UEsDBAoAAAAAAIdO4kAAAAAAAAAAAAAAAAAEAAAAZHJzL1BLAwQUAAAACACHTuJA+cIlY9cAAAAF&#10;AQAADwAAAGRycy9kb3ducmV2LnhtbE2PzU7DMBCE70h9B2uRuFE7Qf1RiNNDRQ9ICIkWUY5OvMQR&#10;9jrEblr69Lhc4LLSaEYz35ark7NsxCF0niRkUwEMqfG6o1bC625zuwQWoiKtrCeU8I0BVtXkqlSF&#10;9kd6wXEbW5ZKKBRKgomxLzgPjUGnwtT3SMn78INTMcmh5XpQx1TuLM+FmHOnOkoLRvW4Nth8bg9O&#10;wtPb/uth8/wu9ljbbjbahXk811LeXGfiHljEU/wLwwU/oUOVmGp/IB2YlZAeib83ecssnwOrJczu&#10;8gXwquT/6asfUEsDBBQAAAAIAIdO4kC4AFXVXgIAAJoEAAAOAAAAZHJzL2Uyb0RvYy54bWytVMFu&#10;2zAMvQ/YPwi6r44Tu2mDOkXWosOAYi2QDTsrshwLk0RNUmJ3H7D+wU677L7v6neMkpM26HboYReF&#10;EulHvkcyZ+e9VmQrnJdgKpofjSgRhkMtzbqinz5evTmhxAdmaqbAiIreCU/P569fnXV2JsbQgqqF&#10;Iwhi/KyzFW1DsLMs87wVmvkjsMKgswGnWcCrW2e1Yx2ia5WNR6PjrANXWwdceI+vl4OT7hDdSwCh&#10;aSQXl8A3WpgwoDqhWEBKvpXW03mqtmkEDzdN40UgqqLINKQTk6C9imc2P2OztWO2lXxXAntJCc84&#10;aSYNJn2EumSBkY2Tf0FpyR14aMIRB50NRJIiyCIfPdNm2TIrEheU2ttH0f3/g+UftreOyLqi5ZQS&#10;wzR2/OHH/cPP3w+/vhN8Q4E662cYt7QYGfq30OPY7N89PkbefeN0/EVGBP3jYpoXYxT5rqLFcZGf&#10;lIPSog+Eo/84Lyd5SQlH/6TMp6epE9kTjnU+vBOgSTQq6rCRSV+2vfYBa8LQfUhMa+BKKpWaqQzp&#10;MMGkHKUPPChZR2cMi59cKEe2DMdhpRj/EstCrIMovCmDj5H1wC5aoV/1OylWUN+hEg6GYfKWX0nE&#10;vWY+3DKH04O0cb/CDR6NAiwGdhYlLbhv/3qP8dhU9FLS4TRW1H/dMCcoUe8Ntvs0L4o4vulSlNMo&#10;rTv0rA49ZqMvABnmuMmWJzPGB7U3Gwf6M67hImZFFzMcc1c07M2LMOwIrjEXi0UKwoG1LFybpeUR&#10;epB9sQnQyNSRKNOgzU49HNkk7m694k4c3lPU01/K/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5&#10;wiVj1wAAAAUBAAAPAAAAAAAAAAEAIAAAACIAAABkcnMvZG93bnJldi54bWxQSwECFAAUAAAACACH&#10;TuJAuABV1V4CAACaBAAADgAAAAAAAAABACAAAAAmAQAAZHJzL2Uyb0RvYy54bWxQSwUGAAAAAAYA&#10;BgBZAQAA9gUAAAAA&#10;">
                        <v:fill on="f" focussize="0,0"/>
                        <v:stroke weight="0.5pt" color="#000000 [3204]" joinstyle="round"/>
                        <v:imagedata o:title=""/>
                        <o:lock v:ext="edit" aspectratio="f"/>
                        <v:textbox>
                          <w:txbxContent>
                            <w:p w14:paraId="3D2FFA57">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lang w:val="en-US" w:eastAsia="zh-CN"/>
                                </w:rPr>
                              </w:pPr>
                              <w:r>
                                <w:rPr>
                                  <w:rFonts w:hint="eastAsia" w:cs="Times New Roman"/>
                                  <w:sz w:val="15"/>
                                  <w:szCs w:val="18"/>
                                  <w:lang w:val="en-US" w:eastAsia="zh-CN"/>
                                </w:rPr>
                                <w:t>排气筒排放至大气</w:t>
                              </w:r>
                            </w:p>
                          </w:txbxContent>
                        </v:textbox>
                      </v:shape>
                      <v:shape id="_x0000_s1026" o:spid="_x0000_s1026" o:spt="202" type="#_x0000_t202" style="position:absolute;left:422275;top:2221865;height:220345;width:503555;" filled="f" stroked="t" coordsize="21600,21600" o:gfxdata="UEsDBAoAAAAAAIdO4kAAAAAAAAAAAAAAAAAEAAAAZHJzL1BLAwQUAAAACACHTuJA+cIlY9cAAAAF&#10;AQAADwAAAGRycy9kb3ducmV2LnhtbE2PzU7DMBCE70h9B2uRuFE7Qf1RiNNDRQ9ICIkWUY5OvMQR&#10;9jrEblr69Lhc4LLSaEYz35ark7NsxCF0niRkUwEMqfG6o1bC625zuwQWoiKtrCeU8I0BVtXkqlSF&#10;9kd6wXEbW5ZKKBRKgomxLzgPjUGnwtT3SMn78INTMcmh5XpQx1TuLM+FmHOnOkoLRvW4Nth8bg9O&#10;wtPb/uth8/wu9ljbbjbahXk811LeXGfiHljEU/wLwwU/oUOVmGp/IB2YlZAeib83ecssnwOrJczu&#10;8gXwquT/6asfUEsDBBQAAAAIAIdO4kBRTO07XAIAAJoEAAAOAAAAZHJzL2Uyb0RvYy54bWytVM1u&#10;EzEQviPxDpbvZDc/25YomyqkKkKqaKWAODteb9bC9hjbyW55AHgDTly481x5DsbepI0Khx64OOOZ&#10;2c/zfTOT2WWnFdkJ5yWYkg4HOSXCcKik2ZT044frVxeU+MBMxRQYUdJ74enl/OWLWWunYgQNqEo4&#10;giDGT1tb0iYEO80yzxuhmR+AFQaDNTjNAl7dJqscaxFdq2yU52dZC66yDrjwHr1XfZAeEN1zAKGu&#10;JRdXwLdamNCjOqFYQEq+kdbTeaq2rgUPt3XtRSCqpMg0pBMfQXsdz2w+Y9ONY7aR/FACe04JTzhp&#10;Jg0++gB1xQIjWyf/gtKSO/BQhwEHnfVEkiLIYpg/0WbVMCsSF5Ta2wfR/f+D5e93d47IqqTnE0oM&#10;09jx/Y/v+5+/97++EfShQK31U8xbWcwM3RvocGyOfo/OyLurnY6/yIhgfDIajc4LSu5Litbw4qzo&#10;lRZdIBzjRT4uCozzlJCPJymePeJY58NbAZpEo6QOG5n0ZbsbH7AmTD2mxGcNXEulUjOVIW1Jz8ZF&#10;nj7woGQVgzEtfrJUjuwYjsNaMf45loVYJ1l4UwadkXXPLlqhW3cHKdZQ3aMSDvph8pZfS8S9YT7c&#10;MYfTg7OF+xVu8agVYDFwsChpwH39lz/mY1MxSkmL01hS/2XLnKBEvTPY7tfDySSOb7pMivMRXtxp&#10;ZH0aMVu9BGQ4xE22PJkxP6ijWTvQn3ANF/FVDDHD8e2ShqO5DP2O4BpzsVikJBxYy8KNWVkeoXvZ&#10;F9sAtUwdiTL12hzUw5FN4h7WK+7E6T1lPf6lz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Il&#10;Y9cAAAAFAQAADwAAAAAAAAABACAAAAAiAAAAZHJzL2Rvd25yZXYueG1sUEsBAhQAFAAAAAgAh07i&#10;QFFM7TtcAgAAmgQAAA4AAAAAAAAAAQAgAAAAJgEAAGRycy9lMm9Eb2MueG1sUEsFBgAAAAAGAAYA&#10;WQEAAPQFAAAAAA==&#10;">
                        <v:fill on="f" focussize="0,0"/>
                        <v:stroke weight="0.5pt" color="#000000 [3204]" joinstyle="round"/>
                        <v:imagedata o:title=""/>
                        <o:lock v:ext="edit" aspectratio="f"/>
                        <v:textbox>
                          <w:txbxContent>
                            <w:p w14:paraId="12BF5BA3">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皮带机</w:t>
                              </w:r>
                            </w:p>
                          </w:txbxContent>
                        </v:textbox>
                      </v:shape>
                      <v:shape id="_x0000_s1026" o:spid="_x0000_s1026" o:spt="202" type="#_x0000_t202" style="position:absolute;left:1077595;top:2228215;height:207010;width:477520;" filled="f" stroked="t" coordsize="21600,21600" o:gfxdata="UEsDBAoAAAAAAIdO4kAAAAAAAAAAAAAAAAAEAAAAZHJzL1BLAwQUAAAACACHTuJA+cIlY9cAAAAF&#10;AQAADwAAAGRycy9kb3ducmV2LnhtbE2PzU7DMBCE70h9B2uRuFE7Qf1RiNNDRQ9ICIkWUY5OvMQR&#10;9jrEblr69Lhc4LLSaEYz35ark7NsxCF0niRkUwEMqfG6o1bC625zuwQWoiKtrCeU8I0BVtXkqlSF&#10;9kd6wXEbW5ZKKBRKgomxLzgPjUGnwtT3SMn78INTMcmh5XpQx1TuLM+FmHOnOkoLRvW4Nth8bg9O&#10;wtPb/uth8/wu9ljbbjbahXk811LeXGfiHljEU/wLwwU/oUOVmGp/IB2YlZAeib83ecssnwOrJczu&#10;8gXwquT/6asfUEsDBBQAAAAIAIdO4kC4+ZTIWgIAAJsEAAAOAAAAZHJzL2Uyb0RvYy54bWytVMFu&#10;EzEQvSPxD5bvdDdL0rRRN1VoVYQU0UoBcXa83q6F7TG2k93wAfAHnLhw57vyHYy9mzYqHHrg4ow9&#10;s2/mvZnJxWWnFdkK5yWYko5OckqE4VBJc1/Sjx9uXp1R4gMzFVNgREl3wtPL+csXF62diQIaUJVw&#10;BEGMn7W2pE0IdpZlnjdCM38CVhh01uA0C3h191nlWIvoWmVFnp9mLbjKOuDCe3y97p10QHTPAYS6&#10;llxcA99oYUKP6oRiASn5RlpP56nauhY83Na1F4GokiLTkE5MgvY6ntn8gs3uHbON5EMJ7DklPOGk&#10;mTSY9AHqmgVGNk7+BaUld+ChDiccdNYTSYogi1H+RJtVw6xIXFBqbx9E9/8Plr/f3jkiq5JOJ5QY&#10;prHj+x/f9z9/7399I/iGArXWzzBuZTEydG+gw7E5vHt8jLy72un4i4xI9OfT6eQcEXclLYrirBgl&#10;JDYTXSAcA8boL7AJPAbkU+QeEbNHIOt8eCtAk2iU1GEnk8Bsu/ShDz2ExLwGbqRSqZvKkLakp68n&#10;efrAg5JVdMaw+MmVcmTLcB7WivHPQ9qjKCxCGawl0u7pRSt0627QYg3VDqVw0E+Tt/xGIu6S+XDH&#10;HI4P8sIFC7d41AqwGBgsShpwX//1HuOxq+ilpMVxLKn/smFOUKLeGez3+Wg8jvObLuPJNGrnjj3r&#10;Y4/Z6CtAhiNcZcuTGeODOpi1A/0J93ARs6KLGY65SxoO5lXolwT3mIvFIgXhxFoWlmZleYTuZV9s&#10;AtQydSTK1GszqIczm3o67FdciuN7inr8T5n/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nCJWPX&#10;AAAABQEAAA8AAAAAAAAAAQAgAAAAIgAAAGRycy9kb3ducmV2LnhtbFBLAQIUABQAAAAIAIdO4kC4&#10;+ZTIWgIAAJsEAAAOAAAAAAAAAAEAIAAAACYBAABkcnMvZTJvRG9jLnhtbFBLBQYAAAAABgAGAFkB&#10;AADyBQAAAAA=&#10;">
                        <v:fill on="f" focussize="0,0"/>
                        <v:stroke weight="0.5pt" color="#000000 [3204]" joinstyle="round"/>
                        <v:imagedata o:title=""/>
                        <o:lock v:ext="edit" aspectratio="f"/>
                        <v:textbox>
                          <w:txbxContent>
                            <w:p w14:paraId="5905EB43">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提升机</w:t>
                              </w:r>
                            </w:p>
                          </w:txbxContent>
                        </v:textbox>
                      </v:shape>
                      <v:shape id="_x0000_s1026" o:spid="_x0000_s1026" o:spt="202" type="#_x0000_t202" style="position:absolute;left:1721485;top:2163445;height:336550;width:476885;" filled="f" stroked="t" coordsize="21600,21600" o:gfxdata="UEsDBAoAAAAAAIdO4kAAAAAAAAAAAAAAAAAEAAAAZHJzL1BLAwQUAAAACACHTuJA+cIlY9cAAAAF&#10;AQAADwAAAGRycy9kb3ducmV2LnhtbE2PzU7DMBCE70h9B2uRuFE7Qf1RiNNDRQ9ICIkWUY5OvMQR&#10;9jrEblr69Lhc4LLSaEYz35ark7NsxCF0niRkUwEMqfG6o1bC625zuwQWoiKtrCeU8I0BVtXkqlSF&#10;9kd6wXEbW5ZKKBRKgomxLzgPjUGnwtT3SMn78INTMcmh5XpQx1TuLM+FmHOnOkoLRvW4Nth8bg9O&#10;wtPb/uth8/wu9ljbbjbahXk811LeXGfiHljEU/wLwwU/oUOVmGp/IB2YlZAeib83ecssnwOrJczu&#10;8gXwquT/6asfUEsDBBQAAAAIAIdO4kANCA73XQIAAJsEAAAOAAAAZHJzL2Uyb0RvYy54bWytVM1u&#10;EzEQviPxDpbvZPOzSUqUTRUSBSFVtFJBnB2vN2the4ztZLc8ALwBJy7cea4+B2Nv0kaFQw9cnPnL&#10;NzPfzOz8stWKHITzEkxBB70+JcJwKKXZFfTjh82rC0p8YKZkCowo6J3w9HLx8sW8sTMxhBpUKRxB&#10;EONnjS1oHYKdZZnntdDM98AKg84KnGYBVbfLSscaRNcqG/b7k6wBV1oHXHiP1nXnpEdE9xxAqCrJ&#10;xRr4XgsTOlQnFAvYkq+l9XSRqq0qwcN1VXkRiCoodhrSi0lQ3sY3W8zZbOeYrSU/lsCeU8KTnjST&#10;BpM+QK1ZYGTv5F9QWnIHHqrQ46CzrpHECHYx6D/h5rZmVqRekGpvH0j3/w+Wvz/cOCLLgk4nlBim&#10;ceL3P77f//x9/+sbQRsS1Fg/w7hbi5GhfQMtrs3J7tEY+24rp+MvdkSifzoc5BdjSu4KOhxMRnk+&#10;7qgWbSAcA/Lp5CL6OQaMRpPxOI0iewSyzoe3AjSJQkEdTjIRzA5XPmBRGHoKiXkNbKRSaZrKkKag&#10;kxFCRo8HJcvojEr8y0o5cmC4D1vF+OdYFmKdRaGmDBpj2117UQrttj1ysYXyDqlw0G2Tt3wjEfeK&#10;+XDDHK4PLhceWLjGp1KAxcBRoqQG9/Vf9hiPU0UvJQ2uY0H9lz1zghL1zuC8Xw/yPO5vUvLxdIiK&#10;O/dszz1mr1eAHQ7wlC1PYowP6iRWDvQnvMNlzIouZjjmLmg4iavQHQneMRfLZQrCjbUsXJlbyyN0&#10;R/tyH6CSaSKRpo6bI3u4s4nc433FozjXU9TjN2Xx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nC&#10;JWPXAAAABQEAAA8AAAAAAAAAAQAgAAAAIgAAAGRycy9kb3ducmV2LnhtbFBLAQIUABQAAAAIAIdO&#10;4kANCA73XQIAAJsEAAAOAAAAAAAAAAEAIAAAACYBAABkcnMvZTJvRG9jLnhtbFBLBQYAAAAABgAG&#10;AFkBAAD1BQAAAAA=&#10;">
                        <v:fill on="f" focussize="0,0"/>
                        <v:stroke weight="0.5pt" color="#000000 [3204]" joinstyle="round"/>
                        <v:imagedata o:title=""/>
                        <o:lock v:ext="edit" aspectratio="f"/>
                        <v:textbox>
                          <w:txbxContent>
                            <w:p w14:paraId="66B445FA">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封闭给料设备</w:t>
                              </w:r>
                            </w:p>
                          </w:txbxContent>
                        </v:textbox>
                      </v:shape>
                      <v:shape id="_x0000_s1026" o:spid="_x0000_s1026" o:spt="202" type="#_x0000_t202" style="position:absolute;left:2417445;top:2623185;height:207010;width:667385;" filled="f" stroked="t" coordsize="21600,21600" o:gfxdata="UEsDBAoAAAAAAIdO4kAAAAAAAAAAAAAAAAAEAAAAZHJzL1BLAwQUAAAACACHTuJA+cIlY9cAAAAF&#10;AQAADwAAAGRycy9kb3ducmV2LnhtbE2PzU7DMBCE70h9B2uRuFE7Qf1RiNNDRQ9ICIkWUY5OvMQR&#10;9jrEblr69Lhc4LLSaEYz35ark7NsxCF0niRkUwEMqfG6o1bC625zuwQWoiKtrCeU8I0BVtXkqlSF&#10;9kd6wXEbW5ZKKBRKgomxLzgPjUGnwtT3SMn78INTMcmh5XpQx1TuLM+FmHOnOkoLRvW4Nth8bg9O&#10;wtPb/uth8/wu9ljbbjbahXk811LeXGfiHljEU/wLwwU/oUOVmGp/IB2YlZAeib83ecssnwOrJczu&#10;8gXwquT/6asfUEsDBBQAAAAIAIdO4kD/Olb+WgIAAJsEAAAOAAAAZHJzL2Uyb0RvYy54bWytVM1u&#10;EzEQviPxDpbvZPOfEmVThVRFSBWtFBBnx+vNWtgeYzvZLQ8Ab8CJC3eeK8/B2Ltpo8KhBy7O2PPt&#10;zHzfzGRx2WhFDsJ5CSang16fEmE4FNLscvrxw/WrC0p8YKZgCozI6b3w9HL58sWitnMxhApUIRzB&#10;IMbPa5vTKgQ7zzLPK6GZ74EVBp0lOM0CXt0uKxyrMbpW2bDfn2Y1uMI64MJ7fL1qnbSL6J4TEMpS&#10;cnEFfK+FCW1UJxQLSMlX0nq6TNWWpeDhtiy9CETlFJmGdGIStLfxzJYLNt85ZivJuxLYc0p4wkkz&#10;aTDpQ6grFhjZO/lXKC25Aw9l6HHQWUskKYIsBv0n2mwqZkXiglJ7+yC6/39h+fvDnSOyyOlsRolh&#10;Gjt+/PH9+PP38dc3gm8oUG39HHEbi8jQvIEGx+b07vEx8m5Kp+MvMiLoH44Hs/F4Qsk92tPhaHAx&#10;aaUWTSAcAdPpbIRvhEdAf4bcoz97DGSdD28FaBKNnDrsZBKYHW58aKEnSMxr4FoqlbqpDKkxwWjS&#10;Tx94ULKIzgiLn6yVIweG87BVjH/u0p6hsAhlsJZIu6UXrdBsm06LLRT3KIWDdpq85dcS494wH+6Y&#10;w/HB4cIFC7d4lAqwGOgsSipwX//1HvHYVfRSUuM45tR/2TMnKFHvDPb79WA8jvObLuPJbIgXd+7Z&#10;nnvMXq8BGQ5wlS1PZsQHdTJLB/oT7uEqZkUXMxxz5zSczHVolwT3mIvVKoFwYi0LN2ZjeQzdyr7a&#10;Byhl6kiUqdWmUw9nNvW026+4FOf3hHr8T1n+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nCJWPX&#10;AAAABQEAAA8AAAAAAAAAAQAgAAAAIgAAAGRycy9kb3ducmV2LnhtbFBLAQIUABQAAAAIAIdO4kD/&#10;Olb+WgIAAJsEAAAOAAAAAAAAAAEAIAAAACYBAABkcnMvZTJvRG9jLnhtbFBLBQYAAAAABgAGAFkB&#10;AADyBQAAAAA=&#10;">
                        <v:fill on="f" focussize="0,0"/>
                        <v:stroke weight="0.5pt" color="#000000 [3204]" joinstyle="round"/>
                        <v:imagedata o:title=""/>
                        <o:lock v:ext="edit" aspectratio="f"/>
                        <v:textbox>
                          <w:txbxContent>
                            <w:p w14:paraId="1D01BD3A">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燃气热风炉</w:t>
                              </w:r>
                            </w:p>
                          </w:txbxContent>
                        </v:textbox>
                      </v:shape>
                      <v:shape id="_x0000_s1026" o:spid="_x0000_s1026" o:spt="202" type="#_x0000_t202" style="position:absolute;left:2407920;top:2221865;height:219710;width:695325;" filled="f" stroked="t" coordsize="21600,21600" o:gfxdata="UEsDBAoAAAAAAIdO4kAAAAAAAAAAAAAAAAAEAAAAZHJzL1BLAwQUAAAACACHTuJA+cIlY9cAAAAF&#10;AQAADwAAAGRycy9kb3ducmV2LnhtbE2PzU7DMBCE70h9B2uRuFE7Qf1RiNNDRQ9ICIkWUY5OvMQR&#10;9jrEblr69Lhc4LLSaEYz35ark7NsxCF0niRkUwEMqfG6o1bC625zuwQWoiKtrCeU8I0BVtXkqlSF&#10;9kd6wXEbW5ZKKBRKgomxLzgPjUGnwtT3SMn78INTMcmh5XpQx1TuLM+FmHOnOkoLRvW4Nth8bg9O&#10;wtPb/uth8/wu9ljbbjbahXk811LeXGfiHljEU/wLwwU/oUOVmGp/IB2YlZAeib83ecssnwOrJczu&#10;8gXwquT/6asfUEsDBBQAAAAIAIdO4kDg1pJtXgIAAJsEAAAOAAAAZHJzL2Uyb0RvYy54bWytVMFu&#10;EzEQvSPxD5bvdLPbpGmibqrQqgipopUK4ux4vV0Lr21sJ7vlA+gfcOLCne/qd/DsTdqocOiBizP2&#10;vH0z82YmJ6d9q8hGOC+NLml+MKJEaG4qqW9L+unjxZtjSnxgumLKaFHSO+Hp6eL1q5POzkVhGqMq&#10;4QhItJ93tqRNCHaeZZ43omX+wFih4ayNa1nA1d1mlWMd2FuVFaPRUdYZV1lnuPAer+eDk24Z3UsI&#10;TV1LLs4NX7dCh4HVCcUCSvKNtJ4uUrZ1LXi4qmsvAlElRaUhnQgCexXPbHHC5reO2UbybQrsJSk8&#10;q6llUiPoI9U5C4ysnfyLqpXcGW/qcMBNmw2FJEVQRT56ps1Nw6xItUBqbx9F9/+Pln/YXDsiq5JO&#10;0XfNWnT84cf9w8/fD7++E7xBoM76OXA3FsjQvzU9xmb37vEY6+5r18ZfVETgL8aj6ayAyHewiyI/&#10;PpoMUos+EA7A0WxyWEwo4RGQz6Z5akX2RGSdD++EaUk0SurQySQw21z6gKQA3UFiXG0upFKpm0qT&#10;DgEOJ6P0gTdKVtEZYfGTM+XIhmEeVorxLzEtcO2hcFMaj7HsobxohX7Vb7VYmeoOUjgzTJO3/EKC&#10;95L5cM0cxgd1Y8HCFY5aGSRjthYljXHf/vUe8egqvJR0GMeS+q9r5gQl6r1Gv2f5eBznN13Gk2nU&#10;1u17VvsevW7PDCrMscqWJzPig9qZtTPtZ+zhMkaFi2mO2CUNO/MsDEuCPeZiuUwgTKxl4VLfWB6p&#10;B9mX62BqmToSZRq02aqHmU3ibvcrLsX+PaGe/lM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5&#10;wiVj1wAAAAUBAAAPAAAAAAAAAAEAIAAAACIAAABkcnMvZG93bnJldi54bWxQSwECFAAUAAAACACH&#10;TuJA4NaSbV4CAACbBAAADgAAAAAAAAABACAAAAAmAQAAZHJzL2Uyb0RvYy54bWxQSwUGAAAAAAYA&#10;BgBZAQAA9gUAAAAA&#10;">
                        <v:fill on="f" focussize="0,0"/>
                        <v:stroke weight="0.5pt" color="#000000 [3204]" joinstyle="round"/>
                        <v:imagedata o:title=""/>
                        <o:lock v:ext="edit" aspectratio="f"/>
                        <v:textbox>
                          <w:txbxContent>
                            <w:p w14:paraId="3F651034">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立式磨煤机</w:t>
                              </w:r>
                            </w:p>
                          </w:txbxContent>
                        </v:textbox>
                      </v:shape>
                      <v:shape id="_x0000_s1026" o:spid="_x0000_s1026" o:spt="202" type="#_x0000_t202" style="position:absolute;left:4484370;top:1719580;height:207010;width:675640;" filled="f" stroked="t" coordsize="21600,21600" o:gfxdata="UEsDBAoAAAAAAIdO4kAAAAAAAAAAAAAAAAAEAAAAZHJzL1BLAwQUAAAACACHTuJA+cIlY9cAAAAF&#10;AQAADwAAAGRycy9kb3ducmV2LnhtbE2PzU7DMBCE70h9B2uRuFE7Qf1RiNNDRQ9ICIkWUY5OvMQR&#10;9jrEblr69Lhc4LLSaEYz35ark7NsxCF0niRkUwEMqfG6o1bC625zuwQWoiKtrCeU8I0BVtXkqlSF&#10;9kd6wXEbW5ZKKBRKgomxLzgPjUGnwtT3SMn78INTMcmh5XpQx1TuLM+FmHOnOkoLRvW4Nth8bg9O&#10;wtPb/uth8/wu9ljbbjbahXk811LeXGfiHljEU/wLwwU/oUOVmGp/IB2YlZAeib83ecssnwOrJczu&#10;8gXwquT/6asfUEsDBBQAAAAIAIdO4kCs3RKRWgIAAJsEAAAOAAAAZHJzL2Uyb0RvYy54bWytVM1u&#10;EzEQviPxDpbvdJOQNG3UTRVaFSFVtFJBnB2vt2vhP2wnu+UB4A04ceHOc/U5+OzdtFHh0AMXZ+z5&#10;dma+b2ZyctppRbbCB2lNSccHI0qE4baS5rakHz9cvDqiJERmKqasESW9E4GeLl++OGndQkxsY1Ul&#10;PEEQExatK2kTo1sUReCN0CwcWCcMnLX1mkVc/W1RedYiulbFZDQ6LFrrK+ctFyHg9bx30iGif05A&#10;W9eSi3PLN1qY2Ef1QrEISqGRLtBlrrauBY9XdR1EJKqkYBrziSSw1+kslidsceuZayQfSmDPKeEJ&#10;J82kQdKHUOcsMrLx8q9QWnJvg63jAbe66IlkRcBiPHqizU3DnMhcIHVwD6KH/xeWv99eeyKrks6P&#10;KTFMo+P3P77f//x9/+sbwRsEal1YAHfjgIzdG9thbHbvAY+Jd1d7nX7BiMA/nR5NX88h8h2w8/Hx&#10;7GiQWnSRcAAO57PDKfwcgMloDu4pYvEYyPkQ3wqrSTJK6tHJLDDbXobYQ3eQlNfYC6lU7qYypEWC&#10;17NR/iBYJavkTLD0yZnyZMswD2vF+Och7R4KRSiDWhLtnl6yYrfuBi3WtrqDFN720xQcv5CIe8lC&#10;vGYe4wNeWLB4haNWFsXYwaKksf7rv94THl2Fl5IW41jS8GXDvKBEvTPo9/F4muSK+TKdzSe4+H3P&#10;et9jNvrMguEYq+x4NhM+qp1Ze6s/YQ9XKStczHDkLmncmWexXxLsMRerVQZhYh2Ll+bG8RS6l321&#10;ibaWuSNJpl6bQT3MbO7psF9pKfbvGfX4n7L8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nCJWPX&#10;AAAABQEAAA8AAAAAAAAAAQAgAAAAIgAAAGRycy9kb3ducmV2LnhtbFBLAQIUABQAAAAIAIdO4kCs&#10;3RKRWgIAAJsEAAAOAAAAAAAAAAEAIAAAACYBAABkcnMvZTJvRG9jLnhtbFBLBQYAAAAABgAGAFkB&#10;AADyBQAAAAA=&#10;">
                        <v:fill on="f" focussize="0,0"/>
                        <v:stroke weight="0.5pt" color="#000000 [3204]" joinstyle="round"/>
                        <v:imagedata o:title=""/>
                        <o:lock v:ext="edit" aspectratio="f"/>
                        <v:textbox>
                          <w:txbxContent>
                            <w:p w14:paraId="270D3023">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煤粉成品仓</w:t>
                              </w:r>
                            </w:p>
                          </w:txbxContent>
                        </v:textbox>
                      </v:shape>
                      <v:shape id="_x0000_s1026" o:spid="_x0000_s1026" o:spt="202" type="#_x0000_t202" style="position:absolute;left:4575175;top:1071880;height:351155;width:502285;" filled="f" stroked="t" coordsize="21600,21600" o:gfxdata="UEsDBAoAAAAAAIdO4kAAAAAAAAAAAAAAAAAEAAAAZHJzL1BLAwQUAAAACACHTuJA+cIlY9cAAAAF&#10;AQAADwAAAGRycy9kb3ducmV2LnhtbE2PzU7DMBCE70h9B2uRuFE7Qf1RiNNDRQ9ICIkWUY5OvMQR&#10;9jrEblr69Lhc4LLSaEYz35ark7NsxCF0niRkUwEMqfG6o1bC625zuwQWoiKtrCeU8I0BVtXkqlSF&#10;9kd6wXEbW5ZKKBRKgomxLzgPjUGnwtT3SMn78INTMcmh5XpQx1TuLM+FmHOnOkoLRvW4Nth8bg9O&#10;wtPb/uth8/wu9ljbbjbahXk811LeXGfiHljEU/wLwwU/oUOVmGp/IB2YlZAeib83ecssnwOrJczu&#10;8gXwquT/6asfUEsDBBQAAAAIAIdO4kATr1uVWwIAAJsEAAAOAAAAZHJzL2Uyb0RvYy54bWytVMFu&#10;EzEQvSPxD5bvdHfTbBuibqqQqgipopUK4ux4vV0L22NsJ7vlA+APOHHhznflOxh7N21UOPTAxRl7&#10;3r6ZeTOTs/NeK7IVzkswFS2OckqE4VBLc1fRjx8uX80o8YGZmikwoqL3wtPzxcsXZ52diwm0oGrh&#10;CJIYP+9sRdsQ7DzLPG+FZv4IrDDobMBpFvDq7rLasQ7ZtcomeX6SdeBq64AL7/H1YnDSkdE9hxCa&#10;RnJxAXyjhQkDqxOKBSzJt9J6ukjZNo3g4bppvAhEVRQrDenEIGiv45ktztj8zjHbSj6mwJ6TwpOa&#10;NJMGgz5QXbDAyMbJv6i05A48NOGIg86GQpIiWEWRP9HmtmVWpFpQam8fRPf/j5a/3944IuuKzlAS&#10;wzR2fPfj++7n792vbwTfUKDO+jnibi0iQ/8Gehyb/bvHx1h33zgdf7Eigv5peVoWpyUl94jNT4vZ&#10;wMTmog+EI6DMJ5MZ+jkCjsuiKMvImD0SWefDWwGaRKOiDjuZBGbbKx8G6B4S4xq4lEqlbipDuoqe&#10;HJd5+sCDknV0Rlj8ZKUc2TKch7Vi/PMY9gCFSSiDucSyh/KiFfp1P2qxhvoepXAwTJO3/FIi7xXz&#10;4YY5HB9UEhcsXOPRKMBkYLQoacF9/dd7xGNX0UtJh+NYUf9lw5ygRL0z2O/XxXQa5zddUN0JXtyh&#10;Z33oMRu9AqywwFW2PJkRH9TebBzoT7iHyxgVXcxwjF3RsDdXYVgS3GMulssEwom1LFyZW8sj9SD7&#10;chOgkakjUaZBm1E9nNnU03G/4lIc3hPq8T9l8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5wiVj&#10;1wAAAAUBAAAPAAAAAAAAAAEAIAAAACIAAABkcnMvZG93bnJldi54bWxQSwECFAAUAAAACACHTuJA&#10;E69blVsCAACbBAAADgAAAAAAAAABACAAAAAmAQAAZHJzL2Uyb0RvYy54bWxQSwUGAAAAAAYABgBZ&#10;AQAA8wUAAAAA&#10;">
                        <v:fill on="f" focussize="0,0"/>
                        <v:stroke weight="0.5pt" color="#000000 [3204]" joinstyle="round"/>
                        <v:imagedata o:title=""/>
                        <o:lock v:ext="edit" aspectratio="f"/>
                        <v:textbox>
                          <w:txbxContent>
                            <w:p w14:paraId="2637FD84">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气力输送装置</w:t>
                              </w:r>
                            </w:p>
                          </w:txbxContent>
                        </v:textbox>
                      </v:shape>
                      <v:shape id="_x0000_s1026" o:spid="_x0000_s1026" o:spt="202" type="#_x0000_t202" style="position:absolute;left:3977005;top:1087120;height:330835;width:485140;" filled="f" stroked="t" coordsize="21600,21600" o:gfxdata="UEsDBAoAAAAAAIdO4kAAAAAAAAAAAAAAAAAEAAAAZHJzL1BLAwQUAAAACACHTuJA+cIlY9cAAAAF&#10;AQAADwAAAGRycy9kb3ducmV2LnhtbE2PzU7DMBCE70h9B2uRuFE7Qf1RiNNDRQ9ICIkWUY5OvMQR&#10;9jrEblr69Lhc4LLSaEYz35ark7NsxCF0niRkUwEMqfG6o1bC625zuwQWoiKtrCeU8I0BVtXkqlSF&#10;9kd6wXEbW5ZKKBRKgomxLzgPjUGnwtT3SMn78INTMcmh5XpQx1TuLM+FmHOnOkoLRvW4Nth8bg9O&#10;wtPb/uth8/wu9ljbbjbahXk811LeXGfiHljEU/wLwwU/oUOVmGp/IB2YlZAeib83ecssnwOrJczu&#10;8gXwquT/6asfUEsDBBQAAAAIAIdO4kAGt/r0XAIAAJsEAAAOAAAAZHJzL2Uyb0RvYy54bWytVMFu&#10;EzEQvSPxD5bvZDdN0qRRN1VoVYRU0UoBcXa83q6F7TG2k93wAfQPOHHhznflOxh7N21UOPTAxRl7&#10;3r6ZeTOT84tWK7IVzkswBR0OckqE4VBKc1/QTx+v38wo8YGZkikwoqA74enF4vWr88bOxQnUoErh&#10;CJIYP29sQesQ7DzLPK+FZn4AVhh0VuA0C3h191npWIPsWmUneX6aNeBK64AL7/H1qnPSntG9hBCq&#10;SnJxBXyjhQkdqxOKBSzJ19J6ukjZVpXg4baqvAhEFRQrDenEIGiv45ktztn83jFbS96nwF6SwrOa&#10;NJMGgz5SXbHAyMbJv6i05A48VGHAQWddIUkRrGKYP9NmVTMrUi0otbePovv/R8s/bO8ckWVBZ0NK&#10;DNPY8f2Ph/3P3/tf3wm+oUCN9XPErSwiQ/sWWhybw7vHx1h3Wzkdf7Eigv7R2XSa5xNKdojNZ9Ph&#10;SS+1aAPhCBjPJsMxNoEjYDTKZ6NJZMyeiKzz4Z0ATaJRUIedTAKz7Y0PHfQAiXENXEulUjeVIU1B&#10;T0eTPH3gQckyOiMsfnKpHNkynIe1YvxLH/YIhUkog7nEsrvyohXaddtrsYZyh1I46KbJW34tkfeG&#10;+XDHHI4P1oULFm7xqBRgMtBblNTgvv3rPeKxq+ilpMFxLKj/umFOUKLeG+z32XAc5QrpMp5MUU/i&#10;jj3rY4/Z6EvACrGlmF0yIz6og1k50J9xD5cxKrqY4Ri7oOFgXoZuSXCPuVguEwgn1rJwY1aWR+pO&#10;9uUmQCVTR6JMnTa9ejizqaf9fsWlOL4n1NN/yu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Il&#10;Y9cAAAAFAQAADwAAAAAAAAABACAAAAAiAAAAZHJzL2Rvd25yZXYueG1sUEsBAhQAFAAAAAgAh07i&#10;QAa3+vRcAgAAmwQAAA4AAAAAAAAAAQAgAAAAJgEAAGRycy9lMm9Eb2MueG1sUEsFBgAAAAAGAAYA&#10;WQEAAPQFAAAAAA==&#10;">
                        <v:fill on="f" focussize="0,0"/>
                        <v:stroke weight="0.5pt" color="#000000 [3204]" joinstyle="round"/>
                        <v:imagedata o:title=""/>
                        <o:lock v:ext="edit" aspectratio="f"/>
                        <v:textbox>
                          <w:txbxContent>
                            <w:p w14:paraId="0E5C582C">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螺旋输送机</w:t>
                              </w:r>
                            </w:p>
                          </w:txbxContent>
                        </v:textbox>
                      </v:shape>
                      <v:shape id="_x0000_s1026" o:spid="_x0000_s1026" o:spt="202" type="#_x0000_t202" style="position:absolute;left:421005;top:2785110;height:220345;width:503555;" filled="f" stroked="t" coordsize="21600,21600" o:gfxdata="UEsDBAoAAAAAAIdO4kAAAAAAAAAAAAAAAAAEAAAAZHJzL1BLAwQUAAAACACHTuJA+cIlY9cAAAAF&#10;AQAADwAAAGRycy9kb3ducmV2LnhtbE2PzU7DMBCE70h9B2uRuFE7Qf1RiNNDRQ9ICIkWUY5OvMQR&#10;9jrEblr69Lhc4LLSaEYz35ark7NsxCF0niRkUwEMqfG6o1bC625zuwQWoiKtrCeU8I0BVtXkqlSF&#10;9kd6wXEbW5ZKKBRKgomxLzgPjUGnwtT3SMn78INTMcmh5XpQx1TuLM+FmHOnOkoLRvW4Nth8bg9O&#10;wtPb/uth8/wu9ljbbjbahXk811LeXGfiHljEU/wLwwU/oUOVmGp/IB2YlZAeib83ecssnwOrJczu&#10;8gXwquT/6asfUEsDBBQAAAAIAIdO4kD/QylfWwIAAJoEAAAOAAAAZHJzL2Uyb0RvYy54bWytVM1u&#10;EzEQviPxDpbvdH+abUPUTRVaFSFVtFJBnB2vt2the4ztZLc8ALwBJy7cea4+B2Pvpo0Khx64OGPP&#10;t9/MfDOTk9NBK7IVzkswNS0OckqE4dBIc1vTjx8uXs0p8YGZhikwoqZ3wtPT5csXJ71diBI6UI1w&#10;BEmMX/S2pl0IdpFlnndCM38AVhh0tuA0C3h1t1njWI/sWmVlnh9lPbjGOuDCe3w9H510YnTPIYS2&#10;lVycA99oYcLI6oRiAUvynbSeLlO2bSt4uGpbLwJRNcVKQzoxCNrreGbLE7a4dcx2kk8psOek8KQm&#10;zaTBoA9U5ywwsnHyLyotuQMPbTjgoLOxkKQIVlHkT7S56ZgVqRaU2tsH0f3/o+Xvt9eOyKam85IS&#10;wzR2/P7H9/ufv+9/fSP4hgL11i8Qd2MRGYY3MODY7N49Psa6h9bp+IsVEfTPyiLPK0rualoez6ui&#10;mJQWQyAc/VV+WFXo5xFQ5oezKhJmjzzW+fBWgCbRqKnDRiZ92fbShxG6g8SwBi6kUqmZypC+pkeH&#10;VZ4+8KBkE50RFj85U45sGY7DWjH+eQq7h8IklMFcYtVjddEKw3qYpFhDc4dKOBiHyVt+IZH3kvlw&#10;zRxOD84W7le4wqNVgMnAZFHSgfv6r/eIx6ail5Iep7Gm/suGOUGJemew3a+L2SyOb7rMquMSL27f&#10;s973mI0+A6ywwE22PJkRH9TObB3oT7iGqxgVXcxwjF3TsDPPwrgjuMZcrFYJhANrWbg0N5ZH6lH2&#10;1SZAK1NHokyjNpN6OLKpp9N6xZ3YvyfU41/K8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5wiVj&#10;1wAAAAUBAAAPAAAAAAAAAAEAIAAAACIAAABkcnMvZG93bnJldi54bWxQSwECFAAUAAAACACHTuJA&#10;/0MpX1sCAACaBAAADgAAAAAAAAABACAAAAAmAQAAZHJzL2Uyb0RvYy54bWxQSwUGAAAAAAYABgBZ&#10;AQAA8wUAAAAA&#10;">
                        <v:fill on="f" focussize="0,0"/>
                        <v:stroke weight="0.5pt" color="#000000 [3204]" joinstyle="round"/>
                        <v:imagedata o:title=""/>
                        <o:lock v:ext="edit" aspectratio="f"/>
                        <v:textbox>
                          <w:txbxContent>
                            <w:p w14:paraId="53BED64E">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原料斗</w:t>
                              </w:r>
                            </w:p>
                          </w:txbxContent>
                        </v:textbox>
                      </v:shape>
                      <v:shape id="_x0000_s1026" o:spid="_x0000_s1026" o:spt="202" type="#_x0000_t202" style="position:absolute;left:415290;top:3159760;height:220345;width:503555;" filled="f" stroked="f" coordsize="21600,21600" o:gfxdata="UEsDBAoAAAAAAIdO4kAAAAAAAAAAAAAAAAAEAAAAZHJzL1BLAwQUAAAACACHTuJAmOWdr9cAAAAF&#10;AQAADwAAAGRycy9kb3ducmV2LnhtbE2PT0vDQBDF74LfYRnBW7tJpDXEbIoEiiB6aO3F2yQ7TYK7&#10;szG7/aOf3q0XvQw83uO935SrszXiSJMfHCtI5wkI4tbpgTsFu7f1LAfhA7JG45gUfJGHVXV9VWKh&#10;3Yk3dNyGTsQS9gUq6EMYCyl925NFP3cjcfT2brIYopw6qSc8xXJrZJYkS2lx4LjQ40h1T+3H9mAV&#10;PNfrV9w0mc2/Tf30sn8cP3fvC6Vub9LkAUSgc/gLwwU/okMVmRp3YO2FURAfCb83enmaLUE0ChZ3&#10;2T3IqpT/6asfUEsDBBQAAAAIAIdO4kBNj63NSAIAAHIEAAAOAAAAZHJzL2Uyb0RvYy54bWytVEtu&#10;2zAQ3RfoHQjua31s5WNEDtwEKQoYTYC06JqmKEsAyWFJ2pJ7gPYGXXXTfc+Vc3RIyYmRdpFFN/Rw&#10;ZvyG782MLi57JclOWNeCLmk2SSkRmkPV6k1JP328eXNGifNMV0yCFiXdC0cvF69fXXRmLnJoQFbC&#10;EgTRbt6Zkjbem3mSON4IxdwEjNAYrMEq5vFqN0llWYfoSiZ5mp4kHdjKWODCOfReD0E6ItqXAEJd&#10;t1xcA98qof2AaoVkHim5pjWOLuJr61pwf1vXTngiS4pMfTyxCNrrcCaLCzbfWGaalo9PYC95wjNO&#10;irUaiz5CXTPPyNa2f0GplltwUPsJB5UMRKIiyCJLn2lz3zAjIheU2plH0d3/g+UfdneWtFVJz6aU&#10;aKaw4w8/vj/8/P3w6xtBHwrUGTfHvHuDmb5/Cz2OzcHv0Bl497VV4RcZEYzPsiI/R433JZ1mxfnp&#10;yai06D3hGC/SaVEUlHBMyPN0OisCYPKEY6zz7wQoEoySWmxk1JftVs4PqYeUUFbDTStlbKbUpCvp&#10;ybRI4x8eIwguNdYIbIZXB8v3636kuIZqjwwtDEPiDL9psfiKOX/HLE4F8sG98bd41BKwCIwWJQ3Y&#10;r//yh3xsFkYp6XDKSuq+bJkVlMj3Gtt4ns1mYSzjZVac5nixx5H1cURv1RXgIGe4oYZHM+R7eTBr&#10;C+ozrtcyVMUQ0xxrl9QfzCs/zD6uJxfLZUzCQTTMr/S94QF6kHO59VC3Uekg06DNqB6OYuzVuDZh&#10;1o/vMevpU7H4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jlna/XAAAABQEAAA8AAAAAAAAAAQAg&#10;AAAAIgAAAGRycy9kb3ducmV2LnhtbFBLAQIUABQAAAAIAIdO4kBNj63NSAIAAHIEAAAOAAAAAAAA&#10;AAEAIAAAACYBAABkcnMvZTJvRG9jLnhtbFBLBQYAAAAABgAGAFkBAADgBQAAAAA=&#10;">
                        <v:fill on="f" focussize="0,0"/>
                        <v:stroke on="f" weight="0.5pt"/>
                        <v:imagedata o:title=""/>
                        <o:lock v:ext="edit" aspectratio="f"/>
                        <v:textbox>
                          <w:txbxContent>
                            <w:p w14:paraId="3DC1335B">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原料煤</w:t>
                              </w:r>
                            </w:p>
                          </w:txbxContent>
                        </v:textbox>
                      </v:shape>
                      <v:shape id="_x0000_s1026" o:spid="_x0000_s1026" o:spt="32" type="#_x0000_t32" style="position:absolute;left:673100;top:2442210;flip:y;height:342900;width:1270;" filled="f" stroked="t" coordsize="21600,21600" o:gfxdata="UEsDBAoAAAAAAIdO4kAAAAAAAAAAAAAAAAAEAAAAZHJzL1BLAwQUAAAACACHTuJA/TMqKdQAAAAF&#10;AQAADwAAAGRycy9kb3ducmV2LnhtbE2PzU6EQBCE7ya+w6RNvLkDGNcVGfZgYmLMXsSfc8O0gDI9&#10;yMyy7NvbetFLJ5WqVH1dbBc3qJmm0Hs2kK4SUMSNtz23Bl6e7y82oEJEtjh4JgNHCrAtT08KzK0/&#10;8BPNVWyVlHDI0UAX45hrHZqOHIaVH4nFe/eTwyhyarWd8CDlbtBZkqy1w55locOR7jpqPqu9MzBT&#10;/fqwi8tN+Fj4jb921dE/Vsacn6XJLahIS/wLww++oEMpTLXfsw1qMCCPxN8r3ibN1qBqA1eX2TXo&#10;stD/6ctvUEsDBBQAAAAIAIdO4kCOs8dcMgIAADUEAAAOAAAAZHJzL2Uyb0RvYy54bWytU82O0zAQ&#10;viPxDpbvNE22bJeo6R5alguCSvzcp46TWPKfbG/TvgQvgMQJOAGnvfM0sDwGYydb2OWyB3Jwxv5m&#10;vpn5PF6c75UkO+68MLqi+WRKCdfM1EK3FX3z+uLRGSU+gK5BGs0reuCeni8fPlj0tuSF6YysuSNI&#10;on3Z24p2IdgyyzzruAI/MZZrBBvjFATcujarHfTIrmRWTKenWW9cbZ1h3Hs8XQ8gHRndfQhN0wjG&#10;14ZdKq7DwOq4hIAt+U5YT5ep2qbhLLxsGs8DkRXFTkNaMQna27hmywWUrQPbCTaWAPcp4U5PCoTG&#10;pEeqNQQgl078Q6UEc8abJkyYUdnQSFIEu8ind7R51YHlqReU2tuj6P7/0bIXu40joq7o2YwSDQpv&#10;/Pr91c93n66/ff3x8erX9w/R/vKZII5i9daXGLPSGxfb9WG110N4QfG/P2rKdX0DzZE5QUVkyG5R&#10;xI23A9m+cYo0Uti3OJdJTdSHIOXp/CSf4o0dKlrMZkWRj/fG94EwxPNijihD+GRWPEHPmAbKyBeL&#10;tM6HZ9woEo2K+uBAtF1YGa1xPowbcsHuuQ9D4E1ADNbmQkiJ51BKTXpMkc8fYzLA0W9w5NBUFuXz&#10;uqUEZItvigWXqvdGijpGJ6Vcu11JR3YQJzF9Y5m33GLqNfhu8EtQdIMygJBPdU3CweIVBSdAt5LT&#10;WJFXlEiOidEYGpB61HmQNoq8NfVh4yIcdzhNSaJx8uO4/r1PXn9e+/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MqKdQAAAAFAQAADwAAAAAAAAABACAAAAAiAAAAZHJzL2Rvd25yZXYueG1sUEsB&#10;AhQAFAAAAAgAh07iQI6zx1wyAgAANQQAAA4AAAAAAAAAAQAgAAAAIwEAAGRycy9lMm9Eb2MueG1s&#10;UEsFBgAAAAAGAAYAWQEAAMcFAAAAAA==&#10;">
                        <v:fill on="f" focussize="0,0"/>
                        <v:stroke weight="0.25pt" color="#000000 [3213]" joinstyle="round" endarrow="block" endarrowwidth="narrow" endarrowlength="short"/>
                        <v:imagedata o:title=""/>
                        <o:lock v:ext="edit" aspectratio="f"/>
                      </v:shape>
                      <v:shape id="_x0000_s1026" o:spid="_x0000_s1026" o:spt="32" type="#_x0000_t32" style="position:absolute;left:3866515;top:1252855;flip:y;height:1905;width:110490;" filled="f" stroked="t" coordsize="21600,21600" o:gfxdata="UEsDBAoAAAAAAIdO4kAAAAAAAAAAAAAAAAAEAAAAZHJzL1BLAwQUAAAACACHTuJA/TMqKdQAAAAF&#10;AQAADwAAAGRycy9kb3ducmV2LnhtbE2PzU6EQBCE7ya+w6RNvLkDGNcVGfZgYmLMXsSfc8O0gDI9&#10;yMyy7NvbetFLJ5WqVH1dbBc3qJmm0Hs2kK4SUMSNtz23Bl6e7y82oEJEtjh4JgNHCrAtT08KzK0/&#10;8BPNVWyVlHDI0UAX45hrHZqOHIaVH4nFe/eTwyhyarWd8CDlbtBZkqy1w55locOR7jpqPqu9MzBT&#10;/fqwi8tN+Fj4jb921dE/Vsacn6XJLahIS/wLww++oEMpTLXfsw1qMCCPxN8r3ibN1qBqA1eX2TXo&#10;stD/6ctvUEsDBBQAAAAIAIdO4kBshtrWNAIAADYEAAAOAAAAZHJzL2Uyb0RvYy54bWytU8ty0zAU&#10;3TPDP2i0J45TElJPnS4SyoaBzvDY38qyrRm9RlfN4yf4AWZYAavCqnu+BspncCWnD8qmC7Jwrnx1&#10;j845Oj463hrN1jKgcrbm5WjMmbTCNcp2NX/39uTJnDOMYBvQzsqa7yTy48XjR0cbX8mJ651uZGAE&#10;YrHa+Jr3MfqqKFD00gCOnJeWmq0LBiItQ1c0ATaEbnQxGY9nxcaFxgcnJCK9XQ1NvkcMDwF0bauE&#10;XDlxbqSNA2qQGiJJwl555IvMtm2liK/bFmVkuuakNOYnHUL1WXoWiyOougC+V2JPAR5C4Z4mA8rS&#10;oTdQK4jAzoP6B8ooERy6No6EM8UgJDtCKsrxPW/e9OBl1kJWo78xHf8frHi1Pg1MNTWfTzmzYOjG&#10;rz5e/vrw5er7t5+fL3//+JTqi6+M+mTWxmNFM0t7GpJcjMutzePlAaf/bc0PBk+lba5b83LfKlOr&#10;+AsiLdAPYNs2GNZq5d9TLrOb5A9LkPPZbFoSvx01JtPJfJq5QCW3kQnaUJbjp4d0pSJtOBznbgFV&#10;AkwsfcD4QjrDUlFzjAFU18els5YC4sJwGKxfYkwEbwfSsHUnSuucE23ZhtiUz4iKAMp+S5mj0njy&#10;D23HGeiOPioRQ6aPTqsmTWerQne21IGtIUUx/7IdZOLdbYniCrAf9uXWYGgEpZ/bhsWdpzuKQYHt&#10;tOSJERrOtKSDqRgEaLs3evA2uXzmmt1puL4AilNWuo9+yuvddZ6+/dw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9Myop1AAAAAUBAAAPAAAAAAAAAAEAIAAAACIAAABkcnMvZG93bnJldi54bWxQ&#10;SwECFAAUAAAACACHTuJAbIba1jQCAAA2BAAADgAAAAAAAAABACAAAAAjAQAAZHJzL2Uyb0RvYy54&#10;bWxQSwUGAAAAAAYABgBZAQAAyQUAAAAA&#10;">
                        <v:fill on="f" focussize="0,0"/>
                        <v:stroke weight="0.25pt" color="#000000 [3213]" joinstyle="round" endarrow="block" endarrowwidth="narrow" endarrowlength="short"/>
                        <v:imagedata o:title=""/>
                        <o:lock v:ext="edit" aspectratio="f"/>
                      </v:shape>
                      <v:shape id="_x0000_s1026" o:spid="_x0000_s1026" o:spt="32" type="#_x0000_t32" style="position:absolute;left:3030855;top:1254760;flip:y;height:5715;width:99695;" filled="f" stroked="t" coordsize="21600,21600" o:gfxdata="UEsDBAoAAAAAAIdO4kAAAAAAAAAAAAAAAAAEAAAAZHJzL1BLAwQUAAAACACHTuJA/TMqKdQAAAAF&#10;AQAADwAAAGRycy9kb3ducmV2LnhtbE2PzU6EQBCE7ya+w6RNvLkDGNcVGfZgYmLMXsSfc8O0gDI9&#10;yMyy7NvbetFLJ5WqVH1dbBc3qJmm0Hs2kK4SUMSNtz23Bl6e7y82oEJEtjh4JgNHCrAtT08KzK0/&#10;8BPNVWyVlHDI0UAX45hrHZqOHIaVH4nFe/eTwyhyarWd8CDlbtBZkqy1w55locOR7jpqPqu9MzBT&#10;/fqwi8tN+Fj4jb921dE/Vsacn6XJLahIS/wLww++oEMpTLXfsw1qMCCPxN8r3ibN1qBqA1eX2TXo&#10;stD/6ctvUEsDBBQAAAAIAIdO4kCpJes7MQIAADUEAAAOAAAAZHJzL2Uyb0RvYy54bWytU82O0zAQ&#10;viPxDpbvNGm7bbdV0z20LBcElfi5u46TWPKfPN6mfQleAIkTcAJOe+dpYHkMxk7osstlD+SQjPN5&#10;vvnm83h5cdCK7IUHaU1Bh4OcEmG4LaWpC/rm9eWTc0ogMFMyZY0o6FEAvVg9frRs3UKMbGNVKTxB&#10;EgOL1hW0CcEtsgx4IzSDgXXCIFhZr1nApa+z0rMW2bXKRnk+zVrrS+ctFwD4d9OBtGf0DyG0VSW5&#10;2Fh+pYUJHasXigVsCRrpgK6S2qoSPLysKhCBqIJipyG9sQjGu/jOVku2qD1zjeS9BPYQCfd60kwa&#10;LHqi2rDAyJWX/1Bpyb0FW4UBtzrrGkmOYBfD/J43rxrmROoFrQZ3Mh3+Hy1/sd96IsuCnk8pMUzj&#10;id+8v/757tPNt68/Pl7/+v4hxl8+E8TRrNbBAnPWZutjuxDWB5PSh2cUv4eCjjtPhSlP0LiHhhHK&#10;7lDEBbiO7FB5TSol3Vucy+Qm+kMiZT7OzycTSo4IjCZns2l/cOIQCMcN8/l0jjBHfDIbTlIZtoh8&#10;UaTzEJ4Jq0kMCgrBM1k3YW2NwfmwvqvF9s8hRH23CTHZ2EupVBoTZUiLYoazWIrh6Fc4chhqh/aB&#10;qSlhqsY7xYNP6sEqWcbs5JSvd2vlyZ7FSUxPL/POtihxw6Dp9iWo8zMwqZ6akoSjwyMKXjJTK0Gj&#10;ItCUKIGFMegaUKb3ubM2mryz5XHr//iP05Q67Sc/juvf65R9e9t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9Myop1AAAAAUBAAAPAAAAAAAAAAEAIAAAACIAAABkcnMvZG93bnJldi54bWxQSwEC&#10;FAAUAAAACACHTuJAqSXrOzECAAA1BAAADgAAAAAAAAABACAAAAAjAQAAZHJzL2Uyb0RvYy54bWxQ&#10;SwUGAAAAAAYABgBZAQAAxgUAAAAA&#10;">
                        <v:fill on="f" focussize="0,0"/>
                        <v:stroke weight="0.25pt" color="#000000 [3213]" joinstyle="round" endarrow="block" endarrowwidth="narrow" endarrowlength="short"/>
                        <v:imagedata o:title=""/>
                        <o:lock v:ext="edit" aspectratio="f"/>
                      </v:shape>
                      <v:shape id="_x0000_s1026" o:spid="_x0000_s1026" o:spt="32" type="#_x0000_t32" style="position:absolute;left:2779395;top:207010;flip:y;height:257175;width:8890;" filled="f" stroked="t" coordsize="21600,21600" o:gfxdata="UEsDBAoAAAAAAIdO4kAAAAAAAAAAAAAAAAAEAAAAZHJzL1BLAwQUAAAACACHTuJAKTVWL9UAAAAF&#10;AQAADwAAAGRycy9kb3ducmV2LnhtbE2PzU7DMBCE70i8g7VI3KidVG1CyKYHJH4OHKDwAG68JBH2&#10;OoqdtPD0GC5wWWk0o5lv693JWbHQFAbPCNlKgSBuvRm4Q3h7vbsqQYSo2WjrmRA+KcCuOT+rdWX8&#10;kV9o2cdOpBIOlUboYxwrKUPbk9Nh5Ufi5L37yemY5NRJM+ljKndW5kptpdMDp4Vej3TbU/uxnx1C&#10;8WzHJzXfL2bw1w9lsZ4fvzaEeHmRqRsQkU7xLww/+AkdmsR08DObICxCeiT+3uSVWb4FcUDYrPMC&#10;ZFPL//TNN1BLAwQUAAAACACHTuJAJPZH7zACAAA2BAAADgAAAGRycy9lMm9Eb2MueG1srVPNjtMw&#10;EL4j8Q6W7zRtV6Vt1HQPLcsFwUr83F3bSSz5Tx5v074EL4DECTgBp73zNLA8BmOn7bLLZQ/kEI0z&#10;mW/m++bz4nxnNNnKAMrZio4GQ0qk5U4o21T07ZuLJzNKIDIrmHZWVnQvgZ4vHz9adL6UY9c6LWQg&#10;CGKh7HxF2xh9WRTAW2kYDJyXFpO1C4ZFPIamEIF1iG50MR4OnxadC8IHxyUAfl33SXpADA8BdHWt&#10;uFw7fmWkjT1qkJpFpASt8kCXedq6ljy+qmuQkeiKItOY39gE4016F8sFK5vAfKv4YQT2kBHucTJM&#10;WWx6glqzyMhVUP9AGcWDA1fHAXem6IlkRZDFaHhPm9ct8zJzQanBn0SH/wfLX24vA1GiorMpJZYZ&#10;3PjNh+tf7z/ffP/289P17x8fU/z1C8E8itV5KLFmZS9DogtxtbO5fILlSuxOmkorjqljZpwAijsI&#10;6QC+x9rVwZBaK/8ObZnFRHkIIo6n0/nZfELJHuPhFHXq1yZ3kXDMz2ZzXCdP2cl0NJ3kNqxMeGlG&#10;HyA+l86QFFQUYmCqaePKWYv2cKHvxbYvIKb5bgtSsXUXSuvsEm1JV9Gz1IBwhs6v0XEYGo/qgW0o&#10;YbrBK8VjyNOD00qk6ixUaDYrHciWJSPm5zDmnd/SiGsGbf+fwGjtYs82MqWfWUHi3uOOYlDMNlrS&#10;NBMYSrTE1hj0FLQ9KN2Lm2TeOLG/DMcNoJ0y14P1k1//Pufq2+u+/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pNVYv1QAAAAUBAAAPAAAAAAAAAAEAIAAAACIAAABkcnMvZG93bnJldi54bWxQSwEC&#10;FAAUAAAACACHTuJAJPZH7zACAAA2BAAADgAAAAAAAAABACAAAAAkAQAAZHJzL2Uyb0RvYy54bWxQ&#10;SwUGAAAAAAYABgBZAQAAxgUAAAAA&#10;">
                        <v:fill on="f" focussize="0,0"/>
                        <v:stroke weight="0.25pt" color="#000000 [3213]" joinstyle="round" dashstyle="dashDot" endarrow="block" endarrowwidth="narrow" endarrowlength="short"/>
                        <v:imagedata o:title=""/>
                        <o:lock v:ext="edit" aspectratio="f"/>
                      </v:shape>
                      <v:shape id="_x0000_s1026" o:spid="_x0000_s1026" o:spt="32" type="#_x0000_t32" style="position:absolute;left:2767965;top:815975;flip:y;height:269240;width:11430;" filled="f" stroked="t" coordsize="21600,21600" o:gfxdata="UEsDBAoAAAAAAIdO4kAAAAAAAAAAAAAAAAAEAAAAZHJzL1BLAwQUAAAACACHTuJA/TMqKdQAAAAF&#10;AQAADwAAAGRycy9kb3ducmV2LnhtbE2PzU6EQBCE7ya+w6RNvLkDGNcVGfZgYmLMXsSfc8O0gDI9&#10;yMyy7NvbetFLJ5WqVH1dbBc3qJmm0Hs2kK4SUMSNtz23Bl6e7y82oEJEtjh4JgNHCrAtT08KzK0/&#10;8BPNVWyVlHDI0UAX45hrHZqOHIaVH4nFe/eTwyhyarWd8CDlbtBZkqy1w55locOR7jpqPqu9MzBT&#10;/fqwi8tN+Fj4jb921dE/Vsacn6XJLahIS/wLww++oEMpTLXfsw1qMCCPxN8r3ibN1qBqA1eX2TXo&#10;stD/6ctvUEsDBBQAAAAIAIdO4kAXqZrANQIAADYEAAAOAAAAZHJzL2Uyb0RvYy54bWytU0ty00AQ&#10;3VPFHaZmj2U5/sQqy1nYhA0FqeKzH49G0lTNr6Ynln0JLkAVK2AVWGXPaSAcg56R44SwyQItpB61&#10;+nW/10+Ls51WZCs8SGtKmg+GlAjDbSVNU9J3b8+fnVICgZmKKWtESfcC6Nny6ZNF5woxsq1VlfAE&#10;QQwUnStpG4Irsgx4KzSDgXXCYLK2XrOAR99klWcdomuVjYbDadZZXzlvuQDAt+s+SQ+I/jGAtq4l&#10;F2vLL7UwoUf1QrGAlKCVDugyTVvXgofXdQ0iEFVSZBrSHZtgvIn3bLlgReOZayU/jMAeM8IDTppJ&#10;g02PUGsWGLn08h8oLbm3YOsw4FZnPZGkCLLIhw+0edMyJxIXlBrcUXT4f7D81fbCE1mV9BT3bpjG&#10;jd98vP714cvN928/P1///vEpxldfCeZRrM5BgTUrc+EjXQirnUnl+Zjic3fUVJjqNjWZHVKjiJD9&#10;BREP4HqwXe01qZV079GXSU3UhyDkaDadzacTSvY4Zj6Zzyb93sQuEI75PB+f4EI5pkfT+Wic1pqx&#10;IgLGKZ2H8EJYTWJQUgieyaYNK2sMGsT6vhnbvoQQB7wriMXGnkulkk+UIV1JT3LsTzhD79foOQy1&#10;Q/3ANJQw1eBPxYNP44NVsorVSSrfbFbKky2LVkxXkgNFvP9ZHHHNoO2/S6mebGBSPTcVCXuHOwpe&#10;MtMoQeNEoClRAhtj0BNQ5iB0r21UeWOr/YW/XQDaKTE9WD/69f45Vd/97s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MqKdQAAAAFAQAADwAAAAAAAAABACAAAAAiAAAAZHJzL2Rvd25yZXYueG1s&#10;UEsBAhQAFAAAAAgAh07iQBepmsA1AgAANgQAAA4AAAAAAAAAAQAgAAAAIwEAAGRycy9lMm9Eb2Mu&#10;eG1sUEsFBgAAAAAGAAYAWQEAAMoFAAAAAA==&#10;">
                        <v:fill on="f" focussize="0,0"/>
                        <v:stroke weight="0.25pt" color="#000000 [3213]" joinstyle="round" endarrow="block" endarrowwidth="narrow" endarrowlength="short"/>
                        <v:imagedata o:title=""/>
                        <o:lock v:ext="edit" aspectratio="f"/>
                      </v:shape>
                      <v:shape id="_x0000_s1026" o:spid="_x0000_s1026" o:spt="32" type="#_x0000_t32" style="position:absolute;left:2755900;top:1435100;flip:y;height:786765;width:12065;" filled="f" stroked="t" coordsize="21600,21600" o:gfxdata="UEsDBAoAAAAAAIdO4kAAAAAAAAAAAAAAAAAEAAAAZHJzL1BLAwQUAAAACACHTuJA/TMqKdQAAAAF&#10;AQAADwAAAGRycy9kb3ducmV2LnhtbE2PzU6EQBCE7ya+w6RNvLkDGNcVGfZgYmLMXsSfc8O0gDI9&#10;yMyy7NvbetFLJ5WqVH1dbBc3qJmm0Hs2kK4SUMSNtz23Bl6e7y82oEJEtjh4JgNHCrAtT08KzK0/&#10;8BPNVWyVlHDI0UAX45hrHZqOHIaVH4nFe/eTwyhyarWd8CDlbtBZkqy1w55locOR7jpqPqu9MzBT&#10;/fqwi8tN+Fj4jb921dE/Vsacn6XJLahIS/wLww++oEMpTLXfsw1qMCCPxN8r3ibN1qBqA1eX2TXo&#10;stD/6ctvUEsDBBQAAAAIAIdO4kAhMpJyMwIAADcEAAAOAAAAZHJzL2Uyb0RvYy54bWytU8tu1DAU&#10;3SPxD5b3TJJp59FoMl3MUDYIKvHYexwnseSXfN15/AQ/gMQKWAGr7vkaKJ/BtZMOtGy6IAvrOtf3&#10;3HuOjxfne63IVniQ1lS0GOWUCMNtLU1b0TevL57MKYHATM2UNaKiBwH0fPn40WLnSjG2nVW18ARB&#10;DJQ7V9EuBFdmGfBOaAYj64TBZGO9ZgG3vs1qz3aIrlU2zvNptrO+dt5yAYB/132SDoj+IYC2aSQX&#10;a8uvtDChR/VCsYCUoJMO6DJN2zSCh5dNAyIQVVFkGtKKTTDexDVbLljZeuY6yYcR2ENGuMdJM2mw&#10;6RFqzQIjV17+A6Ul9xZsE0bc6qwnkhRBFkV+T5tXHXMicUGpwR1Fh/8Hy19sLz2RdUXnZ5QYpvHG&#10;b95f/3z36ebb1x8fr399/xDjL58J5lGsnYMSa1bm0ke6EFZ7k8pnaBtZ74+aClPfporTITWOCNkd&#10;iLgB14PtG69Jo6R7i75MaqI+BCHHs8nkLMcrO2Di9GRSYJwuTuwD4XigGOfTCSUc87P5dIZxbMTK&#10;iBjHdB7CM2E1iUFFIXgm2y6srDHoEOv7bmz7HEJfeFsQi429kEqlfsqQXUVPillsxtD8DZoOQ+1Q&#10;QDAtJUy1+Kp48Gl+sErWsTpp5dvNSnmyZdGL6RvGvHMstl4z6PpzKdWTDUyqp6Ym4eDwkoKXzLRK&#10;0DgRaEqUwMYY9ASUGZTuxY0yb2x9uPQxHXfopyTR4P1o2L/36dSf977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0zKinUAAAABQEAAA8AAAAAAAAAAQAgAAAAIgAAAGRycy9kb3ducmV2LnhtbFBL&#10;AQIUABQAAAAIAIdO4kAhMpJyMwIAADcEAAAOAAAAAAAAAAEAIAAAACMBAABkcnMvZTJvRG9jLnht&#10;bFBLBQYAAAAABgAGAFkBAADIBQAAAAA=&#10;">
                        <v:fill on="f" focussize="0,0"/>
                        <v:stroke weight="0.25pt" color="#000000 [3213]" joinstyle="round" endarrow="block" endarrowwidth="narrow" endarrowlength="short"/>
                        <v:imagedata o:title=""/>
                        <o:lock v:ext="edit" aspectratio="f"/>
                      </v:shape>
                      <v:shape id="_x0000_s1026" o:spid="_x0000_s1026" o:spt="32" type="#_x0000_t32" style="position:absolute;left:2198370;top:2331720;height:0;width:209550;" filled="f" stroked="t" coordsize="21600,21600" o:gfxdata="UEsDBAoAAAAAAIdO4kAAAAAAAAAAAAAAAAAEAAAAZHJzL1BLAwQUAAAACACHTuJAcBUKkNYAAAAF&#10;AQAADwAAAGRycy9kb3ducmV2LnhtbE2PT0sDMRDF74LfIYzgRdrsH2zLurMFFaFQEKz2nibjbnAz&#10;WTbptv32Ri96GXi8x3u/qddn14uJxmA9I+TzDASx9sZyi/Dx/jJbgQhRsVG9Z0K4UIB1c31Vq8r4&#10;E7/RtIutSCUcKoXQxThUUgbdkVNh7gfi5H360amY5NhKM6pTKne9LLJsIZ2ynBY6NdBTR/prd3QI&#10;+u5VL0OxmfYb93yxpdyW9nGLeHuTZw8gIp3jXxh+8BM6NInp4I9sgugR0iPx9yZvlRcLEAeE+7JY&#10;gmxq+Z+++QZQSwMEFAAAAAgAh07iQBggWTkrAgAAKQQAAA4AAABkcnMvZTJvRG9jLnhtbK1TzW7U&#10;MBC+I/EOlu80m121242a7WGXckFQCXiAqeMklvwnj7s/L8ELIHECTtBT7zwNlMdg7OwupVx6IIdk&#10;nPF8M9/nz2fnG6PZSgZUzta8PBpxJq1wjbJdzd+9vXh2yhlGsA1oZ2XNtxL5+fzpk7O1r+TY9U43&#10;MjACsVitfc37GH1VFCh6aQCPnJeWkq0LBiItQ1c0AdaEbnQxHo1OirULjQ9OSET6uxySfIcYHgPo&#10;2lYJuXTi2kgbB9QgNUSihL3yyOd52raVIr5uW5SR6ZoT05jf1ITiq/Qu5mdQdQF8r8RuBHjMCA84&#10;GVCWmh6glhCBXQf1D5RRIjh0bTwSzhQDkawIsShHD7R504OXmQtJjf4gOv4/WPFqdRmYamo+I0ks&#10;GDrxuw+3P99/vrv59uPT7a/vH1P89QujPIm19lhRzcJehkQX42Jjc/n0hNN3U/PJoKm0zSFFjsqp&#10;MqWKvyDSAv0AtmmDSaCkCiOgcTk7nUxpqi3Fk0k5He+OS24iE2nDaHZ8THlBG3KqgGqP4QPGF9IZ&#10;loKaYwyguj4unLXkCRfKfFqweokxzQTVviANYN2F0jpbQ1u2Jk7l9Jj6ANm9JZtRaDxJhrbjDHRH&#10;90jEkBHRadWk6qxO6K4WOrAVJPflJytAut3fllovAfthX04NGkZQ+rltWNx6OpYYFNhOS54mQsOZ&#10;ltSYgoGAtjttBzmTsFeu2V6GvebkoMx05/Zk0fvrXP3nhs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AVCpDWAAAABQEAAA8AAAAAAAAAAQAgAAAAIgAAAGRycy9kb3ducmV2LnhtbFBLAQIUABQA&#10;AAAIAIdO4kAYIFk5KwIAACkEAAAOAAAAAAAAAAEAIAAAACUBAABkcnMvZTJvRG9jLnhtbFBLBQYA&#10;AAAABgAGAFkBAADCBQAAAAA=&#10;">
                        <v:fill on="f" focussize="0,0"/>
                        <v:stroke weight="0.25pt" color="#000000 [3213]" joinstyle="round" endarrow="block" endarrowwidth="narrow" endarrowlength="short"/>
                        <v:imagedata o:title=""/>
                        <o:lock v:ext="edit" aspectratio="f"/>
                      </v:shape>
                      <v:shape id="_x0000_s1026" o:spid="_x0000_s1026" o:spt="32" type="#_x0000_t32" style="position:absolute;left:1555115;top:2331720;height:0;width:166370;" filled="f" stroked="t" coordsize="21600,21600" o:gfxdata="UEsDBAoAAAAAAIdO4kAAAAAAAAAAAAAAAAAEAAAAZHJzL1BLAwQUAAAACACHTuJAcBUKkNYAAAAF&#10;AQAADwAAAGRycy9kb3ducmV2LnhtbE2PT0sDMRDF74LfIYzgRdrsH2zLurMFFaFQEKz2nibjbnAz&#10;WTbptv32Ri96GXi8x3u/qddn14uJxmA9I+TzDASx9sZyi/Dx/jJbgQhRsVG9Z0K4UIB1c31Vq8r4&#10;E7/RtIutSCUcKoXQxThUUgbdkVNh7gfi5H360amY5NhKM6pTKne9LLJsIZ2ynBY6NdBTR/prd3QI&#10;+u5VL0OxmfYb93yxpdyW9nGLeHuTZw8gIp3jXxh+8BM6NInp4I9sgugR0iPx9yZvlRcLEAeE+7JY&#10;gmxq+Z+++QZQSwMEFAAAAAgAh07iQBbSoGkoAgAAKQQAAA4AAABkcnMvZTJvRG9jLnhtbK1TzY7T&#10;MBC+I/EOlu80Tau2UDXdQ8tyQbAS8ACu4ySW/KcZb39eghdA4gScgNPeeRpYHoOx0+2yy2UP5JCM&#10;MzPfzPfNeHG2t4ZtFaD2ruLlYMiZctLX2rUVf/f2/MlTzjAKVwvjnar4QSE/Wz5+tNiFuRr5zpta&#10;ASMQh/NdqHgXY5gXBcpOWYEDH5QjZ+PBikhHaIsaxI7QrSlGw+G02HmoA3ipEOnvunfyIyI8BNA3&#10;jZZq7eWlVS72qKCMiEQJOx2QL3O3TaNkfN00qCIzFSemMb+pCNmb9C6WCzFvQYROy2ML4iEt3ONk&#10;hXZU9AS1FlGwS9D/QFktwaNv4kB6W/REsiLEohze0+ZNJ4LKXEhqDCfR8f/BylfbC2C6rvizkjMn&#10;LE38+sPVr/efr79/+/np6vePj8n++oWRn8TaBZxTzspdQKKLcbV3OX024fTdV3zca6pcfXJNj66M&#10;UNyBSAcMPdi+AZtASRVGQOVkMilLgj1UfDQel7PRcVxqH5lMAdPpeEaDlBSQXYWY32AEwPhCecuS&#10;UXGMIHTbxZV3jnbCQ5mnJbYvMRIrSrxJSA04f66NyathHNsRpzLRk4LWvaE1I9MGkgxdy5kwLd0j&#10;GSEjoje6TtlZHWg3KwNsK9L25SeJQ9XuhKXSa4FdH5ddvYZRaPPc1SweAo0lghauNYqnjtByZhQV&#10;JqOHNI6Qb+VM1sbXhwtI7nSiDcq1j9ueVvTvc466veH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AVCpDWAAAABQEAAA8AAAAAAAAAAQAgAAAAIgAAAGRycy9kb3ducmV2LnhtbFBLAQIUABQAAAAI&#10;AIdO4kAW0qBpKAIAACkEAAAOAAAAAAAAAAEAIAAAACUBAABkcnMvZTJvRG9jLnhtbFBLBQYAAAAA&#10;BgAGAFkBAAC/BQAAAAA=&#10;">
                        <v:fill on="f" focussize="0,0"/>
                        <v:stroke weight="0.25pt" color="#000000 [3213]" joinstyle="round" endarrow="block" endarrowwidth="narrow" endarrowlength="short"/>
                        <v:imagedata o:title=""/>
                        <o:lock v:ext="edit" aspectratio="f"/>
                      </v:shape>
                      <v:shape id="_x0000_s1026" o:spid="_x0000_s1026" o:spt="32" type="#_x0000_t32" style="position:absolute;left:925830;top:2331720;flip:y;height:635;width:151765;" filled="f" stroked="t" coordsize="21600,21600" o:gfxdata="UEsDBAoAAAAAAIdO4kAAAAAAAAAAAAAAAAAEAAAAZHJzL1BLAwQUAAAACACHTuJA/TMqKdQAAAAF&#10;AQAADwAAAGRycy9kb3ducmV2LnhtbE2PzU6EQBCE7ya+w6RNvLkDGNcVGfZgYmLMXsSfc8O0gDI9&#10;yMyy7NvbetFLJ5WqVH1dbBc3qJmm0Hs2kK4SUMSNtz23Bl6e7y82oEJEtjh4JgNHCrAtT08KzK0/&#10;8BPNVWyVlHDI0UAX45hrHZqOHIaVH4nFe/eTwyhyarWd8CDlbtBZkqy1w55locOR7jpqPqu9MzBT&#10;/fqwi8tN+Fj4jb921dE/Vsacn6XJLahIS/wLww++oEMpTLXfsw1qMCCPxN8r3ibN1qBqA1eX2TXo&#10;stD/6ctvUEsDBBQAAAAIAIdO4kA2L0fzMQIAADQEAAAOAAAAZHJzL2Uyb0RvYy54bWytU8ty0zAU&#10;3TPDP2i0J44dkrSeOF0klA0DneGxV2TZ1oxeo6vm8RP8ADOsgFVh1T1fA+UzuJJNSsumC7ywr3x1&#10;z73n6GhxtteKbIUHaU1F89GYEmG4raVpK/r2zfmTE0ogMFMzZY2o6EEAPVs+frTYuVIUtrOqFp4g&#10;iIFy5yraheDKLAPeCc1gZJ0wmGys1yzg0rdZ7dkO0bXKivF4lu2sr523XADg33WfpAOifwigbRrJ&#10;xdrySy1M6FG9UCwgJeikA7pM0zaN4OFV04AIRFUUmYb0xiYYb+I7Wy5Y2XrmOsmHEdhDRrjHSTNp&#10;sOkRas0CI5de/gOlJfcWbBNG3OqsJ5IUQRb5+J42rzvmROKCUoM7ig7/D5a/3F54IuuKnhaUGKbx&#10;xG8+XP98//nm29cfn65/ff8Y46svBPMo1s5BiTUrc+EjXQirvUnl86cUv/uKTnpNhamPqemQymMq&#10;uwMRF+B6sH3jNWmUdO/Ql0lN1Icg5GkxPZngiR0qWkwm+bwYzk3sA+GYz6f5fIZNOG6YTaapCysj&#10;XJzReQjPhdUkBhWF4Jlsu7CyxqA9rO9bse0LCHG824JYbOy5VCq5RBmyQ3r5PHZi6PwGHYehdqge&#10;mJYSplq8Ujz4NDxYJetYnYTy7WalPNmyaMT0DGPe2RZHXDPo+n0p1csZmFTPTE3CweEJBS+ZaZWg&#10;cSLQlCiBjTHoCSgzyNwrGzXe2Ppw4f/Ij2ZKTAfjR7f+vU7Vt5d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9Myop1AAAAAUBAAAPAAAAAAAAAAEAIAAAACIAAABkcnMvZG93bnJldi54bWxQSwEC&#10;FAAUAAAACACHTuJANi9H8zECAAA0BAAADgAAAAAAAAABACAAAAAjAQAAZHJzL2Uyb0RvYy54bWxQ&#10;SwUGAAAAAAYABgBZAQAAxgUAAAAA&#10;">
                        <v:fill on="f" focussize="0,0"/>
                        <v:stroke weight="0.25pt" color="#000000 [3213]" joinstyle="round" endarrow="block" endarrowwidth="narrow" endarrowlength="short"/>
                        <v:imagedata o:title=""/>
                        <o:lock v:ext="edit" aspectratio="f"/>
                      </v:shape>
                      <v:shape id="_x0000_s1026" o:spid="_x0000_s1026" o:spt="32" type="#_x0000_t32" style="position:absolute;left:2751455;top:2441575;flip:y;height:181610;width:4445;" filled="f" stroked="t" coordsize="21600,21600" o:gfxdata="UEsDBAoAAAAAAIdO4kAAAAAAAAAAAAAAAAAEAAAAZHJzL1BLAwQUAAAACACHTuJA/TMqKdQAAAAF&#10;AQAADwAAAGRycy9kb3ducmV2LnhtbE2PzU6EQBCE7ya+w6RNvLkDGNcVGfZgYmLMXsSfc8O0gDI9&#10;yMyy7NvbetFLJ5WqVH1dbBc3qJmm0Hs2kK4SUMSNtz23Bl6e7y82oEJEtjh4JgNHCrAtT08KzK0/&#10;8BPNVWyVlHDI0UAX45hrHZqOHIaVH4nFe/eTwyhyarWd8CDlbtBZkqy1w55locOR7jpqPqu9MzBT&#10;/fqwi8tN+Fj4jb921dE/Vsacn6XJLahIS/wLww++oEMpTLXfsw1qMCCPxN8r3ibN1qBqA1eX2TXo&#10;stD/6ctvUEsDBBQAAAAIAIdO4kCrAEyENAIAADYEAAAOAAAAZHJzL2Uyb0RvYy54bWytU81y0zAQ&#10;vjPDO2h0J45TpymeOD0klAsDmeHnrsiyrRn9jVaNk5fgBZjhBJwKp955GiiPwUoOaSmXHsjBWXm1&#10;3+737ef5+U4rshUepDUVzUdjSoThtpamrejbNxdPziiBwEzNlDWionsB9Hzx+NG8d6WY2M6qWniC&#10;IAbK3lW0C8GVWQa8E5rByDphMNlYr1nAo2+z2rMe0bXKJuPxadZbXztvuQDAt6shSQ+I/iGAtmkk&#10;FyvLL7UwYUD1QrGAlKCTDugiTds0godXTQMiEFVRZBrSE5tgvInPbDFnZeuZ6yQ/jMAeMsI9TppJ&#10;g02PUCsWGLn08h8oLbm3YJsw4lZnA5GkCLLIx/e0ed0xJxIXlBrcUXT4f7D85Xbtiawr+vSEEsM0&#10;bvzmw/XP959vvn398en61/ePMb76QjCPYvUOSqxZmrWPdCEsdyaVz2YU/3dHTYWpjyl0VEpNIkL2&#10;F0Q8gBvAdo3XpFHSvUNfJjVRH4KQk9k0L6ZTSvYYF0U+nU2HxYldIBwvFEWBWY7p/Cw/zdNaM1ZG&#10;wDil8xCeC6tJDCoKwTPZdmFpjUGDWD80Y9sXEOKAtwWx2NgLqVTyiTKkr+hJju0JZ+j9Bj2HoXao&#10;H5iWEqZa/Kh48Gl8sErWsTpJ5dvNUnmyZdGK6ZfkQBHvXosjrhh0w72UGrgGJtUzU5Owd7ij4CUz&#10;rRI0TgSaEiWwMQYDAWUOQg/aRpU3tt6v/Z8FoJ0S04P1o1/vnlP17ee++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9Myop1AAAAAUBAAAPAAAAAAAAAAEAIAAAACIAAABkcnMvZG93bnJldi54bWxQ&#10;SwECFAAUAAAACACHTuJAqwBMhDQCAAA2BAAADgAAAAAAAAABACAAAAAjAQAAZHJzL2Uyb0RvYy54&#10;bWxQSwUGAAAAAAYABgBZAQAAyQUAAAAA&#10;">
                        <v:fill on="f" focussize="0,0"/>
                        <v:stroke weight="0.25pt" color="#000000 [3213]" joinstyle="round" endarrow="block" endarrowwidth="narrow" endarrowlength="short"/>
                        <v:imagedata o:title=""/>
                        <o:lock v:ext="edit" aspectratio="f"/>
                      </v:shape>
                      <v:shape id="_x0000_s1026" o:spid="_x0000_s1026" o:spt="32" type="#_x0000_t32" style="position:absolute;left:667385;top:3005455;flip:y;height:154305;width:5715;" filled="f" stroked="t" coordsize="21600,21600" o:gfxdata="UEsDBAoAAAAAAIdO4kAAAAAAAAAAAAAAAAAEAAAAZHJzL1BLAwQUAAAACACHTuJA/TMqKdQAAAAF&#10;AQAADwAAAGRycy9kb3ducmV2LnhtbE2PzU6EQBCE7ya+w6RNvLkDGNcVGfZgYmLMXsSfc8O0gDI9&#10;yMyy7NvbetFLJ5WqVH1dbBc3qJmm0Hs2kK4SUMSNtz23Bl6e7y82oEJEtjh4JgNHCrAtT08KzK0/&#10;8BPNVWyVlHDI0UAX45hrHZqOHIaVH4nFe/eTwyhyarWd8CDlbtBZkqy1w55locOR7jpqPqu9MzBT&#10;/fqwi8tN+Fj4jb921dE/Vsacn6XJLahIS/wLww++oEMpTLXfsw1qMCCPxN8r3ibN1qBqA1eX2TXo&#10;stD/6ctvUEsDBBQAAAAIAIdO4kByOvKkMQIAADUEAAAOAAAAZHJzL2Uyb0RvYy54bWytU0uS0zAQ&#10;3VPFHVTaEzsfJ8EVZxYJw4aCqeKzV2TZVpV+pdbkcwkuQBUrYDWwmj2ngeEYtOSQGYbNLPDCbvmp&#10;X/d7ai3O9lqRrfAgranocJBTIgy3tTRtRd++OX8ypwQCMzVT1oiKHgTQs+XjR4udK8XIdlbVwhMk&#10;MVDuXEW7EFyZZcA7oRkMrBMGwcZ6zQIufZvVnu2QXatslOfTbGd97bzlAgD/rnuQHhn9Qwht00gu&#10;1pZfamFCz+qFYgElQScd0GXqtmkED6+aBkQgqqKoNKQ3FsF4E9/ZcsHK1jPXSX5sgT2khXuaNJMG&#10;i56o1iwwcunlP1Racm/BNmHArc56IckRVDHM73nzumNOJC1oNbiT6fD/aPnL7YUnsq7o0wklhmk8&#10;8ZsP1z/ff7759vXHp+tf3z/G+OoLQRzN2jkoMWdlLnyUC2G1Nyl9Pqb43Z88FaY+QaMjNIoM2V8U&#10;cQGuJ9s3XpNGSfcO5zK5if4QpJxOZ+N5QcmhouM8LyZF0Z+b2AfCES9mQ0Q5wsNiMs4TmrEy8sUm&#10;nYfwXFhNYlBRCJ7JtgsrawzOh/V9LbZ9ASH2d5sQk409l0qlMVGG7LCD4SwWYzj6DY4chtqhfWBa&#10;Sphq8U7x4FP3YJWsY3ZyyreblfJky+Ikpie5gR7e3RZbXDPo+n0J6rUGJtUzU5NwcHhEwUtmWiVo&#10;7Ag0JUpgYQx6Acocfe6tjSZvbH248H/8x2lKSo+TH8f17jpl3972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9Myop1AAAAAUBAAAPAAAAAAAAAAEAIAAAACIAAABkcnMvZG93bnJldi54bWxQSwEC&#10;FAAUAAAACACHTuJAcjrypDECAAA1BAAADgAAAAAAAAABACAAAAAjAQAAZHJzL2Uyb0RvYy54bWxQ&#10;SwUGAAAAAAYABgBZAQAAxgUAAAAA&#10;">
                        <v:fill on="f" focussize="0,0"/>
                        <v:stroke weight="0.25pt" color="#000000 [3213]" joinstyle="round" endarrow="block" endarrowwidth="narrow" endarrowlength="short"/>
                        <v:imagedata o:title=""/>
                        <o:lock v:ext="edit" aspectratio="f"/>
                      </v:shape>
                      <v:shape id="_x0000_s1026" o:spid="_x0000_s1026" o:spt="32" type="#_x0000_t32" style="position:absolute;left:4822190;top:1926590;height:167005;width:1270;" filled="f" stroked="t" coordsize="21600,21600" o:gfxdata="UEsDBAoAAAAAAIdO4kAAAAAAAAAAAAAAAAAEAAAAZHJzL1BLAwQUAAAACACHTuJAcBUKkNYAAAAF&#10;AQAADwAAAGRycy9kb3ducmV2LnhtbE2PT0sDMRDF74LfIYzgRdrsH2zLurMFFaFQEKz2nibjbnAz&#10;WTbptv32Ri96GXi8x3u/qddn14uJxmA9I+TzDASx9sZyi/Dx/jJbgQhRsVG9Z0K4UIB1c31Vq8r4&#10;E7/RtIutSCUcKoXQxThUUgbdkVNh7gfi5H360amY5NhKM6pTKne9LLJsIZ2ynBY6NdBTR/prd3QI&#10;+u5VL0OxmfYb93yxpdyW9nGLeHuTZw8gIp3jXxh+8BM6NInp4I9sgugR0iPx9yZvlRcLEAeE+7JY&#10;gmxq+Z+++QZQSwMEFAAAAAgAh07iQDicZPYuAgAALAQAAA4AAABkcnMvZTJvRG9jLnhtbK1TS3IT&#10;MRDdU8UdVNrj+UDseMrjLGzChoJUAQeQNZoZVelXasVjX4ILUMUKWAGr7DkNhGPQ0tgJCZss8GLc&#10;mla/7vf6zeJspxXZCg/SmpoWk5wSYbhtpOlq+u7t+ZNTSiAw0zBljajpXgA9Wz5+tBhcJUrbW9UI&#10;TxDEQDW4mvYhuCrLgPdCM5hYJwwmW+s1C3j0XdZ4NiC6VlmZ59NssL5x3nIBgG/XY5IeEP1DAG3b&#10;Si7Wll9qYcKI6oViASlBLx3QZZq2bQUPr9sWRCCqpsg0pCc2wXgTn9lywarOM9dLfhiBPWSEe5w0&#10;kwab3kCtWWDk0st/oLTk3oJtw4RbnY1EkiLIosjvafOmZ04kLig1uBvR4f/B8lfbC09kU9P5CSWG&#10;adz49YerX+8/X3//9vPT1e8fH2P89QvBPIo1OKiwZmUufKQLYbUzqXw2p/i/q2k5aipMc0zN0VEp&#10;leTO7kDEA7gRbNd6HUFRFYJAz07LspjjovZo03k5PcE4rUvsAuF4oShnmOUxPZ3leZovY9URxnkI&#10;L4TVJAY1heCZ7PqwssagLawv0sLY9iUEhMXCY0GcwdhzqVRqpwwZavq0mKFAnKHjW3QahtqhamA6&#10;Spjq8FPiwSdEsEo2sToJ5LvNSnmyZdGA6RdJYLc712LrNYN+vJdSI9fApHpuGhL2DjcTvGSmU4LG&#10;iUBTogQ2xmCEVAaRbxWN0cY2+wsf0/GEJkq9D4aPLv37nG7dfuT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AVCpDWAAAABQEAAA8AAAAAAAAAAQAgAAAAIgAAAGRycy9kb3ducmV2LnhtbFBLAQIU&#10;ABQAAAAIAIdO4kA4nGT2LgIAACwEAAAOAAAAAAAAAAEAIAAAACUBAABkcnMvZTJvRG9jLnhtbFBL&#10;BQYAAAAABgAGAFkBAADFBQAAAAA=&#10;">
                        <v:fill on="f" focussize="0,0"/>
                        <v:stroke weight="0.25pt" color="#000000 [3213]" joinstyle="round" endarrow="block" endarrowwidth="narrow" endarrowlength="short"/>
                        <v:imagedata o:title=""/>
                        <o:lock v:ext="edit" aspectratio="f"/>
                      </v:shape>
                      <v:shape id="_x0000_s1026" o:spid="_x0000_s1026" o:spt="32" type="#_x0000_t32" style="position:absolute;left:4822190;top:1423035;flip:x;height:296545;width:4445;" filled="f" stroked="t" coordsize="21600,21600" o:gfxdata="UEsDBAoAAAAAAIdO4kAAAAAAAAAAAAAAAAAEAAAAZHJzL1BLAwQUAAAACACHTuJA/TMqKdQAAAAF&#10;AQAADwAAAGRycy9kb3ducmV2LnhtbE2PzU6EQBCE7ya+w6RNvLkDGNcVGfZgYmLMXsSfc8O0gDI9&#10;yMyy7NvbetFLJ5WqVH1dbBc3qJmm0Hs2kK4SUMSNtz23Bl6e7y82oEJEtjh4JgNHCrAtT08KzK0/&#10;8BPNVWyVlHDI0UAX45hrHZqOHIaVH4nFe/eTwyhyarWd8CDlbtBZkqy1w55locOR7jpqPqu9MzBT&#10;/fqwi8tN+Fj4jb921dE/Vsacn6XJLahIS/wLww++oEMpTLXfsw1qMCCPxN8r3ibN1qBqA1eX2TXo&#10;stD/6ctvUEsDBBQAAAAIAIdO4kDTChPtNAIAADYEAAAOAAAAZHJzL2Uyb0RvYy54bWytU8tu00AU&#10;3SPxD6PZEyfOo00Up4uEwgJBJOADJuOxPdK8NHcaJz/BDyCxAlaFVfd8DZTP4M7YbWnZdEEW1p2c&#10;uefec3y8PDtoRfbCg7SmoKPBkBJhuC2lqQv6/t35s1NKIDBTMmWNKOhRAD1bPX2ybN1C5LaxqhSe&#10;IImBResK2oTgFlkGvBGawcA6YRCsrNcs4NHXWelZi+xaZflwOMta60vnLRcA+O+mA2nP6B9DaKtK&#10;crGx/EILEzpWLxQLKAka6YCu0rZVJXh4U1UgAlEFRaUhPXEI1rv4zFZLtqg9c43k/QrsMSs80KSZ&#10;NDj0lmrDAiMXXv5DpSX3FmwVBtzqrBOSHEEVo+EDb942zImkBa0Gd2s6/D9a/nq/9USWBZ3PKDFM&#10;4xu//nj168OX6+/ffn6++v3jU6wvvxLE0azWwQJ71mbro1wI64NJ7afoqCwPBc07T4Upb6CTeQ8l&#10;u7N7FPEAriM7VF6TSkn3EnOZ3ER/CFJOTvN8NMcBRwQm+Xg4nvZDDoHweGEymVLCEc7nsynWuGnG&#10;FpEwbuk8hBfCahKLgkLwTNZNWFtjMCDWd8PY/hWErvGmITYbey6VSjlRhrQFHY9O4jCG2a8wc1hq&#10;h/6BqSlhqsaPigef1gerZBm7k1W+3q2VJ3sWo5h+/Zr3rsXRGwZNdy9BndbApHpuShKODt9R8JKZ&#10;WgkaNwJNiRI4GItOgDJowJ23sdrZ8rj1EY4njFOyqI9+zOvf53Tr7nNf/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9Myop1AAAAAUBAAAPAAAAAAAAAAEAIAAAACIAAABkcnMvZG93bnJldi54bWxQ&#10;SwECFAAUAAAACACHTuJA0woT7TQCAAA2BAAADgAAAAAAAAABACAAAAAjAQAAZHJzL2Uyb0RvYy54&#10;bWxQSwUGAAAAAAYABgBZAQAAyQUAAAAA&#10;">
                        <v:fill on="f" focussize="0,0"/>
                        <v:stroke weight="0.25pt" color="#000000 [3213]" joinstyle="round" endarrow="block" endarrowwidth="narrow" endarrowlength="short"/>
                        <v:imagedata o:title=""/>
                        <o:lock v:ext="edit" aspectratio="f"/>
                      </v:shape>
                      <v:shape id="_x0000_s1026" o:spid="_x0000_s1026" o:spt="32" type="#_x0000_t32" style="position:absolute;left:4462145;top:1247775;flip:y;height:5080;width:113030;" filled="f" stroked="t" coordsize="21600,21600" o:gfxdata="UEsDBAoAAAAAAIdO4kAAAAAAAAAAAAAAAAAEAAAAZHJzL1BLAwQUAAAACACHTuJA/TMqKdQAAAAF&#10;AQAADwAAAGRycy9kb3ducmV2LnhtbE2PzU6EQBCE7ya+w6RNvLkDGNcVGfZgYmLMXsSfc8O0gDI9&#10;yMyy7NvbetFLJ5WqVH1dbBc3qJmm0Hs2kK4SUMSNtz23Bl6e7y82oEJEtjh4JgNHCrAtT08KzK0/&#10;8BPNVWyVlHDI0UAX45hrHZqOHIaVH4nFe/eTwyhyarWd8CDlbtBZkqy1w55locOR7jpqPqu9MzBT&#10;/fqwi8tN+Fj4jb921dE/Vsacn6XJLahIS/wLww++oEMpTLXfsw1qMCCPxN8r3ibN1qBqA1eX2TXo&#10;stD/6ctvUEsDBBQAAAAIAIdO4kD6j5VVNQIAADYEAAAOAAAAZHJzL2Uyb0RvYy54bWytU0uS0zAQ&#10;3VPFHVTaE9v5TIIrziwShg0FqeKzV2TZVpV+pdbkcwkuQBUrYDWwmj2ngeEYtOSQGYbNLPDCbrnV&#10;r/s9Pc3P91qRrfAgraloMcgpEYbbWpq2om/fXDyZUQKBmZopa0RFDwLo+eLxo/nOlWJoO6tq4QmC&#10;GCh3rqJdCK7MMuCd0AwG1gmDycZ6zQIufZvVnu0QXatsmOdn2c762nnLBQD+XfVJekT0DwG0TSO5&#10;WFl+qYUJPaoXigWkBJ10QBdp2qYRPLxqGhCBqIoi05De2ATjTXxnizkrW89cJ/lxBPaQEe5x0kwa&#10;bHqCWrHAyKWX/0Bpyb0F24QBtzrriSRFkEWR39PmdcecSFxQanAn0eH/wfKX27Unsq7o0yklhmk8&#10;8ZsP1z/ff7759vXHp+tf3z/G+OoLwTyKtXNQYs3SrH2kC2G5N6l8VlD87is66jUVpj6lUOyUKmIq&#10;+wsiLsD1YPvGa9Io6d6hL5OaqA9ByPH4bFiMJ5QcMDEcT6fTybHJPhCOG4pilI+wC8cNk3yWjjVj&#10;ZQSMUzoP4bmwmsSgohA8k20XltYYNIj1fTO2fQEhDnhbEIuNvZBKJZ8oQ3ZIsMD2hDP0foOew1A7&#10;1A9MSwlTLV4qHnwaH6ySdaxOUvl2s1SebFm0YnqSHCji3W1xxBWDrt+XUj3XwKR6ZmoSDg7PKHjJ&#10;TKsEjROBpkQJbIxBT0CZo9C9tlHlja0Pa//nANBOienR+tGvd9ep+va6L3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MqKdQAAAAFAQAADwAAAAAAAAABACAAAAAiAAAAZHJzL2Rvd25yZXYueG1s&#10;UEsBAhQAFAAAAAgAh07iQPqPlVU1AgAANgQAAA4AAAAAAAAAAQAgAAAAIwEAAGRycy9lMm9Eb2Mu&#10;eG1sUEsFBgAAAAAGAAYAWQEAAMoFAAAAAA==&#10;">
                        <v:fill on="f" focussize="0,0"/>
                        <v:stroke weight="0.25pt" color="#000000 [3213]" joinstyle="round" endarrow="block" endarrowwidth="narrow" endarrowlength="short"/>
                        <v:imagedata o:title=""/>
                        <o:lock v:ext="edit" aspectratio="f"/>
                      </v:shape>
                      <v:shape id="_x0000_s1026" o:spid="_x0000_s1026" o:spt="202" type="#_x0000_t202" style="position:absolute;left:4530725;top:2093595;height:220345;width:585470;" filled="f" stroked="f" coordsize="21600,21600" o:gfxdata="UEsDBAoAAAAAAIdO4kAAAAAAAAAAAAAAAAAEAAAAZHJzL1BLAwQUAAAACACHTuJAmOWdr9cAAAAF&#10;AQAADwAAAGRycy9kb3ducmV2LnhtbE2PT0vDQBDF74LfYRnBW7tJpDXEbIoEiiB6aO3F2yQ7TYK7&#10;szG7/aOf3q0XvQw83uO935SrszXiSJMfHCtI5wkI4tbpgTsFu7f1LAfhA7JG45gUfJGHVXV9VWKh&#10;3Yk3dNyGTsQS9gUq6EMYCyl925NFP3cjcfT2brIYopw6qSc8xXJrZJYkS2lx4LjQ40h1T+3H9mAV&#10;PNfrV9w0mc2/Tf30sn8cP3fvC6Vub9LkAUSgc/gLwwU/okMVmRp3YO2FURAfCb83enmaLUE0ChZ3&#10;2T3IqpT/6asfUEsDBBQAAAAIAIdO4kBtb0GqSgIAAHMEAAAOAAAAZHJzL2Uyb0RvYy54bWytVM1u&#10;2zAMvg/YOwi6r3Z+3DRBnCJr0GFAsBbIhp0VWY4NSKImKbGzB9jeYKdddt9z5TlGyUkadDv0sItM&#10;kRTJ7yPp6W2rJNkJ62rQOe1dpZQIzaGo9Sannz7ev7mhxHmmCyZBi5zuhaO3s9evpo2ZiD5UIAth&#10;CQbRbtKYnFbem0mSOF4JxdwVGKHRWIJVzOPVbpLCsgajK5n00/Q6acAWxgIXzqF20RnpMaJ9SUAo&#10;y5qLBfCtEtp3Ua2QzCMkV9XG0VmstiwF9w9l6YQnMqeI1McTk6C8Dmcym7LJxjJT1fxYAntJCc8w&#10;KVZrTHoOtWCeka2t/wqlam7BQemvOKikAxIZQRS99Bk3q4oZEbEg1c6cSXf/Lyz/sHu0pC5yOsa+&#10;a6aw44cf3w8/fx9+fSOoQ4Ia4ybotzLo6du30OLYnPQOlQF3W1oVvoiIoH2YDdJRP6Nkn9N+Oh5k&#10;46yjWrSecHTIbrLhCJvAg0M/HQyjPXkKZKzz7wQoEoScWuxkJJjtls5jUeh6cgl5NdzXUsZuSk2a&#10;nF4PsjQ+OFvwhdT4MMDpyg6Sb9ftEeMaij1CtNBNiTP8vsbkS+b8I7M4FlgvLo5/wKOUgEngKFFS&#10;gf36L33wx26hlZIGxyyn7suWWUGJfK+xj+PecBjmMl6G2aiPF3tpWV9a9FbdAU5yD1fU8CgGfy9P&#10;YmlBfcb9moesaGKaY+6c+pN457vhx/3kYj6PTjiJhvmlXhkeQnd0zrceyjoyHWjquDmyh7MYG3Dc&#10;mzDsl/fo9fSvm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OWdr9cAAAAFAQAADwAAAAAAAAAB&#10;ACAAAAAiAAAAZHJzL2Rvd25yZXYueG1sUEsBAhQAFAAAAAgAh07iQG1vQapKAgAAcwQAAA4AAAAA&#10;AAAAAQAgAAAAJgEAAGRycy9lMm9Eb2MueG1sUEsFBgAAAAAGAAYAWQEAAOIFAAAAAA==&#10;">
                        <v:fill on="f" focussize="0,0"/>
                        <v:stroke on="f" weight="0.5pt"/>
                        <v:imagedata o:title=""/>
                        <o:lock v:ext="edit" aspectratio="f"/>
                        <v:textbox>
                          <w:txbxContent>
                            <w:p w14:paraId="38F2EC69">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装车外运</w:t>
                              </w:r>
                            </w:p>
                          </w:txbxContent>
                        </v:textbox>
                      </v:shape>
                      <v:shape id="_x0000_s1026" o:spid="_x0000_s1026" o:spt="202" type="#_x0000_t202" style="position:absolute;left:3259455;top:2221230;height:220345;width:646430;" filled="f" stroked="f" coordsize="21600,21600" o:gfxdata="UEsDBAoAAAAAAIdO4kAAAAAAAAAAAAAAAAAEAAAAZHJzL1BLAwQUAAAACACHTuJAmOWdr9cAAAAF&#10;AQAADwAAAGRycy9kb3ducmV2LnhtbE2PT0vDQBDF74LfYRnBW7tJpDXEbIoEiiB6aO3F2yQ7TYK7&#10;szG7/aOf3q0XvQw83uO935SrszXiSJMfHCtI5wkI4tbpgTsFu7f1LAfhA7JG45gUfJGHVXV9VWKh&#10;3Yk3dNyGTsQS9gUq6EMYCyl925NFP3cjcfT2brIYopw6qSc8xXJrZJYkS2lx4LjQ40h1T+3H9mAV&#10;PNfrV9w0mc2/Tf30sn8cP3fvC6Vub9LkAUSgc/gLwwU/okMVmRp3YO2FURAfCb83enmaLUE0ChZ3&#10;2T3IqpT/6asfUEsDBBQAAAAIAIdO4kCpIvLgRgIAAHMEAAAOAAAAZHJzL2Uyb0RvYy54bWytVMFu&#10;EzEQvSPxD5bvdDebTSFRN1VoVIRU0UoBcXa8dnYl22Nsp7vlA+APOHHhznf1Oxh7N2lVOPTAxRnP&#10;TN74vZnZs/NeK3IrnG/BVHRyklMiDIe6NbuKfvp4+eoNJT4wUzMFRlT0Tnh6vnz54qyzC1FAA6oW&#10;jiCI8YvOVrQJwS6yzPNGaOZPwAqDQQlOs4BXt8tqxzpE1yor8vw068DV1gEX3qN3PQTpiOieAwhS&#10;tlysge+1MGFAdUKxgJR801pPl+m1UgoerqX0IhBVUWQa0olF0N7GM1uescXOMdu0fHwCe84TnnDS&#10;rDVY9Ai1ZoGRvWv/gtItd+BBhhMOOhuIJEWQxSR/os2mYVYkLii1t0fR/f+D5R9ubxxp64rO55QY&#10;prHj9z++3//8ff/rG0EfCtRZv8C8jcXM0L+FHsfm4PfojLx76XT8RUYE49NiNi9nM0ruKloUxaSY&#10;jlKLPhCOCaflaYk+wlNCPi1nETF7ALLOh3cCNIlGRR12MgnMbq98GFIPKbGugctWqdRNZUiHBaaz&#10;PP3hGEFwZbBGpDM8O1qh3/Yjxy3Ud0jRwTAl3vLLFotfMR9umMOxwPfi4oRrPKQCLAKjRUkD7uu/&#10;/DEfu4VRSjocs4r6L3vmBCXqvcE+zidlGecyXcrZ6wIv7nFk+zhi9voCcJInuKKWJzPmB3UwpQP9&#10;GfdrFatiiBmOtSsaDuZFGIYf95OL1Sol4SRaFq7MxvIIPci52geQbVI6yjRoM6qHs5h6Ne5NHPbH&#10;95T18K1Y/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Y5Z2v1wAAAAUBAAAPAAAAAAAAAAEAIAAA&#10;ACIAAABkcnMvZG93bnJldi54bWxQSwECFAAUAAAACACHTuJAqSLy4EYCAABzBAAADgAAAAAAAAAB&#10;ACAAAAAmAQAAZHJzL2Uyb0RvYy54bWxQSwUGAAAAAAYABgBZAQAA3gUAAAAA&#10;">
                        <v:fill on="f" focussize="0,0"/>
                        <v:stroke on="f" weight="0.5pt"/>
                        <v:imagedata o:title=""/>
                        <o:lock v:ext="edit" aspectratio="f"/>
                        <v:textbox>
                          <w:txbxContent>
                            <w:p w14:paraId="6D5163CF">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噪声、废气</w:t>
                              </w:r>
                            </w:p>
                          </w:txbxContent>
                        </v:textbox>
                      </v:shape>
                      <v:shape id="_x0000_s1026" o:spid="_x0000_s1026" o:spt="202" type="#_x0000_t202" style="position:absolute;left:3221355;top:2618740;height:220345;width:504825;" filled="f" stroked="f" coordsize="21600,21600" o:gfxdata="UEsDBAoAAAAAAIdO4kAAAAAAAAAAAAAAAAAEAAAAZHJzL1BLAwQUAAAACACHTuJAmOWdr9cAAAAF&#10;AQAADwAAAGRycy9kb3ducmV2LnhtbE2PT0vDQBDF74LfYRnBW7tJpDXEbIoEiiB6aO3F2yQ7TYK7&#10;szG7/aOf3q0XvQw83uO935SrszXiSJMfHCtI5wkI4tbpgTsFu7f1LAfhA7JG45gUfJGHVXV9VWKh&#10;3Yk3dNyGTsQS9gUq6EMYCyl925NFP3cjcfT2brIYopw6qSc8xXJrZJYkS2lx4LjQ40h1T+3H9mAV&#10;PNfrV9w0mc2/Tf30sn8cP3fvC6Vub9LkAUSgc/gLwwU/okMVmRp3YO2FURAfCb83enmaLUE0ChZ3&#10;2T3IqpT/6asfUEsDBBQAAAAIAIdO4kC6PPLkSAIAAHUEAAAOAAAAZHJzL2Uyb0RvYy54bWytVEtu&#10;2zAQ3RfoHQjuG31sOa5hOXATpCgQNAHSomuaoiIBJIclaUvpAdobZNVN9z2Xz9EhJSdG2kUW3dBD&#10;zvMbvjdDLc96JclOWNeCLml2klIiNIeq1Xcl/fzp8s2cEueZrpgELUp6Lxw9W71+tezMQuTQgKyE&#10;JUii3aIzJW28N4skcbwRirkTMEJjsgarmMetvUsqyzpkVzLJ03SWdGArY4EL5/D0YkjSkdG+hBDq&#10;uuXiAvhWCe0HVisk8yjJNa1xdBVvW9eC++u6dsITWVJU6uOKRTDehDVZLdnizjLTtHy8AnvJFZ5p&#10;UqzVWPSR6oJ5Rra2/YtKtdyCg9qfcFDJICQ6giqy9Jk3tw0zImpBq515NN39P1r+cXdjSVvhJKTo&#10;iWYKW75/+LH/+Xv/6zsJh2hRZ9wCkbcGsb5/Bz3CD+cOD4PyvrYq/KImgvlJnmeToqDkvqT5LJuf&#10;TkezRe8JR0CRTuc55nkA5OlkWgTG5InIWOffC1AkBCW12MtoMdtdOT9AD5BQV8NlK2Xsp9SkK+ls&#10;UqTxD48ZJJcaawQ5w7VD5PtNP2rcQHWPEi0Mc+IMv2yx+BVz/oZZHAy0CJ+Ov8alloBFYIwoacB+&#10;+9d5wGO/MEtJh4NWUvd1y6ygRH7Q2Mm32RStIT5upsVpjht7nNkcZ/RWnQPOcoaP1PAYBryXh7C2&#10;oL7gC1uHqphimmPtkvpDeO6H8ccXysV6HUE4i4b5K31reKAe7FxvPdRtdDrYNHgzuofTGHs1vpww&#10;7sf7iHr6Wq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jlna/XAAAABQEAAA8AAAAAAAAAAQAg&#10;AAAAIgAAAGRycy9kb3ducmV2LnhtbFBLAQIUABQAAAAIAIdO4kC6PPLkSAIAAHUEAAAOAAAAAAAA&#10;AAEAIAAAACYBAABkcnMvZTJvRG9jLnhtbFBLBQYAAAAABgAGAFkBAADgBQAAAAA=&#10;">
                        <v:fill on="f" focussize="0,0"/>
                        <v:stroke on="f" weight="0.5pt"/>
                        <v:imagedata o:title=""/>
                        <o:lock v:ext="edit" aspectratio="f"/>
                        <v:textbox>
                          <w:txbxContent>
                            <w:p w14:paraId="44C6364A">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天然气</w:t>
                              </w:r>
                            </w:p>
                          </w:txbxContent>
                        </v:textbox>
                      </v:shape>
                      <v:shape id="_x0000_s1026" o:spid="_x0000_s1026" o:spt="32" type="#_x0000_t32" style="position:absolute;left:4219575;top:936625;flip:y;height:150495;width:3810;" filled="f" stroked="t" coordsize="21600,21600" o:gfxdata="UEsDBAoAAAAAAIdO4kAAAAAAAAAAAAAAAAAEAAAAZHJzL1BLAwQUAAAACACHTuJAKTVWL9UAAAAF&#10;AQAADwAAAGRycy9kb3ducmV2LnhtbE2PzU7DMBCE70i8g7VI3KidVG1CyKYHJH4OHKDwAG68JBH2&#10;OoqdtPD0GC5wWWk0o5lv693JWbHQFAbPCNlKgSBuvRm4Q3h7vbsqQYSo2WjrmRA+KcCuOT+rdWX8&#10;kV9o2cdOpBIOlUboYxwrKUPbk9Nh5Ufi5L37yemY5NRJM+ljKndW5kptpdMDp4Vej3TbU/uxnx1C&#10;8WzHJzXfL2bw1w9lsZ4fvzaEeHmRqRsQkU7xLww/+AkdmsR08DObICxCeiT+3uSVWb4FcUDYrPMC&#10;ZFPL//TNN1BLAwQUAAAACACHTuJA2fGpoDYCAAA6BAAADgAAAGRycy9lMm9Eb2MueG1srVNLktMw&#10;EN1TxR1U2hPbmUlIXHFmkTBsKEgVn70iy7aq9Cu1Jp9LcAGqWAErYDV7TgPDMWjJSYYZNrPAC7vl&#10;Vr/u9/Q0u9hpRTbCg7SmosUgp0QYbmtp2oq+fXP5ZEIJBGZqpqwRFd0LoBfzx49mW1eKoe2sqoUn&#10;CGKg3LqKdiG4MsuAd0IzGFgnDCYb6zULuPRtVnu2RXStsmGej7Ot9bXzlgsA/Lvsk/SA6B8CaJtG&#10;crG0/EoLE3pULxQLSAk66YDO07RNI3h41TQgAlEVRaYhvbEJxuv4zuYzVraeuU7ywwjsISPc46SZ&#10;NNj0BLVkgZErL/+B0pJ7C7YJA2511hNJiiCLIr+nzeuOOZG4oNTgTqLD/4PlLzcrT2SNTsiHlBim&#10;8chvPlz/ev/55vu3n5+uf//4GOOvX0jcgHJtHZRYtTArHwlDWOxMApgUFL+7k6rC1MdUURxzCSK7&#10;gxEX4Hq0XeM1aZR073CgJChKRBDzfFhMR09HlOwrOj0bj4ej/ujELhCO+bNJgUfKMVuM8vNpymas&#10;jHhxSuchPBdWkxhUFIJnsu3CwhqDFrG+78U2LyAgRSw8FsRiYy+lUskpypAtNiviJJyh+xt0HYba&#10;oYJgWkqYavFa8eDT9GCVrGN1ksq364XyZMOiGdMTSWC3O9ti6yWDrt9XY7S0oWcbmFTPTE3C3uEx&#10;BS+ZaZWgcSbQlCiBrTHoQZVB7FtxY7S29X7lYzqu0FKp+8H+0bN/r9Ou2ys//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pNVYv1QAAAAUBAAAPAAAAAAAAAAEAIAAAACIAAABkcnMvZG93bnJldi54&#10;bWxQSwECFAAUAAAACACHTuJA2fGpoDYCAAA6BAAADgAAAAAAAAABACAAAAAkAQAAZHJzL2Uyb0Rv&#10;Yy54bWxQSwUGAAAAAAYABgBZAQAAzAUAAAAA&#10;">
                        <v:fill on="f" focussize="0,0"/>
                        <v:stroke weight="0.25pt" color="#000000 [3213]" joinstyle="round" dashstyle="dashDot" endarrow="block" endarrowwidth="narrow" endarrowlength="short"/>
                        <v:imagedata o:title=""/>
                        <o:lock v:ext="edit" aspectratio="f"/>
                      </v:shape>
                      <v:shape id="_x0000_s1026" o:spid="_x0000_s1026" o:spt="32" type="#_x0000_t32" style="position:absolute;left:3650615;top:1824990;flip:x y;height:635;width:116205;" filled="f" stroked="t" coordsize="21600,21600" o:gfxdata="UEsDBAoAAAAAAIdO4kAAAAAAAAAAAAAAAAAEAAAAZHJzL1BLAwQUAAAACACHTuJAnOh149UAAAAF&#10;AQAADwAAAGRycy9kb3ducmV2LnhtbE2PwU7DMBBE70j8g7VI3KiTIJIoxKlQBQekXmhBXLfxkkTE&#10;62C7Sfv3GC5wWWk0o5m39fpkRjGT84NlBekqAUHcWj1wp+B1/3RTgvABWeNomRScycO6ubyosdJ2&#10;4Read6ETsYR9hQr6EKZKSt/2ZNCv7EQcvQ/rDIYoXSe1wyWWm1FmSZJLgwPHhR4n2vTUfu6ORkH+&#10;uG3fKflyrtwUz3O5X/CteFDq+ipN7kEEOoW/MPzgR3RoItPBHll7MSqIj4TfG70yzXIQBwV3t1kB&#10;sqnlf/rmG1BLAwQUAAAACACHTuJABp2LhjgCAABFBAAADgAAAGRycy9lMm9Eb2MueG1srVPNjtMw&#10;EL4j8Q6W72ySdlu2Uds9tCwcEFTi5+46TmLJf/J4m/YleAEkTsAJOO2dp4HlMRg7ocsulz2Qg/U5&#10;M/PNzOeZ+fleK7ITHqQ1C1qc5JQIw20lTbOgb15fPDqjBAIzFVPWiAU9CKDny4cP5p0rxci2VlXC&#10;EyQxUHZuQdsQXJllwFuhGZxYJwwaa+s1C3j1TVZ51iG7Vtkoz6dZZ33lvOUCAP+ueyMdGP19CG1d&#10;Sy7Wll9qYULP6oViAVuCVjqgy1RtXQseXtY1iEDUgmKnIZ2YBPE2ntlyzsrGM9dKPpTA7lPCnZ40&#10;kwaTHqnWLDBy6eU/VFpyb8HW4YRbnfWNJEWwiyK/o82rljmRekGpwR1Fh/9Hy1/sNp7ICichH1Ni&#10;mMYnv35/9fPdp+tvX398vPr1/UPEXz6T6IBydQ5KjFqZjY8NQ1jtTU9QnFIEe6TqZRWmOtry2WBL&#10;HNktkngB19Pta69JraR7FmkSehtRTIVqEWQfTyf5tJhQckDD2eh0NhueUewD4TF9MR3laOfoMB1P&#10;YjEZKyNzZHEewlNhNYlgQSF4Jps2rKwxOC3W97nY7jmEPvBPQAw29kIqlYZGGdJhMcXjmInhItQ4&#10;gAi1QzHBNJQw1eCG8eBT9WCVrGJ0Us0325XyZMfiXKZvKPOWW0y9ZtD2fhWitQ29uIFJ9cRUJBwc&#10;vljwkplGCRprAk2JEpgaQd+CMijBjcwRbW112PhojjecriTSsAlxfP++J6+b7V/+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zodePVAAAABQEAAA8AAAAAAAAAAQAgAAAAIgAAAGRycy9kb3ducmV2&#10;LnhtbFBLAQIUABQAAAAIAIdO4kAGnYuGOAIAAEUEAAAOAAAAAAAAAAEAIAAAACQBAABkcnMvZTJv&#10;RG9jLnhtbFBLBQYAAAAABgAGAFkBAADOBQAAAAA=&#10;">
                        <v:fill on="f" focussize="0,0"/>
                        <v:stroke weight="0.25pt" color="#000000 [3213]" joinstyle="round" dashstyle="dashDot" endarrow="block" endarrowwidth="narrow" endarrowlength="short"/>
                        <v:imagedata o:title=""/>
                        <o:lock v:ext="edit" aspectratio="f"/>
                      </v:shape>
                      <v:shape id="_x0000_s1026" o:spid="_x0000_s1026" o:spt="32" type="#_x0000_t32" style="position:absolute;left:3084830;top:2726690;flip:x y;height:2540;width:136525;" filled="f" stroked="t" coordsize="21600,21600" o:gfxdata="UEsDBAoAAAAAAIdO4kAAAAAAAAAAAAAAAAAEAAAAZHJzL1BLAwQUAAAACACHTuJA0qHd/9YAAAAF&#10;AQAADwAAAGRycy9kb3ducmV2LnhtbE2PzWrDMBCE74W8g9hCb41sh+bHtZxDIL2UFpqkkKNibWRT&#10;aSUsxU7fvmovzWVhmGHm22p9tYYN2IfOkYB8mgFDapzqSAs47LePS2AhSlLSOEIB3xhgXU/uKlkq&#10;N9IHDruoWSqhUEoBbYy+5Dw0LVoZps4jJe/seitjkr3mqpdjKreGF1k251Z2lBZa6XHTYvO1u1gB&#10;q83gZ+9kzsfV2+vx02v9slCjEA/3efYMLOI1/ofhFz+hQ52YTu5CKjAjID0S/27ylnkxB3YS8DQr&#10;FsDrit/S1z9QSwMEFAAAAAgAh07iQI2Mm2Y2AgAAQwQAAA4AAABkcnMvZTJvRG9jLnhtbK1TyY7U&#10;MBC9I/EPlu9M0nsTdXoO3QwcELTEcnc7TmLJm1yeXn6CH0DiBHMCTnPna2D4DMpOZmG4zIEcrHLK&#10;9areq6rF6UErshMepDUlHZzklAjDbSVNU9J3b8+ezCmBwEzFlDWipEcB9HT5+NFi7woxtK1VlfAE&#10;QQwUe1fSNgRXZBnwVmgGJ9YJg87aes0CXn2TVZ7tEV2rbJjn02xvfeW85QIA/647J+0R/UMAbV1L&#10;LtaWn2thQofqhWIBKUErHdBlqrauBQ+v6xpEIKqkyDSkE5OgvY1ntlywovHMtZL3JbCHlHCPk2bS&#10;YNIbqDULjJx7+Q+UltxbsHU44VZnHZGkCLIY5Pe0edMyJxIXlBrcjejw/2D5q93GE1nhJORjSgzT&#10;2PKrj5e/Pny5+v7t5+fL3z8+RfvrBYkPUK69gwKjVmbjI2EIq4PpAVBUWR0QqpNVmOraN5v1rlF0&#10;ZX9hxAu4Du1Qe01qJd2LiJKs99GKmVAsguCjfD6ejzDVsaTD2XA6fdp3URwC4TH7aDoZTijh8cFk&#10;nLwZKyJ0hHEewnNhNYlGSSF4Jps2rKwxOC3Wd8nY7iWEWOptQAw29kwqlYZGGbLHagazmIrhItQ4&#10;gGhqh2KCaShhqsEN48Gn8sEqWcXopJpvtivlyY7FuUxfEgb1vPsslrhm0HbvkquTNjCpnpmKhKPD&#10;fgUvmWmUoLEi0JQogYnR6Ago00veqRz13trquPHXrcDZSkz7PYjDe/eeom93f/k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0qHd/9YAAAAFAQAADwAAAAAAAAABACAAAAAiAAAAZHJzL2Rvd25yZXYu&#10;eG1sUEsBAhQAFAAAAAgAh07iQI2Mm2Y2AgAAQwQAAA4AAAAAAAAAAQAgAAAAJQEAAGRycy9lMm9E&#10;b2MueG1sUEsFBgAAAAAGAAYAWQEAAM0FAAAAAA==&#10;">
                        <v:fill on="f" focussize="0,0"/>
                        <v:stroke weight="0.25pt" color="#000000 [3213]" joinstyle="round" endarrow="block" endarrowwidth="narrow" endarrowlength="short"/>
                        <v:imagedata o:title=""/>
                        <o:lock v:ext="edit" aspectratio="f"/>
                      </v:shape>
                      <v:shape id="_x0000_s1026" o:spid="_x0000_s1026" o:spt="32" type="#_x0000_t32" style="position:absolute;left:3103245;top:2331720;height:0;width:156210;" filled="f" stroked="t" coordsize="21600,21600" o:gfxdata="UEsDBAoAAAAAAIdO4kAAAAAAAAAAAAAAAAAEAAAAZHJzL1BLAwQUAAAACACHTuJAXSU5GtUAAAAF&#10;AQAADwAAAGRycy9kb3ducmV2LnhtbE2PwU7DMBBE70j8g7VI3KidVJQqxOkhVYvUG6Ef4MRLHCVe&#10;R7HbtP36Gi5wWWk0o5m3+eZiB3bGyXeOJCQLAQypcbqjVsLxa/eyBuaDIq0GRyjhih42xeNDrjLt&#10;ZvrEcxVaFkvIZ0qCCWHMOPeNQav8wo1I0ft2k1UhyqnlelJzLLcDT4VYcas6igtGjVgabPrqZCXs&#10;DvskbW7buRLlx62/ln29NUcpn58S8Q4s4CX8heEHP6JDEZlqdyLt2SAhPhJ+b/TWSboCVkt4XaZv&#10;wIuc/6cv7lBLAwQUAAAACACHTuJADJ6BTi8CAAAtBAAADgAAAGRycy9lMm9Eb2MueG1srVPNjtMw&#10;EL4j8Q6W7zRJy27ZqOkeWpYLgkrAA7iOk1jynzzepn0JXgCJE3BiOe2dp4HlMRg76bIslz2QgzXO&#10;jD9/883nxfleK7ITHqQ1FS0mOSXCcFtL01b03duLJ88ogcBMzZQ1oqIHAfR8+fjRonelmNrOqlp4&#10;giAGyt5VtAvBlVkGvBOawcQ6YTDZWK9ZwK1vs9qzHtG1yqZ5fpr11tfOWy4A8O96SNIR0T8E0DaN&#10;5GJt+aUWJgyoXigWsCXopAO6TGybRvDwumlABKIqip2GtOIlGG/jmi0XrGw9c53kIwX2EAr3etJM&#10;Grz0FmrNAiOXXv4DpSX3FmwTJtzqbGgkKYJdFPk9bd50zInUC0oN7lZ0+H+w/NVu44ms0Qn5CSWG&#10;aRz5zYfrn+8/33y7+vHp+tf3jzH++oXEApSrd1DiqZXZ+NgwhNXeJIA5GkfW+4rOBlWFqY+ps7Mx&#10;VcRU9hdE3IAbwPaN1xEUdSERqMhn06dI61DR6WxWzKfjwMQ+EI4FxcnptMBRcixIqYyVRwznIbwQ&#10;VpMYVBSCZ7Ltwsoag66wvkjzYruXECInVh4PRALGXkilkjmUIX2kMkcenKHhGzQahtqhaGBaSphq&#10;8SXx4BMiWCXreDqp49vtSnmyY9F/6UsKoG53y+LVawbdUFdjtLZhUDEwqZ6bmoSDw8kEL5lplaCR&#10;E2hKlMCrMRhaUGZUdxA0Sru19WHjj6qji1Kvo+OjTe/u0+k/r3z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0lORrVAAAABQEAAA8AAAAAAAAAAQAgAAAAIgAAAGRycy9kb3ducmV2LnhtbFBLAQIU&#10;ABQAAAAIAIdO4kAMnoFOLwIAAC0EAAAOAAAAAAAAAAEAIAAAACQBAABkcnMvZTJvRG9jLnhtbFBL&#10;BQYAAAAABgAGAFkBAADFBQAAAAA=&#10;">
                        <v:fill on="f" focussize="0,0"/>
                        <v:stroke weight="0.25pt" color="#000000 [3213]" joinstyle="round" dashstyle="dashDot" endarrow="block" endarrowwidth="narrow" endarrowlength="short"/>
                        <v:imagedata o:title=""/>
                        <o:lock v:ext="edit" aspectratio="f"/>
                      </v:shape>
                      <v:shape id="_x0000_s1026" o:spid="_x0000_s1026" o:spt="202" type="#_x0000_t202" style="position:absolute;left:998855;top:1862455;height:220345;width:646430;" filled="f" stroked="f" coordsize="21600,21600" o:gfxdata="UEsDBAoAAAAAAIdO4kAAAAAAAAAAAAAAAAAEAAAAZHJzL1BLAwQUAAAACACHTuJAmOWdr9cAAAAF&#10;AQAADwAAAGRycy9kb3ducmV2LnhtbE2PT0vDQBDF74LfYRnBW7tJpDXEbIoEiiB6aO3F2yQ7TYK7&#10;szG7/aOf3q0XvQw83uO935SrszXiSJMfHCtI5wkI4tbpgTsFu7f1LAfhA7JG45gUfJGHVXV9VWKh&#10;3Yk3dNyGTsQS9gUq6EMYCyl925NFP3cjcfT2brIYopw6qSc8xXJrZJYkS2lx4LjQ40h1T+3H9mAV&#10;PNfrV9w0mc2/Tf30sn8cP3fvC6Vub9LkAUSgc/gLwwU/okMVmRp3YO2FURAfCb83enmaLUE0ChZ3&#10;2T3IqpT/6asfUEsDBBQAAAAIAIdO4kDCPJoiRwIAAHQEAAAOAAAAZHJzL2Uyb0RvYy54bWytVEtu&#10;2zAU3BfoHQjuG8mO7DqG5cBNkKJA0ARwi65piooE8FeSjpQeoL1BVt1033PlHB1SdmKkXWTRjfzI&#10;N5zHmffoxWmvJLkVzrdGl3R0lFMiNDdVq29K+vnTxZsZJT4wXTFptCjpnfD0dPn61aKzczE2jZGV&#10;cAQk2s87W9ImBDvPMs8boZg/MlZoJGvjFAtYupuscqwDu5LZOM+nWWdcZZ3hwnvsng9JumN0LyE0&#10;dd1ycW74VgkdBlYnJAuQ5JvWerpMt61rwcNVXXsRiCwplIb0RRHEm/jNlgs2v3HMNi3fXYG95ArP&#10;NCnWahR9pDpngZGta/+iUi13xps6HHGjskFIcgQqRvkzb9YNsyJpgdXePpru/x8t/3h77UhbYRLy&#10;KSWaKbT84f7Hw8/fD7++k7gJizrr50CuLbChf2d6wPf7HptReV87FX+hiSB/cjKbTSaU3AE6m44L&#10;xMlr0QfCkZ8W0+IYXeAAjMf5cZHy2ROPdT68F0aRGJTUoZXJYXZ76QOoAN1DYlltLlopUwmpSYcC&#10;x5M8HXjM4ITUOBjVDLeOUeg3/U7ixlR3UOjMMCbe8osWxS+ZD9fMYS5wX7yccIVPLQ2KmF1ESWPc&#10;t3/tRzzahSwlHeaspP7rljlBifyg0ciTUVHEwUyLYvJ2jIU7zGwOM3qrzgxGeYQ3ankKIz7IfVg7&#10;o77gga1iVaSY5qhd0rAPz8Iw/XigXKxWCYRRtCxc6rXlkXqwc7UNpm6T09GmwZudexjG1IDdw4nT&#10;frhOqKc/i+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OWdr9cAAAAFAQAADwAAAAAAAAABACAA&#10;AAAiAAAAZHJzL2Rvd25yZXYueG1sUEsBAhQAFAAAAAgAh07iQMI8miJHAgAAdAQAAA4AAAAAAAAA&#10;AQAgAAAAJgEAAGRycy9lMm9Eb2MueG1sUEsFBgAAAAAGAAYAWQEAAN8FAAAAAA==&#10;">
                        <v:fill on="f" focussize="0,0"/>
                        <v:stroke on="f" weight="0.5pt"/>
                        <v:imagedata o:title=""/>
                        <o:lock v:ext="edit" aspectratio="f"/>
                        <v:textbox>
                          <w:txbxContent>
                            <w:p w14:paraId="15750D73">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噪声、废气</w:t>
                              </w:r>
                            </w:p>
                          </w:txbxContent>
                        </v:textbox>
                      </v:shape>
                      <v:shape id="_x0000_s1026" o:spid="_x0000_s1026" o:spt="202" type="#_x0000_t202" style="position:absolute;left:358140;top:1849755;height:220345;width:646430;" filled="f" stroked="f" coordsize="21600,21600" o:gfxdata="UEsDBAoAAAAAAIdO4kAAAAAAAAAAAAAAAAAEAAAAZHJzL1BLAwQUAAAACACHTuJAmOWdr9cAAAAF&#10;AQAADwAAAGRycy9kb3ducmV2LnhtbE2PT0vDQBDF74LfYRnBW7tJpDXEbIoEiiB6aO3F2yQ7TYK7&#10;szG7/aOf3q0XvQw83uO935SrszXiSJMfHCtI5wkI4tbpgTsFu7f1LAfhA7JG45gUfJGHVXV9VWKh&#10;3Yk3dNyGTsQS9gUq6EMYCyl925NFP3cjcfT2brIYopw6qSc8xXJrZJYkS2lx4LjQ40h1T+3H9mAV&#10;PNfrV9w0mc2/Tf30sn8cP3fvC6Vub9LkAUSgc/gLwwU/okMVmRp3YO2FURAfCb83enmaLUE0ChZ3&#10;2T3IqpT/6asfUEsDBBQAAAAIAIdO4kBiDePfRwIAAHQEAAAOAAAAZHJzL2Uyb0RvYy54bWytVEtu&#10;2zAU3BfoHQjuG8m2nDhG5MBNkKJA0ARwi65piooE8FeSjpQeoL1BV91033P5HB1SthOkXWTRDfXI&#10;Gb7PvEednfdKknvhfGt0SUdHOSVCc1O1+q6knz5evZlR4gPTFZNGi5I+CE/PF69fnXV2LsamMbIS&#10;jsCJ9vPOlrQJwc6zzPNGKOaPjBUaYG2cYgFbd5dVjnXwrmQ2zvPjrDOuss5w4T1OLweQ7jy6lzg0&#10;dd1ycWn4RgkdBq9OSBZQkm9a6+kiZVvXgoebuvYiEFlSVBrSiiCw13HNFmdsfueYbVq+S4G9JIVn&#10;NSnWagQ9uLpkgZGNa/9ypVrujDd1OOJGZUMhSRFUMcqfabNqmBWpFkjt7UF0///c8g/3t460FSYh&#10;P6FEM4WWb3983/78vf31jcRDSNRZPwdzZcEN/VvTg74/9ziMlfe1U/GLmgjwyXQ2KqDyA6iz4vRk&#10;Oh20Fn0gHPhxcVxMgHMQxuN8UiQ8e/RjnQ/vhFEkGiV1aGVSmN1f+4CcQN1TYlhtrlopUzulJh0C&#10;TKZ5unBAcENqXIzVDFlHK/Trflfi2lQPqNCZYUy85Vctgl8zH26Zw1wgX7yccIOllgZBzM6ipDHu&#10;67/OIx/tAkpJhzkrqf+yYU5QIt9rNPJ0VESZQtoU05MxNu4psn6K6I26MBjlEd6o5cmM/CD3Zu2M&#10;+owHtoxRATHNEbukYW9ehGH68UC5WC4TCaNoWbjWK8uj60HO5SaYuk1KR5kGbXbqYRhTA3YPJ077&#10;031iPf4sF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OWdr9cAAAAFAQAADwAAAAAAAAABACAA&#10;AAAiAAAAZHJzL2Rvd25yZXYueG1sUEsBAhQAFAAAAAgAh07iQGIN499HAgAAdAQAAA4AAAAAAAAA&#10;AQAgAAAAJgEAAGRycy9lMm9Eb2MueG1sUEsFBgAAAAAGAAYAWQEAAN8FAAAAAA==&#10;">
                        <v:fill on="f" focussize="0,0"/>
                        <v:stroke on="f" weight="0.5pt"/>
                        <v:imagedata o:title=""/>
                        <o:lock v:ext="edit" aspectratio="f"/>
                        <v:textbox>
                          <w:txbxContent>
                            <w:p w14:paraId="5CD3C26A">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噪声、废气</w:t>
                              </w:r>
                            </w:p>
                          </w:txbxContent>
                        </v:textbox>
                      </v:shape>
                      <v:shape id="_x0000_s1026" o:spid="_x0000_s1026" o:spt="202" type="#_x0000_t202" style="position:absolute;left:1090295;top:2790825;height:220345;width:646430;" filled="f" stroked="f" coordsize="21600,21600" o:gfxdata="UEsDBAoAAAAAAIdO4kAAAAAAAAAAAAAAAAAEAAAAZHJzL1BLAwQUAAAACACHTuJAmOWdr9cAAAAF&#10;AQAADwAAAGRycy9kb3ducmV2LnhtbE2PT0vDQBDF74LfYRnBW7tJpDXEbIoEiiB6aO3F2yQ7TYK7&#10;szG7/aOf3q0XvQw83uO935SrszXiSJMfHCtI5wkI4tbpgTsFu7f1LAfhA7JG45gUfJGHVXV9VWKh&#10;3Yk3dNyGTsQS9gUq6EMYCyl925NFP3cjcfT2brIYopw6qSc8xXJrZJYkS2lx4LjQ40h1T+3H9mAV&#10;PNfrV9w0mc2/Tf30sn8cP3fvC6Vub9LkAUSgc/gLwwU/okMVmRp3YO2FURAfCb83enmaLUE0ChZ3&#10;2T3IqpT/6asfUEsDBBQAAAAIAIdO4kCE+y+GSQIAAHUEAAAOAAAAZHJzL2Uyb0RvYy54bWytVEtu&#10;2zAQ3RfoHQjua8nyJ7EROXBjuChgNAHcomuaoiIBJIclaUvuAdobdNVN9z2Xz9EhJSdB2kUW3VBD&#10;zuPMvDdDXV23SpKDsK4GndPhIKVEaA5Fre9z+unj+s0lJc4zXTAJWuT0KBy9Xrx+ddWYucigAlkI&#10;SzCIdvPG5LTy3syTxPFKKOYGYIRGZwlWMY9be58UljUYXckkS9Np0oAtjAUunMPTVeekfUT7koBQ&#10;ljUXK+B7JbTvolohmUdKrqqNo4tYbVkK7m/L0glPZE6RqY8rJkF7F9ZkccXm95aZquZ9CewlJTzj&#10;pFitMelDqBXzjOxt/VcoVXMLDko/4KCSjkhUBFkM02fabCtmROSCUjvzILr7f2H5h8OdJXWBk5Bi&#10;4zVT2PLTj++nn79Pv76RcIgSNcbNEbk1iPXtW2gRfj53eBiYt6VV4YucSPCnszSbTSg55jS7mKWX&#10;2aQTW7SecARMx9PxCNvAAyBLR+PoTx4DGev8OwGKBCOnFnsZJWaHjfNYFELPkJBXw7qWMvZTatJg&#10;gtEkjRcePHhDarwY6HRlB8u3u7bnuIPiiBQtdHPiDF/XmHzDnL9jFgcD68Wn429xKSVgEugtSiqw&#10;X/91HvDYL/RS0uCg5dR92TMrKJHvNXZyNhyPw2TGzXhykeHGPvXsnnr0Xt0AzvIQH6nh0Qx4L89m&#10;aUF9xhe2DFnRxTTH3Dn1Z/PGd+OPL5SL5TKCcBYN8xu9NTyE7uRc7j2UdVQ6yNRp06uH0xgb0L+c&#10;MO5P9xH1+LdY/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Y5Z2v1wAAAAUBAAAPAAAAAAAAAAEA&#10;IAAAACIAAABkcnMvZG93bnJldi54bWxQSwECFAAUAAAACACHTuJAhPsvhkkCAAB1BAAADgAAAAAA&#10;AAABACAAAAAmAQAAZHJzL2Uyb0RvYy54bWxQSwUGAAAAAAYABgBZAQAA4QUAAAAA&#10;">
                        <v:fill on="f" focussize="0,0"/>
                        <v:stroke on="f" weight="0.5pt"/>
                        <v:imagedata o:title=""/>
                        <o:lock v:ext="edit" aspectratio="f"/>
                        <v:textbox>
                          <w:txbxContent>
                            <w:p w14:paraId="3E840494">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噪声、粉尘</w:t>
                              </w:r>
                            </w:p>
                          </w:txbxContent>
                        </v:textbox>
                      </v:shape>
                      <v:shape id="_x0000_s1026" o:spid="_x0000_s1026" o:spt="202" type="#_x0000_t202" style="position:absolute;left:3174365;top:1714500;height:220345;width:476250;" filled="f" stroked="f" coordsize="21600,21600" o:gfxdata="UEsDBAoAAAAAAIdO4kAAAAAAAAAAAAAAAAAEAAAAZHJzL1BLAwQUAAAACACHTuJAmOWdr9cAAAAF&#10;AQAADwAAAGRycy9kb3ducmV2LnhtbE2PT0vDQBDF74LfYRnBW7tJpDXEbIoEiiB6aO3F2yQ7TYK7&#10;szG7/aOf3q0XvQw83uO935SrszXiSJMfHCtI5wkI4tbpgTsFu7f1LAfhA7JG45gUfJGHVXV9VWKh&#10;3Yk3dNyGTsQS9gUq6EMYCyl925NFP3cjcfT2brIYopw6qSc8xXJrZJYkS2lx4LjQ40h1T+3H9mAV&#10;PNfrV9w0mc2/Tf30sn8cP3fvC6Vub9LkAUSgc/gLwwU/okMVmRp3YO2FURAfCb83enmaLUE0ChZ3&#10;2T3IqpT/6asfUEsDBBQAAAAIAIdO4kDpVgTdRgIAAHUEAAAOAAAAZHJzL2Uyb0RvYy54bWytVMGO&#10;0zAQvSPxD5bvNGmatmzVdFW2KkJasSsVxNl1nCaS7TG226R8APwBJy7c+a5+B+Mk3S0Lhz1wccae&#10;pzd+b8aZXzdKkoOwrgKd0eEgpkRoDnmldxn9+GH96jUlzjOdMwlaZPQoHL1evHwxr81MJFCCzIUl&#10;SKLdrDYZLb03syhyvBSKuQEYoTFZgFXM49buotyyGtmVjJI4nkQ12NxY4MI5PF11Sdoz2ucQQlFU&#10;XKyA75XQvmO1QjKPklxZGUcX7W2LQnB/VxROeCIzikp9u2IRjLdhjRZzNttZZsqK91dgz7nCE02K&#10;VRqLPlCtmGdkb6u/qFTFLTgo/ICDijohrSOoYhg/8WZTMiNaLWi1Mw+mu/9Hy98f7i2pcpyE+IoS&#10;zRS2/PT92+nHr9PPryQcokW1cTNEbgxiffMGGoSfzx0eBuVNYVX4oiaC+dFwmo4mY0qOiJ0O03Hc&#10;my0aTzgC0ukkGWMbOAKSJB6l48AYPRIZ6/xbAYqEIKMWe9lazA63znfQMyTU1bCupGz7KTWpMzoZ&#10;If0fGSSXGmsEOd21Q+SbbdNr3EJ+RIkWujlxhq8rLH7LnL9nFgcD74tPx9/hUkjAItBHlJRgv/zr&#10;POCxX5ilpMZBy6j7vGdWUCLfaezk1TBNw2S2m3Q8TXBjLzPby4zeqxvAWR7iIzW8DQPey3NYWFCf&#10;8IUtQ1VMMc2xdkb9Obzx3fjjC+ViuWxBOIuG+Vu9MTxQd6Yt9x6KqnU62NR507uH09j2qn85Ydwv&#10;9y3q8W+x+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Y5Z2v1wAAAAUBAAAPAAAAAAAAAAEAIAAA&#10;ACIAAABkcnMvZG93bnJldi54bWxQSwECFAAUAAAACACHTuJA6VYE3UYCAAB1BAAADgAAAAAAAAAB&#10;ACAAAAAmAQAAZHJzL2Uyb0RvYy54bWxQSwUGAAAAAAYABgBZAQAA3gUAAAAA&#10;">
                        <v:fill on="f" focussize="0,0"/>
                        <v:stroke on="f" weight="0.5pt"/>
                        <v:imagedata o:title=""/>
                        <o:lock v:ext="edit" aspectratio="f"/>
                        <v:textbox>
                          <w:txbxContent>
                            <w:p w14:paraId="0CBABD30">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颗粒物</w:t>
                              </w:r>
                            </w:p>
                          </w:txbxContent>
                        </v:textbox>
                      </v:shape>
                      <v:shape id="_x0000_s1026" o:spid="_x0000_s1026" o:spt="202" type="#_x0000_t202" style="position:absolute;left:3900170;top:716280;height:220345;width:646430;" filled="f" stroked="f" coordsize="21600,21600" o:gfxdata="UEsDBAoAAAAAAIdO4kAAAAAAAAAAAAAAAAAEAAAAZHJzL1BLAwQUAAAACACHTuJAmOWdr9cAAAAF&#10;AQAADwAAAGRycy9kb3ducmV2LnhtbE2PT0vDQBDF74LfYRnBW7tJpDXEbIoEiiB6aO3F2yQ7TYK7&#10;szG7/aOf3q0XvQw83uO935SrszXiSJMfHCtI5wkI4tbpgTsFu7f1LAfhA7JG45gUfJGHVXV9VWKh&#10;3Yk3dNyGTsQS9gUq6EMYCyl925NFP3cjcfT2brIYopw6qSc8xXJrZJYkS2lx4LjQ40h1T+3H9mAV&#10;PNfrV9w0mc2/Tf30sn8cP3fvC6Vub9LkAUSgc/gLwwU/okMVmRp3YO2FURAfCb83enmaLUE0ChZ3&#10;2T3IqpT/6asfUEsDBBQAAAAIAIdO4kAB7TWGRgIAAHQEAAAOAAAAZHJzL2Uyb0RvYy54bWytVEtu&#10;2zAQ3RfoHQjuG0m24yRG5MBNkKJA0ARIi65pirIE8FeSjpQeoL1BV91033PlHH2k5MRIu8iiG3o4&#10;b/xm5s1Qp2e9kuROON8aXdLiIKdEaG6qVm9K+unj5ZtjSnxgumLSaFHSe+Hp2fL1q9POLsTENEZW&#10;whGQaL/obEmbEOwiyzxvhGL+wFihAdbGKRZwdZuscqwDu5LZJM/nWWdcZZ3hwnt4LwaQjozuJYSm&#10;rlsuLgzfKqHDwOqEZAEt+aa1ni5TtXUteLiuay8CkSVFpyGdSAJ7Hc9secoWG8ds0/KxBPaSEp71&#10;pFirkfSR6oIFRrau/YtKtdwZb+pwwI3KhkaSIuiiyJ9pc9swK1IvkNrbR9H9/6PlH+5uHGkrbEJR&#10;UKKZwsgffnx/+Pn74dc3Ep2QqLN+gchbi9jQvzU9wnd+D2fsvK+dir/oiQCfnuR5cQSZ70t6VMwn&#10;x6PWog+EA5/P5rMpYA58Msmns8NImD3xWOfDO2EUiUZJHUaZFGZ3Vz4MobuQmFaby1bKNE6pSYcE&#10;08M8/eERAbnUyBG7GaqOVujX/dji2lT36NCZYU285Zctkl8xH26Yw16gXryccI2jlgZJzGhR0hj3&#10;9V/+GI9xAaWkw56V1H/ZMicoke81BnlSzGagDekyOzya4OL2kfU+orfq3GCVMSpUl8wYH+TOrJ1R&#10;n/HAVjErIKY5cpc07MzzMGw/HigXq1UKwipaFq70reWRepBztQ2mbpPSUaZBm1E9LGOa1fhw4rbv&#10;31PU08di+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Y5Z2v1wAAAAUBAAAPAAAAAAAAAAEAIAAA&#10;ACIAAABkcnMvZG93bnJldi54bWxQSwECFAAUAAAACACHTuJAAe01hkYCAAB0BAAADgAAAAAAAAAB&#10;ACAAAAAmAQAAZHJzL2Uyb0RvYy54bWxQSwUGAAAAAAYABgBZAQAA3gUAAAAA&#10;">
                        <v:fill on="f" focussize="0,0"/>
                        <v:stroke on="f" weight="0.5pt"/>
                        <v:imagedata o:title=""/>
                        <o:lock v:ext="edit" aspectratio="f"/>
                        <v:textbox>
                          <w:txbxContent>
                            <w:p w14:paraId="0357340E">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噪声、废气</w:t>
                              </w:r>
                            </w:p>
                          </w:txbxContent>
                        </v:textbox>
                      </v:shape>
                      <v:shape id="_x0000_s1026" o:spid="_x0000_s1026" o:spt="202" type="#_x0000_t202" style="position:absolute;left:1643380;top:1798320;height:220345;width:646430;" filled="f" stroked="f" coordsize="21600,21600" o:gfxdata="UEsDBAoAAAAAAIdO4kAAAAAAAAAAAAAAAAAEAAAAZHJzL1BLAwQUAAAACACHTuJAmOWdr9cAAAAF&#10;AQAADwAAAGRycy9kb3ducmV2LnhtbE2PT0vDQBDF74LfYRnBW7tJpDXEbIoEiiB6aO3F2yQ7TYK7&#10;szG7/aOf3q0XvQw83uO935SrszXiSJMfHCtI5wkI4tbpgTsFu7f1LAfhA7JG45gUfJGHVXV9VWKh&#10;3Yk3dNyGTsQS9gUq6EMYCyl925NFP3cjcfT2brIYopw6qSc8xXJrZJYkS2lx4LjQ40h1T+3H9mAV&#10;PNfrV9w0mc2/Tf30sn8cP3fvC6Vub9LkAUSgc/gLwwU/okMVmRp3YO2FURAfCb83enmaLUE0ChZ3&#10;2T3IqpT/6asfUEsDBBQAAAAIAIdO4kDw3eKdRAIAAHUEAAAOAAAAZHJzL2Uyb0RvYy54bWytVMtu&#10;EzEU3SPxD5b3dPJs0yiTKjQqQqpopYBYOx5PZyS/sJ3OlA+AP2DFhj3fle/g2DNJq8KiCzbOte/J&#10;uT7nXs/iolWS3Avna6NzOjwZUCI0N0Wt73L66ePVmxklPjBdMGm0yOmD8PRi+frVorFzMTKVkYVw&#10;BCTazxub0yoEO88yzyuhmD8xVmgkS+MUC9i6u6xwrAG7ktloMDjNGuMK6wwX3uN03SVpz+heQmjK&#10;suZibfhOCR06VickC5Dkq9p6uky3LUvBw01ZehGIzCmUhrSiCOJtXLPlgs3vHLNVzfsrsJdc4Zkm&#10;xWqNokeqNQuM7Fz9F5WquTPelOGEG5V1QpIjUDEcPPNmUzErkhZY7e3RdP//aPmH+1tH6gKTMBxT&#10;oplCy/c/vu9//t7/+kbiISxqrJ8DubHAhvataQE/nHscRuVt6VT8hSYS86eT8XgGmx8Qn53PxqPe&#10;bNEGwgE4nQCBPAdgNBqMJ9PImD0SWefDO2EUiUFOHXqZLGb31z500AMk1tXmqpYy9VNq0qDAeDpI&#10;fzhmQC41akQ53bVjFNpt22vcmuIBEp3p5sRbflWj+DXz4ZY5DAbui6cTbrCU0qCI6SNKKuO+/us8&#10;4tEvZClpMGg59V92zAlK5HuNTp4PJxPQhrSZTM/gE3FPM9unGb1TlwazPMQjtTyFER/kISydUZ/x&#10;wlaxKlJMc9TOaTiEl6Ebf7xQLlarBMIsWhau9cbySN3ZudoFU9bJ6WhT503vHqYx9ap/OXHcn+4T&#10;6vFrsf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OWdr9cAAAAFAQAADwAAAAAAAAABACAAAAAi&#10;AAAAZHJzL2Rvd25yZXYueG1sUEsBAhQAFAAAAAgAh07iQPDd4p1EAgAAdQQAAA4AAAAAAAAAAQAg&#10;AAAAJgEAAGRycy9lMm9Eb2MueG1sUEsFBgAAAAAGAAYAWQEAANwFAAAAAA==&#10;">
                        <v:fill on="f" focussize="0,0"/>
                        <v:stroke on="f" weight="0.5pt"/>
                        <v:imagedata o:title=""/>
                        <o:lock v:ext="edit" aspectratio="f"/>
                        <v:textbox>
                          <w:txbxContent>
                            <w:p w14:paraId="1BA49788">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vertAlign w:val="subscript"/>
                                  <w:lang w:val="en-US" w:eastAsia="zh-CN"/>
                                </w:rPr>
                              </w:pPr>
                              <w:r>
                                <w:rPr>
                                  <w:rFonts w:hint="eastAsia" w:cs="Times New Roman"/>
                                  <w:sz w:val="15"/>
                                  <w:szCs w:val="18"/>
                                  <w:lang w:val="en-US" w:eastAsia="zh-CN"/>
                                </w:rPr>
                                <w:t>噪声、废气</w:t>
                              </w:r>
                            </w:p>
                          </w:txbxContent>
                        </v:textbox>
                      </v:shape>
                      <v:shape id="_x0000_s1026" o:spid="_x0000_s1026" o:spt="202" type="#_x0000_t202" style="position:absolute;left:3766820;top:1650365;height:349885;width:593725;" filled="f" stroked="t" coordsize="21600,21600" o:gfxdata="UEsDBAoAAAAAAIdO4kAAAAAAAAAAAAAAAAAEAAAAZHJzL1BLAwQUAAAACACHTuJA+cIlY9cAAAAF&#10;AQAADwAAAGRycy9kb3ducmV2LnhtbE2PzU7DMBCE70h9B2uRuFE7Qf1RiNNDRQ9ICIkWUY5OvMQR&#10;9jrEblr69Lhc4LLSaEYz35ark7NsxCF0niRkUwEMqfG6o1bC625zuwQWoiKtrCeU8I0BVtXkqlSF&#10;9kd6wXEbW5ZKKBRKgomxLzgPjUGnwtT3SMn78INTMcmh5XpQx1TuLM+FmHOnOkoLRvW4Nth8bg9O&#10;wtPb/uth8/wu9ljbbjbahXk811LeXGfiHljEU/wLwwU/oUOVmGp/IB2YlZAeib83ecssnwOrJczu&#10;8gXwquT/6asfUEsDBBQAAAAIAIdO4kDTjIQJXQIAAJ0EAAAOAAAAZHJzL2Uyb0RvYy54bWytVM1u&#10;EzEQviPxDpbvdPPfNOoGhVZFSBWtVBBnx+vtWvgP28lueQB4A05cuPNcfQ4+e5M2Khx64OKMZ779&#10;PPPNTE5fd1qRrfBBWlPS4dGAEmG4raS5LenHDxev5pSEyEzFlDWipHci0NfLly9OW7cQI9tYVQlP&#10;QGLConUlbWJ0i6IIvBGahSPrhEGwtl6ziKu/LSrPWrBrVYwGg1nRWl85b7kIAd7zPkh3jP45hLau&#10;JRfnlm+0MLFn9UKxiJJCI12gy5xtXQser+o6iEhUSVFpzCcegb1OZ7E8ZYtbz1wj+S4F9pwUntSk&#10;mTR49IHqnEVGNl7+RaUl9zbYOh5xq4u+kKwIqhgOnmhz0zAnci2QOrgH0cP/o+Xvt9eeyAqTMJxQ&#10;YphGy+9/fL//+fv+1zeSnJCodWEB5I0DNnZvbAf43h/gTJV3tdfpFzURxMfHs9l8BJnvgJ1NB+PZ&#10;tBdbdJFwAKYn4+PRlBIOwHhyMp/nePFI5HyIb4XVJBkl9ehllphtL0NEUoDuIeldYy+kUrmfypC2&#10;pLPxdJA/CFbJKgUTLH1ypjzZMkzEWjH+OaUFrgMUbsrAmcruy0tW7NbdTou1re4ghbf9PAXHLyR4&#10;L1mI18xjgFA3Vixe4aiVRTJ2Z1HSWP/1X/6ER18RpaTFQJY0fNkwLyhR7ww6fjKcTNIE58tkepy0&#10;9YeR9WHEbPSZRYVDLLPj2Uz4qPZm7a3+hE1cpVcRYobj7ZLGvXkW+zXBJnOxWmUQZtaxeGluHE/U&#10;veyrTbS1zB1JMvXa7NTD1GZxdxuW1uLwnlGP/yr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nC&#10;JWPXAAAABQEAAA8AAAAAAAAAAQAgAAAAIgAAAGRycy9kb3ducmV2LnhtbFBLAQIUABQAAAAIAIdO&#10;4kDTjIQJXQIAAJ0EAAAOAAAAAAAAAAEAIAAAACYBAABkcnMvZTJvRG9jLnhtbFBLBQYAAAAABgAG&#10;AFkBAAD1BQAAAAA=&#10;">
                        <v:fill on="f" focussize="0,0"/>
                        <v:stroke weight="0.5pt" color="#000000 [3204]" joinstyle="round"/>
                        <v:imagedata o:title=""/>
                        <o:lock v:ext="edit" aspectratio="f"/>
                        <v:textbox>
                          <w:txbxContent>
                            <w:p w14:paraId="49272762">
                              <w:pPr>
                                <w:keepNext w:val="0"/>
                                <w:keepLines w:val="0"/>
                                <w:pageBreakBefore w:val="0"/>
                                <w:widowControl w:val="0"/>
                                <w:kinsoku/>
                                <w:wordWrap/>
                                <w:overflowPunct/>
                                <w:topLinePunct w:val="0"/>
                                <w:bidi w:val="0"/>
                                <w:adjustRightInd/>
                                <w:snapToGrid/>
                                <w:spacing w:line="80" w:lineRule="atLeast"/>
                                <w:jc w:val="center"/>
                                <w:textAlignment w:val="auto"/>
                                <w:rPr>
                                  <w:rFonts w:hint="default" w:ascii="Times New Roman" w:hAnsi="Times New Roman" w:eastAsia="宋体" w:cs="Times New Roman"/>
                                  <w:sz w:val="15"/>
                                  <w:szCs w:val="18"/>
                                  <w:lang w:val="en-US" w:eastAsia="zh-CN"/>
                                </w:rPr>
                              </w:pPr>
                              <w:r>
                                <w:rPr>
                                  <w:rFonts w:hint="eastAsia" w:cs="Times New Roman"/>
                                  <w:sz w:val="15"/>
                                  <w:szCs w:val="18"/>
                                  <w:lang w:val="en-US" w:eastAsia="zh-CN"/>
                                </w:rPr>
                                <w:t>仓顶除尘器过滤</w:t>
                              </w:r>
                            </w:p>
                          </w:txbxContent>
                        </v:textbox>
                      </v:shape>
                      <v:shape id="_x0000_s1026" o:spid="_x0000_s1026" o:spt="32" type="#_x0000_t32" style="position:absolute;left:4360545;top:1823085;flip:x;height:2540;width:123825;" filled="f" stroked="t" coordsize="21600,21600" o:gfxdata="UEsDBAoAAAAAAIdO4kAAAAAAAAAAAAAAAAAEAAAAZHJzL1BLAwQUAAAACACHTuJA/TMqKdQAAAAF&#10;AQAADwAAAGRycy9kb3ducmV2LnhtbE2PzU6EQBCE7ya+w6RNvLkDGNcVGfZgYmLMXsSfc8O0gDI9&#10;yMyy7NvbetFLJ5WqVH1dbBc3qJmm0Hs2kK4SUMSNtz23Bl6e7y82oEJEtjh4JgNHCrAtT08KzK0/&#10;8BPNVWyVlHDI0UAX45hrHZqOHIaVH4nFe/eTwyhyarWd8CDlbtBZkqy1w55locOR7jpqPqu9MzBT&#10;/fqwi8tN+Fj4jb921dE/Vsacn6XJLahIS/wLww++oEMpTLXfsw1qMCCPxN8r3ibN1qBqA1eX2TXo&#10;stD/6ctvUEsDBBQAAAAIAIdO4kAMA856NQIAADkEAAAOAAAAZHJzL2Uyb0RvYy54bWytU0uOEzEQ&#10;3SNxB8t70p8kM6GVziwSBhYIIgEHcNzubkv+yeXJ5xJcAIkVsAJWs+c0MByDsjvzYdjMgl50l7tc&#10;r+o9P8/P9lqRrfAgralpMcopEYbbRpqupu/enj+ZUQKBmYYpa0RNDwLo2eLxo/nOVaK0vVWN8ARB&#10;DFQ7V9M+BFdlGfBeaAYj64TBZGu9ZgGXvssaz3aIrlVW5vlJtrO+cd5yAYB/V0OSHhH9QwBt20ou&#10;VpZfaGHCgOqFYgEpQS8d0EWatm0FD6/bFkQgqqbINKQ3NsF4E9/ZYs6qzjPXS34cgT1khHucNJMG&#10;m95ArVhg5MLLf6C05N6CbcOIW50NRJIiyKLI72nzpmdOJC4oNbgb0eH/wfJX27UnskEnFFNKDNN4&#10;5FcfLn+9/3z1/dvPT5e/f3yM8dcvJG5AuXYOKqxamrWPhCEs9yYBnD6l+N0j0qCqMM11qigmx9w4&#10;5rK/MOIC3IC2b70mrZLuRYSJ+CgRQczJ+CSfTnDCAyZm5TifpWFYJfaB8Ni0HM9KzHPcUE4n6WQz&#10;VkXACOM8hOfCahKDmkLwTHZ9WFpj0CPWD83Y9iWEOOBtQSw29lwqlayiDNnVdFycxlYM7d+i7TDU&#10;DiUE01HCVIf3igefxgerZBOrk1a+2yyVJ1sW3ZieJAeqeHdbHHHFoB/2pdSgaGBSPTMNCQeHpxS8&#10;ZKZTgsaJQFOiBDbGYCCgzFHoQduo8sY2h7W/PgB0VGJ6dH+07N11qr698Y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MqKdQAAAAFAQAADwAAAAAAAAABACAAAAAiAAAAZHJzL2Rvd25yZXYueG1s&#10;UEsBAhQAFAAAAAgAh07iQAwDzno1AgAAOQQAAA4AAAAAAAAAAQAgAAAAIwEAAGRycy9lMm9Eb2Mu&#10;eG1sUEsFBgAAAAAGAAYAWQEAAMoFAAAAAA==&#10;">
                        <v:fill on="f" focussize="0,0"/>
                        <v:stroke weight="0.25pt" color="#000000 [3213]" joinstyle="round" endarrow="block" endarrowwidth="narrow" endarrowlength="short"/>
                        <v:imagedata o:title=""/>
                        <o:lock v:ext="edit" aspectratio="f"/>
                      </v:shape>
                      <v:shape id="_x0000_s1026" o:spid="_x0000_s1026" o:spt="32" type="#_x0000_t32" style="position:absolute;left:924560;top:2895600;height:5715;width:165735;" filled="f" stroked="t" coordsize="21600,21600" o:gfxdata="UEsDBAoAAAAAAIdO4kAAAAAAAAAAAAAAAAAEAAAAZHJzL1BLAwQUAAAACACHTuJAXSU5GtUAAAAF&#10;AQAADwAAAGRycy9kb3ducmV2LnhtbE2PwU7DMBBE70j8g7VI3KidVJQqxOkhVYvUG6Ef4MRLHCVe&#10;R7HbtP36Gi5wWWk0o5m3+eZiB3bGyXeOJCQLAQypcbqjVsLxa/eyBuaDIq0GRyjhih42xeNDrjLt&#10;ZvrEcxVaFkvIZ0qCCWHMOPeNQav8wo1I0ft2k1UhyqnlelJzLLcDT4VYcas6igtGjVgabPrqZCXs&#10;DvskbW7buRLlx62/ln29NUcpn58S8Q4s4CX8heEHP6JDEZlqdyLt2SAhPhJ+b/TWSboCVkt4XaZv&#10;wIuc/6cv7lBLAwQUAAAACACHTuJAbVWvqzECAAAwBAAADgAAAGRycy9lMm9Eb2MueG1srVNLktMw&#10;EN1TxR1U2hPHGfIZV5xZJAwbClIFHKAjy7aq9CtJEyeX4AJUsQJWwGr2nAaGY9CSnYEZNrPAC7vl&#10;ll73e/20vDgoSfbceWF0SfPRmBKumamEbkr69s3lkwUlPoCuQBrNS3rknl6sHj9adrbgE9MaWXFH&#10;EET7orMlbUOwRZZ51nIFfmQs15isjVMQcOmarHLQIbqS2WQ8nmWdcZV1hnHv8e+mT9IB0T0E0NS1&#10;YHxj2JXiOvSojksISMm3wnq6St3WNWfhVV17HogsKTIN6Y1FMN7Fd7ZaQtE4sK1gQwvwkBbucVIg&#10;NBa9hdpAAHLlxD9QSjBnvKnDiBmV9USSIsgiH9/T5nULlicuKLW3t6L7/wfLXu63jogKnZDPKNGg&#10;cOQ3769/vvt08+3rj4/Xv75/iPGXzyRuQLk66ws8tdZbFwn7sD7oBLCYUPweSnrWq8p1dUrlYzRV&#10;yuUxl93BiAtve7RD7VRERWEIIp1Pnk5nOKpjSSeLcwyHgfFDIAzz+Ww6P5tSwnDDdJ5PEzgUJxTr&#10;fHjOjSIxKKkPDkTThrXRGo1hXJ5GBvsXPsSuoDgdiC1ocymkTP6QmnRIK5/HUoCer9FrGCqLunnd&#10;UAKywcvEgkuI3khRxdNJINfs1tKRPUQLpmdo8862WHoDvu33VRhtTOiFDCDkM12RcLQ4nOAE6EZy&#10;GnvyihLJsTQGPQWpB317SaO4O1Mdt+6kOxopcR1MH5369zqd/nPRV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SU5GtUAAAAFAQAADwAAAAAAAAABACAAAAAiAAAAZHJzL2Rvd25yZXYueG1sUEsB&#10;AhQAFAAAAAgAh07iQG1Vr6sxAgAAMAQAAA4AAAAAAAAAAQAgAAAAJAEAAGRycy9lMm9Eb2MueG1s&#10;UEsFBgAAAAAGAAYAWQEAAMcFAAAAAA==&#10;">
                        <v:fill on="f" focussize="0,0"/>
                        <v:stroke weight="0.25pt" color="#000000 [3213]" joinstyle="round" dashstyle="dashDot" endarrow="block" endarrowwidth="narrow" endarrowlength="short"/>
                        <v:imagedata o:title=""/>
                        <o:lock v:ext="edit" aspectratio="f"/>
                      </v:shape>
                      <v:shape id="_x0000_s1026" o:spid="_x0000_s1026" o:spt="32" type="#_x0000_t32" style="position:absolute;left:674370;top:2070100;flip:y;height:151765;width:6985;" filled="f" stroked="t" coordsize="21600,21600" o:gfxdata="UEsDBAoAAAAAAIdO4kAAAAAAAAAAAAAAAAAEAAAAZHJzL1BLAwQUAAAACACHTuJAKTVWL9UAAAAF&#10;AQAADwAAAGRycy9kb3ducmV2LnhtbE2PzU7DMBCE70i8g7VI3KidVG1CyKYHJH4OHKDwAG68JBH2&#10;OoqdtPD0GC5wWWk0o5lv693JWbHQFAbPCNlKgSBuvRm4Q3h7vbsqQYSo2WjrmRA+KcCuOT+rdWX8&#10;kV9o2cdOpBIOlUboYxwrKUPbk9Nh5Ufi5L37yemY5NRJM+ljKndW5kptpdMDp4Vej3TbU/uxnx1C&#10;8WzHJzXfL2bw1w9lsZ4fvzaEeHmRqRsQkU7xLww/+AkdmsR08DObICxCeiT+3uSVWb4FcUDYrPMC&#10;ZFPL//TNN1BLAwQUAAAACACHTuJAHORoUTYCAAA6BAAADgAAAGRycy9lMm9Eb2MueG1srVPLctMw&#10;FN0zwz9otCeO0yYunjhdJJQNA5nhsVdk2daMXqOr5vET/AAzrIBVYdU9XwPlM7iSTUrLpgu8sK98&#10;r8499+hofr7XimyFB2lNRfPRmBJhuK2laSv69s3FkzNKIDBTM2WNqOhBAD1fPH4037lSTGxnVS08&#10;QRAD5c5VtAvBlVkGvBOawcg6YTDZWK9ZwKVvs9qzHaJrlU3G41m2s7523nIBgH9XfZIOiP4hgLZp&#10;JBcryy+1MKFH9UKxgCNBJx3QRWLbNIKHV00DIhBVUZw0pDc2wXgT39lizsrWM9dJPlBgD6FwbybN&#10;pMGmR6gVC4xcevkPlJbcW7BNGHGrs36QpAhOkY/vafO6Y06kWVBqcEfR4f/B8pfbtSeyRifkBSWG&#10;aTzymw/XP99/vvn29cen61/fP8b46guJBSjXzkGJu5Zm7ePAEJZ7kwCKU4rf/VFVYeo/qXyM2Ck3&#10;iRDZHYy4ANej7RuvSaOke4eEkqAoEUHMWXF6UuChHSo6GRco1XB0Yh8Ij/mnZ1NKOKbzaV7MpqkN&#10;KyNeZOk8hOfCahKDikLwTLZdWFpj0CLW973Y9gWEyO92Q9xs7IVUKjlFGbKr6ElexGYM3d+g6zDU&#10;DhUE01LCVIvXigef2INVso67k1S+3SyVJ1sWzZiegeadskhxxaDr62qMVjbEQlYGJtUzU5NwcHhM&#10;wUtmWiVo5ASaEiWwNQb9CMoMSvfiRpk3tj6sfUzHFVoqzTrYP3r273Wqur3y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pNVYv1QAAAAUBAAAPAAAAAAAAAAEAIAAAACIAAABkcnMvZG93bnJldi54&#10;bWxQSwECFAAUAAAACACHTuJAHORoUTYCAAA6BAAADgAAAAAAAAABACAAAAAkAQAAZHJzL2Uyb0Rv&#10;Yy54bWxQSwUGAAAAAAYABgBZAQAAzAUAAAAA&#10;">
                        <v:fill on="f" focussize="0,0"/>
                        <v:stroke weight="0.25pt" color="#000000 [3213]" joinstyle="round" dashstyle="dashDot" endarrow="block" endarrowwidth="narrow" endarrowlength="short"/>
                        <v:imagedata o:title=""/>
                        <o:lock v:ext="edit" aspectratio="f"/>
                      </v:shape>
                      <v:shape id="_x0000_s1026" o:spid="_x0000_s1026" o:spt="32" type="#_x0000_t32" style="position:absolute;left:1316355;top:2082800;flip:y;height:145415;width:5715;" filled="f" stroked="t" coordsize="21600,21600" o:gfxdata="UEsDBAoAAAAAAIdO4kAAAAAAAAAAAAAAAAAEAAAAZHJzL1BLAwQUAAAACACHTuJAKTVWL9UAAAAF&#10;AQAADwAAAGRycy9kb3ducmV2LnhtbE2PzU7DMBCE70i8g7VI3KidVG1CyKYHJH4OHKDwAG68JBH2&#10;OoqdtPD0GC5wWWk0o5lv693JWbHQFAbPCNlKgSBuvRm4Q3h7vbsqQYSo2WjrmRA+KcCuOT+rdWX8&#10;kV9o2cdOpBIOlUboYxwrKUPbk9Nh5Ufi5L37yemY5NRJM+ljKndW5kptpdMDp4Vej3TbU/uxnx1C&#10;8WzHJzXfL2bw1w9lsZ4fvzaEeHmRqRsQkU7xLww/+AkdmsR08DObICxCeiT+3uSVWb4FcUDYrPMC&#10;ZFPL//TNN1BLAwQUAAAACACHTuJAX+qXvTYCAAA7BAAADgAAAGRycy9lMm9Eb2MueG1srVPNbtQw&#10;EL4j8Q6W72yS3W67iprtYZdyQVCJn/vUcRJL/pPH3Z+X4AWQOAEn4NQ7TwPlMRgn6ULLpQdycMae&#10;mW/m+zw+PdsZzTYyoHK24sUk50xa4Wpl24q/eX3+ZMEZRrA1aGdlxfcS+dny8aPTrS/l1HVO1zIw&#10;ArFYbn3Fuxh9mWUoOmkAJ85LS87GBQORtqHN6gBbQjc6m+b5cbZ1ofbBCYlIp+vByUfE8BBA1zRK&#10;yLUTV0baOKAGqSESJeyUR77su20aKeLLpkEZma44MY39SkXIvkxrtjyFsg3gOyXGFuAhLdzjZEBZ&#10;KnqAWkMEdhXUP1BGieDQNXEinMkGIr0ixKLI72nzqgMvey4kNfqD6Pj/YMWLzUVgqqZJKOjiLRi6&#10;8pv31z/ffbr59vXHx+tf3z8k+8tnlgJIrq3HkrJW9iIkwhhXO9sDnMw5/XcHVaWtb11Ffjz6pgki&#10;u4ORNugHtF0TDGu08m+poV5QkogRZjErjmdzqrCv+DRfTBf5eHdyF5mggPlJQV5B7uJofkR2qgNl&#10;Akxt+oDxmXSGJaPiGAOotosrZy3NiAtDMdg8xzgk3iakZOvOldZ0DqW2bFvxWZHICqDxb2jsyDSe&#10;JETbcga6pXclYujbR6dVnbJ7rUJ7udKBbSBNY/+Nbd4JS6XXgN0QV5O1djEFQhlB6ae2ZnHv6Z5i&#10;UGBbLXnqCQ1nWlJpMgYK2o5SD+omnS9dvb8IyZ12NFO9SOP8p6H9e99H/Xnzy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pNVYv1QAAAAUBAAAPAAAAAAAAAAEAIAAAACIAAABkcnMvZG93bnJldi54&#10;bWxQSwECFAAUAAAACACHTuJAX+qXvTYCAAA7BAAADgAAAAAAAAABACAAAAAkAQAAZHJzL2Uyb0Rv&#10;Yy54bWxQSwUGAAAAAAYABgBZAQAAzAUAAAAA&#10;">
                        <v:fill on="f" focussize="0,0"/>
                        <v:stroke weight="0.25pt" color="#000000 [3213]" joinstyle="round" dashstyle="dashDot" endarrow="block" endarrowwidth="narrow" endarrowlength="short"/>
                        <v:imagedata o:title=""/>
                        <o:lock v:ext="edit" aspectratio="f"/>
                      </v:shape>
                      <v:shape id="_x0000_s1026" o:spid="_x0000_s1026" o:spt="32" type="#_x0000_t32" style="position:absolute;left:1960245;top:2018665;flip:y;height:144780;width:6350;" filled="f" stroked="t" coordsize="21600,21600" o:gfxdata="UEsDBAoAAAAAAIdO4kAAAAAAAAAAAAAAAAAEAAAAZHJzL1BLAwQUAAAACACHTuJAKTVWL9UAAAAF&#10;AQAADwAAAGRycy9kb3ducmV2LnhtbE2PzU7DMBCE70i8g7VI3KidVG1CyKYHJH4OHKDwAG68JBH2&#10;OoqdtPD0GC5wWWk0o5lv693JWbHQFAbPCNlKgSBuvRm4Q3h7vbsqQYSo2WjrmRA+KcCuOT+rdWX8&#10;kV9o2cdOpBIOlUboYxwrKUPbk9Nh5Ufi5L37yemY5NRJM+ljKndW5kptpdMDp4Vej3TbU/uxnx1C&#10;8WzHJzXfL2bw1w9lsZ4fvzaEeHmRqRsQkU7xLww/+AkdmsR08DObICxCeiT+3uSVWb4FcUDYrPMC&#10;ZFPL//TNN1BLAwQUAAAACACHTuJAUsz90DkCAAA7BAAADgAAAGRycy9lMm9Eb2MueG1srVNLjtQw&#10;EN0jcQfLezqd/k/U6Vl0M2wQtMRn73acxJJ/cnn6cwkugMQKWA2sZs9pYDgGZaenZxg2syCLpJxy&#10;Pb/3qjw/32tFtsKDtKakea9PiTDcVtI0JX339uLZjBIIzFRMWSNKehBAzxdPn8x3rhAD21pVCU8Q&#10;xECxcyVtQ3BFlgFvhWbQs04YTNbWaxZw6Zus8myH6Fplg35/ku2sr5y3XADg31WXpEdE/xhAW9eS&#10;i5Xll1qY0KF6oVhASdBKB3SR2Na14OF1XYMIRJUUlYb0xkMw3sR3tpizovHMtZIfKbDHUHigSTNp&#10;8NAT1IoFRi69/AdKS+4t2Dr0uNVZJyQ5giry/gNv3rTMiaQFrQZ3Mh3+Hyx/tV17IiuchPyMEsM0&#10;tvzm4/WvD19uvn/7+fn6949PMb76SuIGtGvnoMCqpVn7KBjCcm8SwHRC8bs/uSpMdZvK8+ExN4gQ&#10;2V8YcQGuQ9vXXpNaSfceCSVD0SKCmPnZpD8YjSk5lBSdmk0m4653Yh8Ixw2T4Rh7yjGdj0bTWeps&#10;xooIGGk6D+GFsJrEoKQQPJNNG5bWGJwR67vD2PYlhEjwriAWG3shlUqjogzZlXSYT5EKZzj+NY4d&#10;htqhhWAaSphq8F7x4BN9sEpWsTp55ZvNUnmyZXEa05PsQBfvb4sUVwzabl+F0cqGTm1gUj03FQkH&#10;h30KXjLTKEEjJ9CUKIFHY9BJUOZodedu9Hljq8Pa37YAZyppPc5/HNr761R9d+c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pNVYv1QAAAAUBAAAPAAAAAAAAAAEAIAAAACIAAABkcnMvZG93bnJl&#10;di54bWxQSwECFAAUAAAACACHTuJAUsz90DkCAAA7BAAADgAAAAAAAAABACAAAAAkAQAAZHJzL2Uy&#10;b0RvYy54bWxQSwUGAAAAAAYABgBZAQAAzwUAAAAA&#10;">
                        <v:fill on="f" focussize="0,0"/>
                        <v:stroke weight="0.25pt" color="#000000 [3213]" joinstyle="round" dashstyle="dashDot" endarrow="block" endarrowwidth="narrow" endarrowlength="short"/>
                        <v:imagedata o:title=""/>
                        <o:lock v:ext="edit" aspectratio="f"/>
                      </v:shape>
                      <w10:wrap type="none"/>
                      <w10:anchorlock/>
                    </v:group>
                  </w:pict>
                </mc:Fallback>
              </mc:AlternateContent>
            </w:r>
          </w:p>
          <w:p w14:paraId="01FC6FAB">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图2-8   煤粉工艺流程及产污环节图</w:t>
            </w:r>
          </w:p>
          <w:p w14:paraId="23646416">
            <w:pPr>
              <w:autoSpaceDE w:val="0"/>
              <w:autoSpaceDN w:val="0"/>
              <w:spacing w:line="360" w:lineRule="auto"/>
              <w:ind w:firstLine="482" w:firstLineChars="200"/>
              <w:rPr>
                <w:rFonts w:hint="eastAsia"/>
                <w:b/>
                <w:sz w:val="24"/>
              </w:rPr>
            </w:pPr>
            <w:r>
              <w:rPr>
                <w:rFonts w:hint="eastAsia"/>
                <w:b/>
                <w:sz w:val="24"/>
              </w:rPr>
              <w:t>2.</w:t>
            </w:r>
            <w:r>
              <w:rPr>
                <w:rFonts w:hint="eastAsia"/>
                <w:b/>
                <w:sz w:val="24"/>
                <w:lang w:val="en-US" w:eastAsia="zh-CN"/>
              </w:rPr>
              <w:t>5</w:t>
            </w:r>
            <w:r>
              <w:rPr>
                <w:rFonts w:hint="eastAsia"/>
                <w:b/>
                <w:sz w:val="24"/>
              </w:rPr>
              <w:t>生产检测中心</w:t>
            </w:r>
          </w:p>
          <w:p w14:paraId="3BE16C9F">
            <w:pPr>
              <w:autoSpaceDE w:val="0"/>
              <w:autoSpaceDN w:val="0"/>
              <w:spacing w:line="360" w:lineRule="auto"/>
              <w:ind w:firstLine="480" w:firstLineChars="200"/>
              <w:rPr>
                <w:rFonts w:hint="eastAsia"/>
                <w:b w:val="0"/>
                <w:bCs/>
                <w:sz w:val="24"/>
              </w:rPr>
            </w:pPr>
            <w:r>
              <w:rPr>
                <w:rFonts w:hint="eastAsia"/>
                <w:b w:val="0"/>
                <w:bCs/>
                <w:sz w:val="24"/>
              </w:rPr>
              <w:t>生产检测中心实验室主要进行马歇尔试验、抗车辙试验、水稳定性、低温弯曲、油石比试验。</w:t>
            </w:r>
          </w:p>
          <w:p w14:paraId="1181AC75">
            <w:pPr>
              <w:autoSpaceDE w:val="0"/>
              <w:autoSpaceDN w:val="0"/>
              <w:spacing w:line="360" w:lineRule="auto"/>
              <w:ind w:firstLine="480" w:firstLineChars="200"/>
              <w:rPr>
                <w:rFonts w:hint="eastAsia"/>
                <w:b w:val="0"/>
                <w:bCs/>
                <w:sz w:val="24"/>
              </w:rPr>
            </w:pPr>
            <w:r>
              <w:rPr>
                <w:rFonts w:hint="eastAsia"/>
                <w:b w:val="0"/>
                <w:bCs/>
                <w:sz w:val="24"/>
              </w:rPr>
              <w:t>马歇尔实验主要测试沥青混合料的稳定度、流值和空隙率等指标，用以评估沥青路面的耐久性、抗车辙性能和使用寿命等；抗车辙试验主要测试沥青混合料的高温稳定性，通过模拟车辆轮胎在路面上行驶时所产生的车辙深度，评估沥青混合料在高温条件下的抗车辙能力；水稳定性试验主要测试沥青混凝土在水分存在条件下的性能表现，特别是其在动态荷载作用下的抗水损坏能力；低温弯曲试验主要是测试沥青混凝土在低温环境下的抗裂性能，该试验通过模拟低温条件下的弯曲变形和破坏过程，评估沥青混凝土抵抗低温开裂的能力；油石比试验主要测试沥青混合料中沥青与集料的比例，即油石比，通过测试油石比，可以评估沥青混合料的质量和性能，确保其符合设计要求和使用标准。</w:t>
            </w:r>
          </w:p>
          <w:p w14:paraId="624A8724">
            <w:pPr>
              <w:autoSpaceDE w:val="0"/>
              <w:autoSpaceDN w:val="0"/>
              <w:spacing w:line="360" w:lineRule="auto"/>
              <w:ind w:firstLine="480" w:firstLineChars="200"/>
              <w:rPr>
                <w:rFonts w:hint="eastAsia"/>
                <w:b/>
                <w:sz w:val="24"/>
              </w:rPr>
            </w:pPr>
            <w:r>
              <w:rPr>
                <w:rFonts w:hint="eastAsia"/>
                <w:b w:val="0"/>
                <w:bCs/>
                <w:sz w:val="24"/>
              </w:rPr>
              <w:t>试验检测过程主要产生废沥青、沥青混凝土、实验设备清洗废水以及沥青检测产生的微量有机废气。</w:t>
            </w:r>
          </w:p>
          <w:p w14:paraId="684D7A3B">
            <w:pPr>
              <w:autoSpaceDE w:val="0"/>
              <w:autoSpaceDN w:val="0"/>
              <w:spacing w:line="360" w:lineRule="auto"/>
              <w:ind w:firstLine="482" w:firstLineChars="200"/>
              <w:rPr>
                <w:rFonts w:hint="eastAsia"/>
                <w:b/>
                <w:sz w:val="24"/>
              </w:rPr>
            </w:pPr>
            <w:r>
              <w:rPr>
                <w:rFonts w:hint="eastAsia"/>
                <w:b/>
                <w:sz w:val="24"/>
              </w:rPr>
              <w:t>2.</w:t>
            </w:r>
            <w:r>
              <w:rPr>
                <w:rFonts w:hint="eastAsia"/>
                <w:b/>
                <w:sz w:val="24"/>
                <w:lang w:val="en-US" w:eastAsia="zh-CN"/>
              </w:rPr>
              <w:t>6</w:t>
            </w:r>
            <w:r>
              <w:rPr>
                <w:rFonts w:hint="eastAsia"/>
                <w:b/>
                <w:sz w:val="24"/>
              </w:rPr>
              <w:t>公辅工程</w:t>
            </w:r>
          </w:p>
          <w:p w14:paraId="1A2A4F76">
            <w:pPr>
              <w:autoSpaceDE w:val="0"/>
              <w:autoSpaceDN w:val="0"/>
              <w:spacing w:line="360" w:lineRule="auto"/>
              <w:ind w:firstLine="480" w:firstLineChars="200"/>
              <w:rPr>
                <w:rFonts w:hint="eastAsia"/>
                <w:b w:val="0"/>
                <w:bCs/>
                <w:sz w:val="24"/>
              </w:rPr>
            </w:pPr>
            <w:r>
              <w:rPr>
                <w:rFonts w:hint="eastAsia"/>
                <w:b w:val="0"/>
                <w:bCs/>
                <w:sz w:val="24"/>
              </w:rPr>
              <w:t>原料堆存（</w:t>
            </w:r>
            <w:r>
              <w:rPr>
                <w:rFonts w:hint="eastAsia"/>
                <w:b w:val="0"/>
                <w:bCs/>
                <w:sz w:val="24"/>
                <w:lang w:val="en-US" w:eastAsia="zh-CN"/>
              </w:rPr>
              <w:t>料仓</w:t>
            </w:r>
            <w:r>
              <w:rPr>
                <w:rFonts w:hint="eastAsia"/>
                <w:b w:val="0"/>
                <w:bCs/>
                <w:sz w:val="24"/>
              </w:rPr>
              <w:t>）产生的装卸扬尘、堆场扬尘；员工生产生活产生的生活垃圾、生活污水、食堂产生的食堂废水、食堂油烟等。</w:t>
            </w:r>
          </w:p>
          <w:p w14:paraId="48556830">
            <w:pPr>
              <w:autoSpaceDE w:val="0"/>
              <w:autoSpaceDN w:val="0"/>
              <w:spacing w:line="360" w:lineRule="auto"/>
              <w:ind w:firstLine="480" w:firstLineChars="200"/>
              <w:rPr>
                <w:rFonts w:hint="eastAsia"/>
                <w:b w:val="0"/>
                <w:bCs/>
                <w:sz w:val="24"/>
              </w:rPr>
            </w:pPr>
            <w:r>
              <w:rPr>
                <w:rFonts w:hint="eastAsia"/>
                <w:b w:val="0"/>
                <w:bCs/>
                <w:sz w:val="24"/>
              </w:rPr>
              <w:t>根据项目工艺流程分析，本项目</w:t>
            </w:r>
            <w:r>
              <w:rPr>
                <w:rFonts w:hint="eastAsia"/>
                <w:b w:val="0"/>
                <w:bCs/>
                <w:sz w:val="24"/>
                <w:lang w:val="en-US" w:eastAsia="zh-CN"/>
              </w:rPr>
              <w:t>建成</w:t>
            </w:r>
            <w:r>
              <w:rPr>
                <w:rFonts w:hint="eastAsia"/>
                <w:b w:val="0"/>
                <w:bCs/>
                <w:sz w:val="24"/>
              </w:rPr>
              <w:t>后，生产过程中的产污环节及各环节产生的污染物见下表：</w:t>
            </w:r>
          </w:p>
          <w:p w14:paraId="2A745820">
            <w:pPr>
              <w:numPr>
                <w:ilvl w:val="0"/>
                <w:numId w:val="4"/>
              </w:numPr>
              <w:tabs>
                <w:tab w:val="left" w:pos="0"/>
              </w:tabs>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w:t>
            </w:r>
            <w:r>
              <w:rPr>
                <w:rFonts w:hint="eastAsia" w:ascii="Times New Roman" w:hAnsi="Times New Roman" w:eastAsia="宋体" w:cs="Times New Roman"/>
                <w:b/>
                <w:szCs w:val="21"/>
                <w:lang w:val="en-US" w:eastAsia="zh-CN"/>
              </w:rPr>
              <w:t>运营期</w:t>
            </w:r>
            <w:r>
              <w:rPr>
                <w:rFonts w:hint="default" w:ascii="Times New Roman" w:hAnsi="Times New Roman" w:eastAsia="宋体" w:cs="Times New Roman"/>
                <w:b/>
                <w:szCs w:val="21"/>
              </w:rPr>
              <w:t>主要污染源及污染物类型</w:t>
            </w:r>
          </w:p>
          <w:tbl>
            <w:tblPr>
              <w:tblStyle w:val="27"/>
              <w:tblW w:w="8126"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76"/>
              <w:gridCol w:w="773"/>
              <w:gridCol w:w="2411"/>
              <w:gridCol w:w="1581"/>
              <w:gridCol w:w="2885"/>
            </w:tblGrid>
            <w:tr w14:paraId="1065649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49" w:type="dxa"/>
                  <w:gridSpan w:val="2"/>
                  <w:tcBorders>
                    <w:tl2br w:val="nil"/>
                    <w:tr2bl w:val="nil"/>
                  </w:tcBorders>
                  <w:vAlign w:val="center"/>
                </w:tcPr>
                <w:p w14:paraId="2214DF0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类别</w:t>
                  </w:r>
                </w:p>
              </w:tc>
              <w:tc>
                <w:tcPr>
                  <w:tcW w:w="2411" w:type="dxa"/>
                  <w:tcBorders>
                    <w:tl2br w:val="nil"/>
                    <w:tr2bl w:val="nil"/>
                  </w:tcBorders>
                  <w:vAlign w:val="center"/>
                </w:tcPr>
                <w:p w14:paraId="146301D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污染物名称</w:t>
                  </w:r>
                </w:p>
              </w:tc>
              <w:tc>
                <w:tcPr>
                  <w:tcW w:w="1581" w:type="dxa"/>
                  <w:tcBorders>
                    <w:tl2br w:val="nil"/>
                    <w:tr2bl w:val="nil"/>
                  </w:tcBorders>
                  <w:vAlign w:val="center"/>
                </w:tcPr>
                <w:p w14:paraId="0E46FB9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污染源</w:t>
                  </w:r>
                </w:p>
              </w:tc>
              <w:tc>
                <w:tcPr>
                  <w:tcW w:w="2885" w:type="dxa"/>
                  <w:tcBorders>
                    <w:tl2br w:val="nil"/>
                    <w:tr2bl w:val="nil"/>
                  </w:tcBorders>
                  <w:vAlign w:val="center"/>
                </w:tcPr>
                <w:p w14:paraId="3361BA0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主要污染因子/污染物类型</w:t>
                  </w:r>
                </w:p>
              </w:tc>
            </w:tr>
            <w:tr w14:paraId="5381CDA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76" w:type="dxa"/>
                  <w:vMerge w:val="restart"/>
                  <w:tcBorders>
                    <w:tl2br w:val="nil"/>
                    <w:tr2bl w:val="nil"/>
                  </w:tcBorders>
                  <w:vAlign w:val="center"/>
                </w:tcPr>
                <w:p w14:paraId="6421ACB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废气</w:t>
                  </w:r>
                </w:p>
              </w:tc>
              <w:tc>
                <w:tcPr>
                  <w:tcW w:w="773" w:type="dxa"/>
                  <w:vMerge w:val="restart"/>
                  <w:tcBorders>
                    <w:tl2br w:val="nil"/>
                    <w:tr2bl w:val="nil"/>
                  </w:tcBorders>
                  <w:vAlign w:val="center"/>
                </w:tcPr>
                <w:p w14:paraId="6956334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sz w:val="21"/>
                      <w:szCs w:val="21"/>
                      <w:vertAlign w:val="baseline"/>
                      <w:lang w:val="en-US" w:eastAsia="zh-CN"/>
                    </w:rPr>
                    <w:t>普通</w:t>
                  </w:r>
                  <w:r>
                    <w:rPr>
                      <w:rFonts w:hint="default" w:ascii="Times New Roman" w:hAnsi="Times New Roman" w:eastAsia="宋体" w:cs="Times New Roman"/>
                      <w:color w:val="auto"/>
                      <w:sz w:val="21"/>
                      <w:szCs w:val="21"/>
                      <w:vertAlign w:val="baseline"/>
                    </w:rPr>
                    <w:t>沥青混凝土、</w:t>
                  </w:r>
                  <w:r>
                    <w:rPr>
                      <w:rFonts w:hint="eastAsia" w:ascii="Times New Roman" w:hAnsi="Times New Roman" w:eastAsia="宋体" w:cs="Times New Roman"/>
                      <w:color w:val="auto"/>
                      <w:sz w:val="21"/>
                      <w:szCs w:val="21"/>
                      <w:vertAlign w:val="baseline"/>
                      <w:lang w:val="en-US" w:eastAsia="zh-CN"/>
                    </w:rPr>
                    <w:t>热</w:t>
                  </w:r>
                  <w:r>
                    <w:rPr>
                      <w:rFonts w:hint="default" w:ascii="Times New Roman" w:hAnsi="Times New Roman" w:eastAsia="宋体" w:cs="Times New Roman"/>
                      <w:color w:val="auto"/>
                      <w:sz w:val="21"/>
                      <w:szCs w:val="21"/>
                      <w:vertAlign w:val="baseline"/>
                    </w:rPr>
                    <w:t>再生沥青混凝土</w:t>
                  </w:r>
                  <w:r>
                    <w:rPr>
                      <w:rFonts w:hint="eastAsia" w:ascii="Times New Roman" w:hAnsi="Times New Roman" w:eastAsia="宋体" w:cs="Times New Roman"/>
                      <w:color w:val="auto"/>
                      <w:sz w:val="21"/>
                      <w:szCs w:val="21"/>
                      <w:vertAlign w:val="baseline"/>
                      <w:lang w:eastAsia="zh-CN"/>
                    </w:rPr>
                    <w:t>、</w:t>
                  </w:r>
                  <w:r>
                    <w:rPr>
                      <w:rFonts w:hint="eastAsia" w:ascii="Times New Roman" w:hAnsi="Times New Roman" w:eastAsia="宋体" w:cs="Times New Roman"/>
                      <w:color w:val="auto"/>
                      <w:sz w:val="21"/>
                      <w:szCs w:val="21"/>
                      <w:vertAlign w:val="baseline"/>
                      <w:lang w:val="en-US" w:eastAsia="zh-CN"/>
                    </w:rPr>
                    <w:t>乳化沥青</w:t>
                  </w:r>
                  <w:r>
                    <w:rPr>
                      <w:rFonts w:hint="default" w:ascii="Times New Roman" w:hAnsi="Times New Roman" w:eastAsia="宋体" w:cs="Times New Roman"/>
                      <w:color w:val="auto"/>
                      <w:sz w:val="21"/>
                      <w:szCs w:val="21"/>
                      <w:vertAlign w:val="baseline"/>
                    </w:rPr>
                    <w:t>生产线</w:t>
                  </w:r>
                </w:p>
              </w:tc>
              <w:tc>
                <w:tcPr>
                  <w:tcW w:w="2411" w:type="dxa"/>
                  <w:tcBorders>
                    <w:tl2br w:val="nil"/>
                    <w:tr2bl w:val="nil"/>
                  </w:tcBorders>
                  <w:vAlign w:val="center"/>
                </w:tcPr>
                <w:p w14:paraId="2380EA2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装卸扬尘</w:t>
                  </w:r>
                </w:p>
              </w:tc>
              <w:tc>
                <w:tcPr>
                  <w:tcW w:w="1581" w:type="dxa"/>
                  <w:tcBorders>
                    <w:tl2br w:val="nil"/>
                    <w:tr2bl w:val="nil"/>
                  </w:tcBorders>
                  <w:vAlign w:val="center"/>
                </w:tcPr>
                <w:p w14:paraId="00BE355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原料卸料</w:t>
                  </w:r>
                </w:p>
              </w:tc>
              <w:tc>
                <w:tcPr>
                  <w:tcW w:w="2885" w:type="dxa"/>
                  <w:tcBorders>
                    <w:tl2br w:val="nil"/>
                    <w:tr2bl w:val="nil"/>
                  </w:tcBorders>
                  <w:vAlign w:val="center"/>
                </w:tcPr>
                <w:p w14:paraId="63CA355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颗粒物</w:t>
                  </w:r>
                </w:p>
              </w:tc>
            </w:tr>
            <w:tr w14:paraId="2338DC5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76" w:type="dxa"/>
                  <w:vMerge w:val="continue"/>
                  <w:tcBorders>
                    <w:tl2br w:val="nil"/>
                    <w:tr2bl w:val="nil"/>
                  </w:tcBorders>
                  <w:vAlign w:val="center"/>
                </w:tcPr>
                <w:p w14:paraId="6919D24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773" w:type="dxa"/>
                  <w:vMerge w:val="continue"/>
                  <w:tcBorders>
                    <w:tl2br w:val="nil"/>
                    <w:tr2bl w:val="nil"/>
                  </w:tcBorders>
                  <w:vAlign w:val="center"/>
                </w:tcPr>
                <w:p w14:paraId="2FD3E99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7D9EFCC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投料粉尘</w:t>
                  </w:r>
                </w:p>
              </w:tc>
              <w:tc>
                <w:tcPr>
                  <w:tcW w:w="1581" w:type="dxa"/>
                  <w:tcBorders>
                    <w:tl2br w:val="nil"/>
                    <w:tr2bl w:val="nil"/>
                  </w:tcBorders>
                  <w:vAlign w:val="center"/>
                </w:tcPr>
                <w:p w14:paraId="16D166D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投料、计量投料</w:t>
                  </w:r>
                </w:p>
              </w:tc>
              <w:tc>
                <w:tcPr>
                  <w:tcW w:w="2885" w:type="dxa"/>
                  <w:tcBorders>
                    <w:tl2br w:val="nil"/>
                    <w:tr2bl w:val="nil"/>
                  </w:tcBorders>
                  <w:vAlign w:val="center"/>
                </w:tcPr>
                <w:p w14:paraId="27C3340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颗粒物</w:t>
                  </w:r>
                </w:p>
              </w:tc>
            </w:tr>
            <w:tr w14:paraId="2007DDB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76" w:type="dxa"/>
                  <w:vMerge w:val="continue"/>
                  <w:tcBorders>
                    <w:tl2br w:val="nil"/>
                    <w:tr2bl w:val="nil"/>
                  </w:tcBorders>
                  <w:vAlign w:val="center"/>
                </w:tcPr>
                <w:p w14:paraId="62A4611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773" w:type="dxa"/>
                  <w:vMerge w:val="continue"/>
                  <w:tcBorders>
                    <w:tl2br w:val="nil"/>
                    <w:tr2bl w:val="nil"/>
                  </w:tcBorders>
                  <w:vAlign w:val="center"/>
                </w:tcPr>
                <w:p w14:paraId="00EA109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215BAE6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rPr>
                    <w:t>皮带</w:t>
                  </w:r>
                  <w:r>
                    <w:rPr>
                      <w:rFonts w:hint="eastAsia" w:cs="Times New Roman"/>
                      <w:color w:val="auto"/>
                      <w:sz w:val="21"/>
                      <w:szCs w:val="21"/>
                      <w:vertAlign w:val="baseline"/>
                      <w:lang w:eastAsia="zh-CN"/>
                    </w:rPr>
                    <w:t>输送粉尘</w:t>
                  </w:r>
                </w:p>
              </w:tc>
              <w:tc>
                <w:tcPr>
                  <w:tcW w:w="1581" w:type="dxa"/>
                  <w:tcBorders>
                    <w:tl2br w:val="nil"/>
                    <w:tr2bl w:val="nil"/>
                  </w:tcBorders>
                  <w:vAlign w:val="center"/>
                </w:tcPr>
                <w:p w14:paraId="18AD0A7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皮带运输</w:t>
                  </w:r>
                </w:p>
              </w:tc>
              <w:tc>
                <w:tcPr>
                  <w:tcW w:w="2885" w:type="dxa"/>
                  <w:tcBorders>
                    <w:tl2br w:val="nil"/>
                    <w:tr2bl w:val="nil"/>
                  </w:tcBorders>
                  <w:vAlign w:val="center"/>
                </w:tcPr>
                <w:p w14:paraId="49ED8EE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颗粒物</w:t>
                  </w:r>
                </w:p>
              </w:tc>
            </w:tr>
            <w:tr w14:paraId="53015E4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76" w:type="dxa"/>
                  <w:vMerge w:val="continue"/>
                  <w:tcBorders>
                    <w:tl2br w:val="nil"/>
                    <w:tr2bl w:val="nil"/>
                  </w:tcBorders>
                  <w:vAlign w:val="center"/>
                </w:tcPr>
                <w:p w14:paraId="29EBFB3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773" w:type="dxa"/>
                  <w:vMerge w:val="continue"/>
                  <w:tcBorders>
                    <w:tl2br w:val="nil"/>
                    <w:tr2bl w:val="nil"/>
                  </w:tcBorders>
                  <w:vAlign w:val="center"/>
                </w:tcPr>
                <w:p w14:paraId="3AD680C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30E8477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烘干粉尘</w:t>
                  </w:r>
                </w:p>
              </w:tc>
              <w:tc>
                <w:tcPr>
                  <w:tcW w:w="1581" w:type="dxa"/>
                  <w:tcBorders>
                    <w:tl2br w:val="nil"/>
                    <w:tr2bl w:val="nil"/>
                  </w:tcBorders>
                  <w:vAlign w:val="center"/>
                </w:tcPr>
                <w:p w14:paraId="64FA7C0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烘干</w:t>
                  </w:r>
                </w:p>
              </w:tc>
              <w:tc>
                <w:tcPr>
                  <w:tcW w:w="2885" w:type="dxa"/>
                  <w:tcBorders>
                    <w:tl2br w:val="nil"/>
                    <w:tr2bl w:val="nil"/>
                  </w:tcBorders>
                  <w:vAlign w:val="center"/>
                </w:tcPr>
                <w:p w14:paraId="373A6F2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颗粒物</w:t>
                  </w:r>
                </w:p>
              </w:tc>
            </w:tr>
            <w:tr w14:paraId="613B9DB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76" w:type="dxa"/>
                  <w:vMerge w:val="continue"/>
                  <w:tcBorders>
                    <w:tl2br w:val="nil"/>
                    <w:tr2bl w:val="nil"/>
                  </w:tcBorders>
                  <w:vAlign w:val="center"/>
                </w:tcPr>
                <w:p w14:paraId="00C1BBC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773" w:type="dxa"/>
                  <w:vMerge w:val="continue"/>
                  <w:tcBorders>
                    <w:tl2br w:val="nil"/>
                    <w:tr2bl w:val="nil"/>
                  </w:tcBorders>
                  <w:vAlign w:val="center"/>
                </w:tcPr>
                <w:p w14:paraId="7412621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6010538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骨料</w:t>
                  </w: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再生料</w:t>
                  </w:r>
                  <w:r>
                    <w:rPr>
                      <w:rFonts w:hint="default" w:ascii="Times New Roman" w:hAnsi="Times New Roman" w:eastAsia="宋体" w:cs="Times New Roman"/>
                      <w:color w:val="auto"/>
                      <w:sz w:val="21"/>
                      <w:szCs w:val="21"/>
                      <w:vertAlign w:val="baseline"/>
                    </w:rPr>
                    <w:t>烘干天然气燃烧废气</w:t>
                  </w:r>
                </w:p>
              </w:tc>
              <w:tc>
                <w:tcPr>
                  <w:tcW w:w="1581" w:type="dxa"/>
                  <w:tcBorders>
                    <w:tl2br w:val="nil"/>
                    <w:tr2bl w:val="nil"/>
                  </w:tcBorders>
                  <w:vAlign w:val="center"/>
                </w:tcPr>
                <w:p w14:paraId="40A15C5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天然气燃烧</w:t>
                  </w:r>
                </w:p>
              </w:tc>
              <w:tc>
                <w:tcPr>
                  <w:tcW w:w="2885" w:type="dxa"/>
                  <w:tcBorders>
                    <w:tl2br w:val="nil"/>
                    <w:tr2bl w:val="nil"/>
                  </w:tcBorders>
                  <w:vAlign w:val="center"/>
                </w:tcPr>
                <w:p w14:paraId="25EA0EA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颗粒物、SO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vertAlign w:val="baseline"/>
                    </w:rPr>
                    <w:t>、NOx</w:t>
                  </w:r>
                </w:p>
              </w:tc>
            </w:tr>
            <w:tr w14:paraId="228C897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76" w:type="dxa"/>
                  <w:vMerge w:val="continue"/>
                  <w:tcBorders>
                    <w:tl2br w:val="nil"/>
                    <w:tr2bl w:val="nil"/>
                  </w:tcBorders>
                  <w:vAlign w:val="center"/>
                </w:tcPr>
                <w:p w14:paraId="2045126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773" w:type="dxa"/>
                  <w:vMerge w:val="continue"/>
                  <w:tcBorders>
                    <w:tl2br w:val="nil"/>
                    <w:tr2bl w:val="nil"/>
                  </w:tcBorders>
                  <w:vAlign w:val="center"/>
                </w:tcPr>
                <w:p w14:paraId="069B852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771E3E3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提升粉尘</w:t>
                  </w:r>
                </w:p>
              </w:tc>
              <w:tc>
                <w:tcPr>
                  <w:tcW w:w="1581" w:type="dxa"/>
                  <w:tcBorders>
                    <w:tl2br w:val="nil"/>
                    <w:tr2bl w:val="nil"/>
                  </w:tcBorders>
                  <w:vAlign w:val="center"/>
                </w:tcPr>
                <w:p w14:paraId="1C80203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提升</w:t>
                  </w:r>
                </w:p>
              </w:tc>
              <w:tc>
                <w:tcPr>
                  <w:tcW w:w="2885" w:type="dxa"/>
                  <w:tcBorders>
                    <w:tl2br w:val="nil"/>
                    <w:tr2bl w:val="nil"/>
                  </w:tcBorders>
                  <w:vAlign w:val="center"/>
                </w:tcPr>
                <w:p w14:paraId="022F1D8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颗粒物</w:t>
                  </w:r>
                </w:p>
              </w:tc>
            </w:tr>
            <w:tr w14:paraId="33AD6DA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76" w:type="dxa"/>
                  <w:vMerge w:val="continue"/>
                  <w:tcBorders>
                    <w:tl2br w:val="nil"/>
                    <w:tr2bl w:val="nil"/>
                  </w:tcBorders>
                  <w:vAlign w:val="center"/>
                </w:tcPr>
                <w:p w14:paraId="6BF7BC6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773" w:type="dxa"/>
                  <w:vMerge w:val="continue"/>
                  <w:tcBorders>
                    <w:tl2br w:val="nil"/>
                    <w:tr2bl w:val="nil"/>
                  </w:tcBorders>
                  <w:vAlign w:val="center"/>
                </w:tcPr>
                <w:p w14:paraId="0B10678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62A1FCC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筛分粉尘</w:t>
                  </w:r>
                </w:p>
              </w:tc>
              <w:tc>
                <w:tcPr>
                  <w:tcW w:w="1581" w:type="dxa"/>
                  <w:tcBorders>
                    <w:tl2br w:val="nil"/>
                    <w:tr2bl w:val="nil"/>
                  </w:tcBorders>
                  <w:vAlign w:val="center"/>
                </w:tcPr>
                <w:p w14:paraId="5F5A43F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筛分</w:t>
                  </w:r>
                </w:p>
              </w:tc>
              <w:tc>
                <w:tcPr>
                  <w:tcW w:w="2885" w:type="dxa"/>
                  <w:tcBorders>
                    <w:tl2br w:val="nil"/>
                    <w:tr2bl w:val="nil"/>
                  </w:tcBorders>
                  <w:vAlign w:val="center"/>
                </w:tcPr>
                <w:p w14:paraId="7547648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颗粒物</w:t>
                  </w:r>
                </w:p>
              </w:tc>
            </w:tr>
            <w:tr w14:paraId="71D5707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76" w:type="dxa"/>
                  <w:vMerge w:val="continue"/>
                  <w:tcBorders>
                    <w:tl2br w:val="nil"/>
                    <w:tr2bl w:val="nil"/>
                  </w:tcBorders>
                  <w:vAlign w:val="center"/>
                </w:tcPr>
                <w:p w14:paraId="154A580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773" w:type="dxa"/>
                  <w:vMerge w:val="continue"/>
                  <w:tcBorders>
                    <w:tl2br w:val="nil"/>
                    <w:tr2bl w:val="nil"/>
                  </w:tcBorders>
                  <w:vAlign w:val="center"/>
                </w:tcPr>
                <w:p w14:paraId="37EE497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7EB2CF2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搅拌废气</w:t>
                  </w:r>
                </w:p>
              </w:tc>
              <w:tc>
                <w:tcPr>
                  <w:tcW w:w="1581" w:type="dxa"/>
                  <w:tcBorders>
                    <w:tl2br w:val="nil"/>
                    <w:tr2bl w:val="nil"/>
                  </w:tcBorders>
                  <w:vAlign w:val="center"/>
                </w:tcPr>
                <w:p w14:paraId="78E3E83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搅拌</w:t>
                  </w:r>
                </w:p>
              </w:tc>
              <w:tc>
                <w:tcPr>
                  <w:tcW w:w="2885" w:type="dxa"/>
                  <w:tcBorders>
                    <w:tl2br w:val="nil"/>
                    <w:tr2bl w:val="nil"/>
                  </w:tcBorders>
                  <w:vAlign w:val="center"/>
                </w:tcPr>
                <w:p w14:paraId="1776AF2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沥青烟、苯并[a]芘、VOCs（以非甲烷总烃计）</w:t>
                  </w:r>
                </w:p>
              </w:tc>
            </w:tr>
            <w:tr w14:paraId="767B125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76" w:type="dxa"/>
                  <w:vMerge w:val="continue"/>
                  <w:tcBorders>
                    <w:tl2br w:val="nil"/>
                    <w:tr2bl w:val="nil"/>
                  </w:tcBorders>
                  <w:vAlign w:val="center"/>
                </w:tcPr>
                <w:p w14:paraId="5C6D0BF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773" w:type="dxa"/>
                  <w:vMerge w:val="continue"/>
                  <w:tcBorders>
                    <w:tl2br w:val="nil"/>
                    <w:tr2bl w:val="nil"/>
                  </w:tcBorders>
                  <w:vAlign w:val="center"/>
                </w:tcPr>
                <w:p w14:paraId="0E21C3A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4278FBA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卸料废气</w:t>
                  </w:r>
                </w:p>
              </w:tc>
              <w:tc>
                <w:tcPr>
                  <w:tcW w:w="1581" w:type="dxa"/>
                  <w:tcBorders>
                    <w:tl2br w:val="nil"/>
                    <w:tr2bl w:val="nil"/>
                  </w:tcBorders>
                  <w:vAlign w:val="center"/>
                </w:tcPr>
                <w:p w14:paraId="28280BF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成品卸料</w:t>
                  </w:r>
                </w:p>
              </w:tc>
              <w:tc>
                <w:tcPr>
                  <w:tcW w:w="2885" w:type="dxa"/>
                  <w:tcBorders>
                    <w:tl2br w:val="nil"/>
                    <w:tr2bl w:val="nil"/>
                  </w:tcBorders>
                  <w:vAlign w:val="center"/>
                </w:tcPr>
                <w:p w14:paraId="529F403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rPr>
                    <w:t>沥青烟、苯并[a]芘、VOCs（以非甲烷总烃计</w:t>
                  </w:r>
                  <w:r>
                    <w:rPr>
                      <w:rFonts w:hint="eastAsia" w:ascii="Times New Roman" w:hAnsi="Times New Roman" w:eastAsia="宋体" w:cs="Times New Roman"/>
                      <w:color w:val="auto"/>
                      <w:sz w:val="21"/>
                      <w:szCs w:val="21"/>
                      <w:vertAlign w:val="baseline"/>
                      <w:lang w:eastAsia="zh-CN"/>
                    </w:rPr>
                    <w:t>）</w:t>
                  </w:r>
                </w:p>
              </w:tc>
            </w:tr>
            <w:tr w14:paraId="3318486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76" w:type="dxa"/>
                  <w:vMerge w:val="continue"/>
                  <w:tcBorders>
                    <w:tl2br w:val="nil"/>
                    <w:tr2bl w:val="nil"/>
                  </w:tcBorders>
                  <w:vAlign w:val="center"/>
                </w:tcPr>
                <w:p w14:paraId="74AD391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773" w:type="dxa"/>
                  <w:vMerge w:val="continue"/>
                  <w:tcBorders>
                    <w:tl2br w:val="nil"/>
                    <w:tr2bl w:val="nil"/>
                  </w:tcBorders>
                  <w:vAlign w:val="center"/>
                </w:tcPr>
                <w:p w14:paraId="0518074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67642A0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粉料筒仓粉尘</w:t>
                  </w:r>
                </w:p>
              </w:tc>
              <w:tc>
                <w:tcPr>
                  <w:tcW w:w="1581" w:type="dxa"/>
                  <w:tcBorders>
                    <w:tl2br w:val="nil"/>
                    <w:tr2bl w:val="nil"/>
                  </w:tcBorders>
                  <w:vAlign w:val="center"/>
                </w:tcPr>
                <w:p w14:paraId="3731A88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粉料筒仓</w:t>
                  </w:r>
                </w:p>
              </w:tc>
              <w:tc>
                <w:tcPr>
                  <w:tcW w:w="2885" w:type="dxa"/>
                  <w:tcBorders>
                    <w:tl2br w:val="nil"/>
                    <w:tr2bl w:val="nil"/>
                  </w:tcBorders>
                  <w:vAlign w:val="center"/>
                </w:tcPr>
                <w:p w14:paraId="65BE0E4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颗粒物</w:t>
                  </w:r>
                </w:p>
              </w:tc>
            </w:tr>
            <w:tr w14:paraId="1E86DBE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76" w:type="dxa"/>
                  <w:vMerge w:val="continue"/>
                  <w:tcBorders>
                    <w:tl2br w:val="nil"/>
                    <w:tr2bl w:val="nil"/>
                  </w:tcBorders>
                  <w:vAlign w:val="center"/>
                </w:tcPr>
                <w:p w14:paraId="3FD390A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773" w:type="dxa"/>
                  <w:vMerge w:val="continue"/>
                  <w:tcBorders>
                    <w:tl2br w:val="nil"/>
                    <w:tr2bl w:val="nil"/>
                  </w:tcBorders>
                  <w:vAlign w:val="center"/>
                </w:tcPr>
                <w:p w14:paraId="5BA9642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7A5745A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导热油炉天然气燃烧废气</w:t>
                  </w:r>
                </w:p>
              </w:tc>
              <w:tc>
                <w:tcPr>
                  <w:tcW w:w="1581" w:type="dxa"/>
                  <w:tcBorders>
                    <w:tl2br w:val="nil"/>
                    <w:tr2bl w:val="nil"/>
                  </w:tcBorders>
                  <w:vAlign w:val="center"/>
                </w:tcPr>
                <w:p w14:paraId="4A14390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18"/>
                      <w:szCs w:val="18"/>
                      <w:vertAlign w:val="baseline"/>
                    </w:rPr>
                    <w:t>天然气燃烧</w:t>
                  </w:r>
                </w:p>
              </w:tc>
              <w:tc>
                <w:tcPr>
                  <w:tcW w:w="2885" w:type="dxa"/>
                  <w:tcBorders>
                    <w:tl2br w:val="nil"/>
                    <w:tr2bl w:val="nil"/>
                  </w:tcBorders>
                  <w:vAlign w:val="center"/>
                </w:tcPr>
                <w:p w14:paraId="20EE27C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颗粒物、SO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vertAlign w:val="baseline"/>
                    </w:rPr>
                    <w:t>、NOx</w:t>
                  </w:r>
                </w:p>
              </w:tc>
            </w:tr>
            <w:tr w14:paraId="1FF711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76" w:type="dxa"/>
                  <w:vMerge w:val="continue"/>
                  <w:tcBorders>
                    <w:tl2br w:val="nil"/>
                    <w:tr2bl w:val="nil"/>
                  </w:tcBorders>
                  <w:vAlign w:val="center"/>
                </w:tcPr>
                <w:p w14:paraId="09ADD7F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773" w:type="dxa"/>
                  <w:vMerge w:val="continue"/>
                  <w:tcBorders>
                    <w:tl2br w:val="nil"/>
                    <w:tr2bl w:val="nil"/>
                  </w:tcBorders>
                  <w:vAlign w:val="center"/>
                </w:tcPr>
                <w:p w14:paraId="5BE30B4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6358AD1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沥青加热废气</w:t>
                  </w:r>
                </w:p>
              </w:tc>
              <w:tc>
                <w:tcPr>
                  <w:tcW w:w="1581" w:type="dxa"/>
                  <w:tcBorders>
                    <w:tl2br w:val="nil"/>
                    <w:tr2bl w:val="nil"/>
                  </w:tcBorders>
                  <w:vAlign w:val="center"/>
                </w:tcPr>
                <w:p w14:paraId="26A4DD3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沥青加热</w:t>
                  </w:r>
                </w:p>
              </w:tc>
              <w:tc>
                <w:tcPr>
                  <w:tcW w:w="2885" w:type="dxa"/>
                  <w:tcBorders>
                    <w:tl2br w:val="nil"/>
                    <w:tr2bl w:val="nil"/>
                  </w:tcBorders>
                  <w:vAlign w:val="center"/>
                </w:tcPr>
                <w:p w14:paraId="03D8D30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沥青烟、苯并[a]芘、VOCs（以非甲烷总烃计）</w:t>
                  </w:r>
                </w:p>
              </w:tc>
            </w:tr>
            <w:tr w14:paraId="1C5CA3F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76" w:type="dxa"/>
                  <w:vMerge w:val="continue"/>
                  <w:tcBorders>
                    <w:tl2br w:val="nil"/>
                    <w:tr2bl w:val="nil"/>
                  </w:tcBorders>
                  <w:vAlign w:val="center"/>
                </w:tcPr>
                <w:p w14:paraId="282395F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773" w:type="dxa"/>
                  <w:vMerge w:val="continue"/>
                  <w:tcBorders>
                    <w:tl2br w:val="nil"/>
                    <w:tr2bl w:val="nil"/>
                  </w:tcBorders>
                  <w:vAlign w:val="center"/>
                </w:tcPr>
                <w:p w14:paraId="1171A9E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4C09EFA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堆场扬尘</w:t>
                  </w:r>
                </w:p>
              </w:tc>
              <w:tc>
                <w:tcPr>
                  <w:tcW w:w="1581" w:type="dxa"/>
                  <w:tcBorders>
                    <w:tl2br w:val="nil"/>
                    <w:tr2bl w:val="nil"/>
                  </w:tcBorders>
                  <w:vAlign w:val="center"/>
                </w:tcPr>
                <w:p w14:paraId="7D5D1A4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暂存</w:t>
                  </w:r>
                </w:p>
              </w:tc>
              <w:tc>
                <w:tcPr>
                  <w:tcW w:w="2885" w:type="dxa"/>
                  <w:tcBorders>
                    <w:tl2br w:val="nil"/>
                    <w:tr2bl w:val="nil"/>
                  </w:tcBorders>
                  <w:vAlign w:val="center"/>
                </w:tcPr>
                <w:p w14:paraId="651C126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颗粒物</w:t>
                  </w:r>
                </w:p>
              </w:tc>
            </w:tr>
            <w:tr w14:paraId="24E6CBA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76" w:type="dxa"/>
                  <w:vMerge w:val="continue"/>
                  <w:tcBorders>
                    <w:tl2br w:val="nil"/>
                    <w:tr2bl w:val="nil"/>
                  </w:tcBorders>
                  <w:vAlign w:val="center"/>
                </w:tcPr>
                <w:p w14:paraId="3392940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773" w:type="dxa"/>
                  <w:vMerge w:val="restart"/>
                  <w:tcBorders>
                    <w:tl2br w:val="nil"/>
                    <w:tr2bl w:val="nil"/>
                  </w:tcBorders>
                  <w:vAlign w:val="center"/>
                </w:tcPr>
                <w:p w14:paraId="494A805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再生料预处理</w:t>
                  </w:r>
                </w:p>
              </w:tc>
              <w:tc>
                <w:tcPr>
                  <w:tcW w:w="2411" w:type="dxa"/>
                  <w:tcBorders>
                    <w:tl2br w:val="nil"/>
                    <w:tr2bl w:val="nil"/>
                  </w:tcBorders>
                  <w:vAlign w:val="center"/>
                </w:tcPr>
                <w:p w14:paraId="23CA85D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装卸扬尘</w:t>
                  </w:r>
                </w:p>
              </w:tc>
              <w:tc>
                <w:tcPr>
                  <w:tcW w:w="1581" w:type="dxa"/>
                  <w:tcBorders>
                    <w:tl2br w:val="nil"/>
                    <w:tr2bl w:val="nil"/>
                  </w:tcBorders>
                  <w:vAlign w:val="center"/>
                </w:tcPr>
                <w:p w14:paraId="482E4B7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原料卸料</w:t>
                  </w:r>
                </w:p>
              </w:tc>
              <w:tc>
                <w:tcPr>
                  <w:tcW w:w="2885" w:type="dxa"/>
                  <w:tcBorders>
                    <w:tl2br w:val="nil"/>
                    <w:tr2bl w:val="nil"/>
                  </w:tcBorders>
                  <w:vAlign w:val="center"/>
                </w:tcPr>
                <w:p w14:paraId="253C77A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颗粒物</w:t>
                  </w:r>
                </w:p>
              </w:tc>
            </w:tr>
            <w:tr w14:paraId="4965F54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76" w:type="dxa"/>
                  <w:vMerge w:val="continue"/>
                  <w:tcBorders>
                    <w:tl2br w:val="nil"/>
                    <w:tr2bl w:val="nil"/>
                  </w:tcBorders>
                  <w:vAlign w:val="center"/>
                </w:tcPr>
                <w:p w14:paraId="1D039D9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773" w:type="dxa"/>
                  <w:vMerge w:val="continue"/>
                  <w:tcBorders>
                    <w:tl2br w:val="nil"/>
                    <w:tr2bl w:val="nil"/>
                  </w:tcBorders>
                  <w:vAlign w:val="center"/>
                </w:tcPr>
                <w:p w14:paraId="0D1619A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26FDAA5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投料粉尘</w:t>
                  </w:r>
                </w:p>
              </w:tc>
              <w:tc>
                <w:tcPr>
                  <w:tcW w:w="1581" w:type="dxa"/>
                  <w:tcBorders>
                    <w:tl2br w:val="nil"/>
                    <w:tr2bl w:val="nil"/>
                  </w:tcBorders>
                  <w:vAlign w:val="center"/>
                </w:tcPr>
                <w:p w14:paraId="3D62434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投料、计量投料</w:t>
                  </w:r>
                </w:p>
              </w:tc>
              <w:tc>
                <w:tcPr>
                  <w:tcW w:w="2885" w:type="dxa"/>
                  <w:tcBorders>
                    <w:tl2br w:val="nil"/>
                    <w:tr2bl w:val="nil"/>
                  </w:tcBorders>
                  <w:vAlign w:val="center"/>
                </w:tcPr>
                <w:p w14:paraId="64EE0D2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颗粒物</w:t>
                  </w:r>
                </w:p>
              </w:tc>
            </w:tr>
            <w:tr w14:paraId="6071454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76" w:type="dxa"/>
                  <w:vMerge w:val="continue"/>
                  <w:tcBorders>
                    <w:tl2br w:val="nil"/>
                    <w:tr2bl w:val="nil"/>
                  </w:tcBorders>
                  <w:vAlign w:val="center"/>
                </w:tcPr>
                <w:p w14:paraId="0E5E2C3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773" w:type="dxa"/>
                  <w:vMerge w:val="continue"/>
                  <w:tcBorders>
                    <w:tl2br w:val="nil"/>
                    <w:tr2bl w:val="nil"/>
                  </w:tcBorders>
                  <w:vAlign w:val="center"/>
                </w:tcPr>
                <w:p w14:paraId="10C90A0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5131C1E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破碎粉尘</w:t>
                  </w:r>
                </w:p>
              </w:tc>
              <w:tc>
                <w:tcPr>
                  <w:tcW w:w="1581" w:type="dxa"/>
                  <w:tcBorders>
                    <w:tl2br w:val="nil"/>
                    <w:tr2bl w:val="nil"/>
                  </w:tcBorders>
                  <w:vAlign w:val="center"/>
                </w:tcPr>
                <w:p w14:paraId="10215A7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破碎</w:t>
                  </w:r>
                </w:p>
              </w:tc>
              <w:tc>
                <w:tcPr>
                  <w:tcW w:w="2885" w:type="dxa"/>
                  <w:tcBorders>
                    <w:tl2br w:val="nil"/>
                    <w:tr2bl w:val="nil"/>
                  </w:tcBorders>
                  <w:vAlign w:val="center"/>
                </w:tcPr>
                <w:p w14:paraId="704D881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颗粒物</w:t>
                  </w:r>
                </w:p>
              </w:tc>
            </w:tr>
            <w:tr w14:paraId="59F67BB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76" w:type="dxa"/>
                  <w:vMerge w:val="continue"/>
                  <w:tcBorders>
                    <w:tl2br w:val="nil"/>
                    <w:tr2bl w:val="nil"/>
                  </w:tcBorders>
                  <w:vAlign w:val="center"/>
                </w:tcPr>
                <w:p w14:paraId="398F6C7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773" w:type="dxa"/>
                  <w:vMerge w:val="continue"/>
                  <w:tcBorders>
                    <w:tl2br w:val="nil"/>
                    <w:tr2bl w:val="nil"/>
                  </w:tcBorders>
                  <w:vAlign w:val="center"/>
                </w:tcPr>
                <w:p w14:paraId="2A5A59A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5029B5F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筛分粉尘</w:t>
                  </w:r>
                </w:p>
              </w:tc>
              <w:tc>
                <w:tcPr>
                  <w:tcW w:w="1581" w:type="dxa"/>
                  <w:tcBorders>
                    <w:tl2br w:val="nil"/>
                    <w:tr2bl w:val="nil"/>
                  </w:tcBorders>
                  <w:vAlign w:val="center"/>
                </w:tcPr>
                <w:p w14:paraId="30F18B8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筛分</w:t>
                  </w:r>
                </w:p>
              </w:tc>
              <w:tc>
                <w:tcPr>
                  <w:tcW w:w="2885" w:type="dxa"/>
                  <w:tcBorders>
                    <w:tl2br w:val="nil"/>
                    <w:tr2bl w:val="nil"/>
                  </w:tcBorders>
                  <w:vAlign w:val="center"/>
                </w:tcPr>
                <w:p w14:paraId="450FF9C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颗粒物</w:t>
                  </w:r>
                </w:p>
              </w:tc>
            </w:tr>
            <w:tr w14:paraId="239C6EB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76" w:type="dxa"/>
                  <w:vMerge w:val="continue"/>
                  <w:tcBorders>
                    <w:tl2br w:val="nil"/>
                    <w:tr2bl w:val="nil"/>
                  </w:tcBorders>
                  <w:vAlign w:val="center"/>
                </w:tcPr>
                <w:p w14:paraId="368563B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773" w:type="dxa"/>
                  <w:vMerge w:val="continue"/>
                  <w:tcBorders>
                    <w:tl2br w:val="nil"/>
                    <w:tr2bl w:val="nil"/>
                  </w:tcBorders>
                  <w:vAlign w:val="center"/>
                </w:tcPr>
                <w:p w14:paraId="5C8B5DE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55CAFA7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堆场扬尘</w:t>
                  </w:r>
                </w:p>
              </w:tc>
              <w:tc>
                <w:tcPr>
                  <w:tcW w:w="1581" w:type="dxa"/>
                  <w:tcBorders>
                    <w:tl2br w:val="nil"/>
                    <w:tr2bl w:val="nil"/>
                  </w:tcBorders>
                  <w:vAlign w:val="center"/>
                </w:tcPr>
                <w:p w14:paraId="3CFEFCD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暂存</w:t>
                  </w:r>
                </w:p>
              </w:tc>
              <w:tc>
                <w:tcPr>
                  <w:tcW w:w="2885" w:type="dxa"/>
                  <w:tcBorders>
                    <w:tl2br w:val="nil"/>
                    <w:tr2bl w:val="nil"/>
                  </w:tcBorders>
                  <w:vAlign w:val="center"/>
                </w:tcPr>
                <w:p w14:paraId="0C40099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颗粒物</w:t>
                  </w:r>
                </w:p>
              </w:tc>
            </w:tr>
            <w:tr w14:paraId="35A135A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76" w:type="dxa"/>
                  <w:vMerge w:val="continue"/>
                  <w:tcBorders>
                    <w:tl2br w:val="nil"/>
                    <w:tr2bl w:val="nil"/>
                  </w:tcBorders>
                  <w:vAlign w:val="center"/>
                </w:tcPr>
                <w:p w14:paraId="39E5D07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773" w:type="dxa"/>
                  <w:vMerge w:val="restart"/>
                  <w:tcBorders>
                    <w:tl2br w:val="nil"/>
                    <w:tr2bl w:val="nil"/>
                  </w:tcBorders>
                  <w:vAlign w:val="center"/>
                </w:tcPr>
                <w:p w14:paraId="2313C1B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煤粉生产线</w:t>
                  </w:r>
                </w:p>
              </w:tc>
              <w:tc>
                <w:tcPr>
                  <w:tcW w:w="2411" w:type="dxa"/>
                  <w:tcBorders>
                    <w:tl2br w:val="nil"/>
                    <w:tr2bl w:val="nil"/>
                  </w:tcBorders>
                  <w:shd w:val="clear" w:color="auto" w:fill="auto"/>
                  <w:vAlign w:val="center"/>
                </w:tcPr>
                <w:p w14:paraId="37B1C0F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rPr>
                    <w:t>装卸扬尘</w:t>
                  </w:r>
                </w:p>
              </w:tc>
              <w:tc>
                <w:tcPr>
                  <w:tcW w:w="1581" w:type="dxa"/>
                  <w:tcBorders>
                    <w:tl2br w:val="nil"/>
                    <w:tr2bl w:val="nil"/>
                  </w:tcBorders>
                  <w:shd w:val="clear" w:color="auto" w:fill="auto"/>
                  <w:vAlign w:val="center"/>
                </w:tcPr>
                <w:p w14:paraId="54D3BB1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rPr>
                    <w:t>原料卸料</w:t>
                  </w:r>
                </w:p>
              </w:tc>
              <w:tc>
                <w:tcPr>
                  <w:tcW w:w="2885" w:type="dxa"/>
                  <w:tcBorders>
                    <w:tl2br w:val="nil"/>
                    <w:tr2bl w:val="nil"/>
                  </w:tcBorders>
                  <w:shd w:val="clear" w:color="auto" w:fill="auto"/>
                  <w:vAlign w:val="center"/>
                </w:tcPr>
                <w:p w14:paraId="196F5F5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rPr>
                    <w:t>颗粒物</w:t>
                  </w:r>
                </w:p>
              </w:tc>
            </w:tr>
            <w:tr w14:paraId="06FD309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76" w:type="dxa"/>
                  <w:vMerge w:val="continue"/>
                  <w:tcBorders>
                    <w:tl2br w:val="nil"/>
                    <w:tr2bl w:val="nil"/>
                  </w:tcBorders>
                  <w:vAlign w:val="center"/>
                </w:tcPr>
                <w:p w14:paraId="2FD97E9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773" w:type="dxa"/>
                  <w:vMerge w:val="continue"/>
                  <w:tcBorders>
                    <w:tl2br w:val="nil"/>
                    <w:tr2bl w:val="nil"/>
                  </w:tcBorders>
                  <w:vAlign w:val="center"/>
                </w:tcPr>
                <w:p w14:paraId="0BDA6A3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shd w:val="clear" w:color="auto" w:fill="auto"/>
                  <w:vAlign w:val="center"/>
                </w:tcPr>
                <w:p w14:paraId="0A2B650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rPr>
                    <w:t>堆场扬尘</w:t>
                  </w:r>
                </w:p>
              </w:tc>
              <w:tc>
                <w:tcPr>
                  <w:tcW w:w="1581" w:type="dxa"/>
                  <w:tcBorders>
                    <w:tl2br w:val="nil"/>
                    <w:tr2bl w:val="nil"/>
                  </w:tcBorders>
                  <w:shd w:val="clear" w:color="auto" w:fill="auto"/>
                  <w:vAlign w:val="center"/>
                </w:tcPr>
                <w:p w14:paraId="312FD4E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rPr>
                    <w:t>暂存</w:t>
                  </w:r>
                </w:p>
              </w:tc>
              <w:tc>
                <w:tcPr>
                  <w:tcW w:w="2885" w:type="dxa"/>
                  <w:tcBorders>
                    <w:tl2br w:val="nil"/>
                    <w:tr2bl w:val="nil"/>
                  </w:tcBorders>
                  <w:shd w:val="clear" w:color="auto" w:fill="auto"/>
                  <w:vAlign w:val="center"/>
                </w:tcPr>
                <w:p w14:paraId="20CC525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rPr>
                    <w:t>颗粒物</w:t>
                  </w:r>
                </w:p>
              </w:tc>
            </w:tr>
            <w:tr w14:paraId="30906E6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76" w:type="dxa"/>
                  <w:vMerge w:val="continue"/>
                  <w:tcBorders>
                    <w:tl2br w:val="nil"/>
                    <w:tr2bl w:val="nil"/>
                  </w:tcBorders>
                  <w:vAlign w:val="center"/>
                </w:tcPr>
                <w:p w14:paraId="7D7481A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773" w:type="dxa"/>
                  <w:vMerge w:val="continue"/>
                  <w:tcBorders>
                    <w:tl2br w:val="nil"/>
                    <w:tr2bl w:val="nil"/>
                  </w:tcBorders>
                  <w:vAlign w:val="center"/>
                </w:tcPr>
                <w:p w14:paraId="0EAC3EC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73182AC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磨煤系统粉尘</w:t>
                  </w:r>
                </w:p>
              </w:tc>
              <w:tc>
                <w:tcPr>
                  <w:tcW w:w="1581" w:type="dxa"/>
                  <w:tcBorders>
                    <w:tl2br w:val="nil"/>
                    <w:tr2bl w:val="nil"/>
                  </w:tcBorders>
                  <w:vAlign w:val="center"/>
                </w:tcPr>
                <w:p w14:paraId="2A2B365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磨粉</w:t>
                  </w:r>
                </w:p>
              </w:tc>
              <w:tc>
                <w:tcPr>
                  <w:tcW w:w="2885" w:type="dxa"/>
                  <w:tcBorders>
                    <w:tl2br w:val="nil"/>
                    <w:tr2bl w:val="nil"/>
                  </w:tcBorders>
                  <w:vAlign w:val="center"/>
                </w:tcPr>
                <w:p w14:paraId="2D44CE9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颗粒物</w:t>
                  </w:r>
                </w:p>
              </w:tc>
            </w:tr>
            <w:tr w14:paraId="4885BC4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76" w:type="dxa"/>
                  <w:vMerge w:val="continue"/>
                  <w:tcBorders>
                    <w:tl2br w:val="nil"/>
                    <w:tr2bl w:val="nil"/>
                  </w:tcBorders>
                  <w:vAlign w:val="center"/>
                </w:tcPr>
                <w:p w14:paraId="3E7A4C0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773" w:type="dxa"/>
                  <w:vMerge w:val="continue"/>
                  <w:tcBorders>
                    <w:tl2br w:val="nil"/>
                    <w:tr2bl w:val="nil"/>
                  </w:tcBorders>
                  <w:vAlign w:val="center"/>
                </w:tcPr>
                <w:p w14:paraId="3864229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shd w:val="clear" w:color="auto" w:fill="auto"/>
                  <w:vAlign w:val="center"/>
                </w:tcPr>
                <w:p w14:paraId="1796AB5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燃气热风炉废气</w:t>
                  </w:r>
                </w:p>
              </w:tc>
              <w:tc>
                <w:tcPr>
                  <w:tcW w:w="1581" w:type="dxa"/>
                  <w:tcBorders>
                    <w:tl2br w:val="nil"/>
                    <w:tr2bl w:val="nil"/>
                  </w:tcBorders>
                  <w:shd w:val="clear" w:color="auto" w:fill="auto"/>
                  <w:vAlign w:val="center"/>
                </w:tcPr>
                <w:p w14:paraId="7585839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rPr>
                    <w:t>天然气燃烧</w:t>
                  </w:r>
                </w:p>
              </w:tc>
              <w:tc>
                <w:tcPr>
                  <w:tcW w:w="2885" w:type="dxa"/>
                  <w:tcBorders>
                    <w:tl2br w:val="nil"/>
                    <w:tr2bl w:val="nil"/>
                  </w:tcBorders>
                  <w:shd w:val="clear" w:color="auto" w:fill="auto"/>
                  <w:vAlign w:val="center"/>
                </w:tcPr>
                <w:p w14:paraId="715FED1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rPr>
                    <w:t>颗粒物、SO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vertAlign w:val="baseline"/>
                    </w:rPr>
                    <w:t>、NOx</w:t>
                  </w:r>
                </w:p>
              </w:tc>
            </w:tr>
            <w:tr w14:paraId="0C29447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76" w:type="dxa"/>
                  <w:vMerge w:val="continue"/>
                  <w:tcBorders>
                    <w:tl2br w:val="nil"/>
                    <w:tr2bl w:val="nil"/>
                  </w:tcBorders>
                  <w:vAlign w:val="center"/>
                </w:tcPr>
                <w:p w14:paraId="20C7282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773" w:type="dxa"/>
                  <w:vMerge w:val="continue"/>
                  <w:tcBorders>
                    <w:tl2br w:val="nil"/>
                    <w:tr2bl w:val="nil"/>
                  </w:tcBorders>
                  <w:vAlign w:val="center"/>
                </w:tcPr>
                <w:p w14:paraId="5619E06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3A53ACD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成品煤粉仓储罐粉尘</w:t>
                  </w:r>
                </w:p>
              </w:tc>
              <w:tc>
                <w:tcPr>
                  <w:tcW w:w="1581" w:type="dxa"/>
                  <w:tcBorders>
                    <w:tl2br w:val="nil"/>
                    <w:tr2bl w:val="nil"/>
                  </w:tcBorders>
                  <w:vAlign w:val="center"/>
                </w:tcPr>
                <w:p w14:paraId="2E8054E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成品储存</w:t>
                  </w:r>
                </w:p>
              </w:tc>
              <w:tc>
                <w:tcPr>
                  <w:tcW w:w="2885" w:type="dxa"/>
                  <w:tcBorders>
                    <w:tl2br w:val="nil"/>
                    <w:tr2bl w:val="nil"/>
                  </w:tcBorders>
                  <w:vAlign w:val="center"/>
                </w:tcPr>
                <w:p w14:paraId="35B5931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颗粒物</w:t>
                  </w:r>
                </w:p>
              </w:tc>
            </w:tr>
            <w:tr w14:paraId="2E85EAB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76" w:type="dxa"/>
                  <w:vMerge w:val="continue"/>
                  <w:tcBorders>
                    <w:tl2br w:val="nil"/>
                    <w:tr2bl w:val="nil"/>
                  </w:tcBorders>
                  <w:vAlign w:val="center"/>
                </w:tcPr>
                <w:p w14:paraId="7A3C49B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773" w:type="dxa"/>
                  <w:vMerge w:val="continue"/>
                  <w:tcBorders>
                    <w:tl2br w:val="nil"/>
                    <w:tr2bl w:val="nil"/>
                  </w:tcBorders>
                  <w:vAlign w:val="center"/>
                </w:tcPr>
                <w:p w14:paraId="3432462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2848DDD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袋装包装粉尘</w:t>
                  </w:r>
                </w:p>
              </w:tc>
              <w:tc>
                <w:tcPr>
                  <w:tcW w:w="1581" w:type="dxa"/>
                  <w:tcBorders>
                    <w:tl2br w:val="nil"/>
                    <w:tr2bl w:val="nil"/>
                  </w:tcBorders>
                  <w:vAlign w:val="center"/>
                </w:tcPr>
                <w:p w14:paraId="77E1E8D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成品包装</w:t>
                  </w:r>
                </w:p>
              </w:tc>
              <w:tc>
                <w:tcPr>
                  <w:tcW w:w="2885" w:type="dxa"/>
                  <w:tcBorders>
                    <w:tl2br w:val="nil"/>
                    <w:tr2bl w:val="nil"/>
                  </w:tcBorders>
                  <w:vAlign w:val="center"/>
                </w:tcPr>
                <w:p w14:paraId="3DAB7B7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sz w:val="21"/>
                      <w:szCs w:val="21"/>
                      <w:vertAlign w:val="baseline"/>
                      <w:lang w:val="en-US" w:eastAsia="zh-CN"/>
                    </w:rPr>
                    <w:t>颗粒物</w:t>
                  </w:r>
                </w:p>
              </w:tc>
            </w:tr>
            <w:tr w14:paraId="0C95CB5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76" w:type="dxa"/>
                  <w:vMerge w:val="continue"/>
                  <w:tcBorders>
                    <w:tl2br w:val="nil"/>
                    <w:tr2bl w:val="nil"/>
                  </w:tcBorders>
                  <w:vAlign w:val="center"/>
                </w:tcPr>
                <w:p w14:paraId="3257592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773" w:type="dxa"/>
                  <w:vMerge w:val="restart"/>
                  <w:tcBorders>
                    <w:tl2br w:val="nil"/>
                    <w:tr2bl w:val="nil"/>
                  </w:tcBorders>
                  <w:vAlign w:val="center"/>
                </w:tcPr>
                <w:p w14:paraId="3C3A47B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公辅设施</w:t>
                  </w:r>
                </w:p>
              </w:tc>
              <w:tc>
                <w:tcPr>
                  <w:tcW w:w="2411" w:type="dxa"/>
                  <w:tcBorders>
                    <w:tl2br w:val="nil"/>
                    <w:tr2bl w:val="nil"/>
                  </w:tcBorders>
                  <w:vAlign w:val="center"/>
                </w:tcPr>
                <w:p w14:paraId="4859B24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食堂油烟</w:t>
                  </w:r>
                </w:p>
              </w:tc>
              <w:tc>
                <w:tcPr>
                  <w:tcW w:w="1581" w:type="dxa"/>
                  <w:tcBorders>
                    <w:tl2br w:val="nil"/>
                    <w:tr2bl w:val="nil"/>
                  </w:tcBorders>
                  <w:vAlign w:val="center"/>
                </w:tcPr>
                <w:p w14:paraId="4F80E8C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食堂</w:t>
                  </w:r>
                </w:p>
              </w:tc>
              <w:tc>
                <w:tcPr>
                  <w:tcW w:w="2885" w:type="dxa"/>
                  <w:tcBorders>
                    <w:tl2br w:val="nil"/>
                    <w:tr2bl w:val="nil"/>
                  </w:tcBorders>
                  <w:vAlign w:val="center"/>
                </w:tcPr>
                <w:p w14:paraId="37A777E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油烟</w:t>
                  </w:r>
                </w:p>
              </w:tc>
            </w:tr>
            <w:tr w14:paraId="2DEA83A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76" w:type="dxa"/>
                  <w:vMerge w:val="continue"/>
                  <w:tcBorders>
                    <w:tl2br w:val="nil"/>
                    <w:tr2bl w:val="nil"/>
                  </w:tcBorders>
                  <w:vAlign w:val="center"/>
                </w:tcPr>
                <w:p w14:paraId="639A268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773" w:type="dxa"/>
                  <w:vMerge w:val="continue"/>
                  <w:tcBorders>
                    <w:tl2br w:val="nil"/>
                    <w:tr2bl w:val="nil"/>
                  </w:tcBorders>
                  <w:vAlign w:val="center"/>
                </w:tcPr>
                <w:p w14:paraId="1E157B8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787BF51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18"/>
                      <w:szCs w:val="18"/>
                      <w:vertAlign w:val="baseline"/>
                    </w:rPr>
                    <w:t>厂区道路扬尘</w:t>
                  </w:r>
                </w:p>
              </w:tc>
              <w:tc>
                <w:tcPr>
                  <w:tcW w:w="1581" w:type="dxa"/>
                  <w:tcBorders>
                    <w:tl2br w:val="nil"/>
                    <w:tr2bl w:val="nil"/>
                  </w:tcBorders>
                  <w:vAlign w:val="center"/>
                </w:tcPr>
                <w:p w14:paraId="42C7090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厂区道路</w:t>
                  </w:r>
                </w:p>
              </w:tc>
              <w:tc>
                <w:tcPr>
                  <w:tcW w:w="2885" w:type="dxa"/>
                  <w:tcBorders>
                    <w:tl2br w:val="nil"/>
                    <w:tr2bl w:val="nil"/>
                  </w:tcBorders>
                  <w:vAlign w:val="center"/>
                </w:tcPr>
                <w:p w14:paraId="51E328E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颗粒物</w:t>
                  </w:r>
                </w:p>
              </w:tc>
            </w:tr>
            <w:tr w14:paraId="1AD7340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76" w:type="dxa"/>
                  <w:vMerge w:val="continue"/>
                  <w:tcBorders>
                    <w:tl2br w:val="nil"/>
                    <w:tr2bl w:val="nil"/>
                  </w:tcBorders>
                  <w:vAlign w:val="center"/>
                </w:tcPr>
                <w:p w14:paraId="015E09A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773" w:type="dxa"/>
                  <w:vMerge w:val="continue"/>
                  <w:tcBorders>
                    <w:tl2br w:val="nil"/>
                    <w:tr2bl w:val="nil"/>
                  </w:tcBorders>
                  <w:vAlign w:val="center"/>
                </w:tcPr>
                <w:p w14:paraId="3A261C9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599E584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汽车尾气</w:t>
                  </w:r>
                </w:p>
              </w:tc>
              <w:tc>
                <w:tcPr>
                  <w:tcW w:w="1581" w:type="dxa"/>
                  <w:tcBorders>
                    <w:tl2br w:val="nil"/>
                    <w:tr2bl w:val="nil"/>
                  </w:tcBorders>
                  <w:vAlign w:val="center"/>
                </w:tcPr>
                <w:p w14:paraId="77C45EA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运输车辆</w:t>
                  </w:r>
                </w:p>
              </w:tc>
              <w:tc>
                <w:tcPr>
                  <w:tcW w:w="2885" w:type="dxa"/>
                  <w:tcBorders>
                    <w:tl2br w:val="nil"/>
                    <w:tr2bl w:val="nil"/>
                  </w:tcBorders>
                  <w:vAlign w:val="center"/>
                </w:tcPr>
                <w:p w14:paraId="1F5DBAC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NOx、CO</w:t>
                  </w:r>
                </w:p>
              </w:tc>
            </w:tr>
            <w:tr w14:paraId="43C5B7E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76" w:type="dxa"/>
                  <w:vMerge w:val="continue"/>
                  <w:tcBorders>
                    <w:tl2br w:val="nil"/>
                    <w:tr2bl w:val="nil"/>
                  </w:tcBorders>
                  <w:vAlign w:val="center"/>
                </w:tcPr>
                <w:p w14:paraId="0B4703E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773" w:type="dxa"/>
                  <w:vMerge w:val="continue"/>
                  <w:tcBorders>
                    <w:tl2br w:val="nil"/>
                    <w:tr2bl w:val="nil"/>
                  </w:tcBorders>
                  <w:vAlign w:val="center"/>
                </w:tcPr>
                <w:p w14:paraId="4A71EFE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3162FC5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生产检测中心有机废气</w:t>
                  </w:r>
                </w:p>
              </w:tc>
              <w:tc>
                <w:tcPr>
                  <w:tcW w:w="1581" w:type="dxa"/>
                  <w:tcBorders>
                    <w:tl2br w:val="nil"/>
                    <w:tr2bl w:val="nil"/>
                  </w:tcBorders>
                  <w:vAlign w:val="center"/>
                </w:tcPr>
                <w:p w14:paraId="37EEB2C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生产检测中心</w:t>
                  </w:r>
                </w:p>
              </w:tc>
              <w:tc>
                <w:tcPr>
                  <w:tcW w:w="2885" w:type="dxa"/>
                  <w:tcBorders>
                    <w:tl2br w:val="nil"/>
                    <w:tr2bl w:val="nil"/>
                  </w:tcBorders>
                  <w:vAlign w:val="center"/>
                </w:tcPr>
                <w:p w14:paraId="6FB6B46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沥青烟、苯并[a]芘、VOCs（以非甲烷总烃计）</w:t>
                  </w:r>
                </w:p>
              </w:tc>
            </w:tr>
            <w:tr w14:paraId="204A585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49" w:type="dxa"/>
                  <w:gridSpan w:val="2"/>
                  <w:vMerge w:val="restart"/>
                  <w:tcBorders>
                    <w:tl2br w:val="nil"/>
                    <w:tr2bl w:val="nil"/>
                  </w:tcBorders>
                  <w:vAlign w:val="center"/>
                </w:tcPr>
                <w:p w14:paraId="05B6374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废水</w:t>
                  </w:r>
                </w:p>
              </w:tc>
              <w:tc>
                <w:tcPr>
                  <w:tcW w:w="2411" w:type="dxa"/>
                  <w:tcBorders>
                    <w:tl2br w:val="nil"/>
                    <w:tr2bl w:val="nil"/>
                  </w:tcBorders>
                  <w:vAlign w:val="center"/>
                </w:tcPr>
                <w:p w14:paraId="067B785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生活污水（</w:t>
                  </w:r>
                  <w:r>
                    <w:rPr>
                      <w:rFonts w:hint="eastAsia" w:ascii="Times New Roman" w:hAnsi="Times New Roman" w:eastAsia="宋体" w:cs="Times New Roman"/>
                      <w:color w:val="auto"/>
                      <w:sz w:val="21"/>
                      <w:szCs w:val="21"/>
                      <w:vertAlign w:val="baseline"/>
                      <w:lang w:val="en-US" w:eastAsia="zh-CN"/>
                    </w:rPr>
                    <w:t>含</w:t>
                  </w:r>
                  <w:r>
                    <w:rPr>
                      <w:rFonts w:hint="default" w:ascii="Times New Roman" w:hAnsi="Times New Roman" w:eastAsia="宋体" w:cs="Times New Roman"/>
                      <w:color w:val="auto"/>
                      <w:sz w:val="21"/>
                      <w:szCs w:val="21"/>
                      <w:vertAlign w:val="baseline"/>
                    </w:rPr>
                    <w:t>食堂废水）</w:t>
                  </w:r>
                </w:p>
              </w:tc>
              <w:tc>
                <w:tcPr>
                  <w:tcW w:w="1581" w:type="dxa"/>
                  <w:tcBorders>
                    <w:tl2br w:val="nil"/>
                    <w:tr2bl w:val="nil"/>
                  </w:tcBorders>
                  <w:vAlign w:val="center"/>
                </w:tcPr>
                <w:p w14:paraId="6AA96DD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办公生活</w:t>
                  </w:r>
                </w:p>
              </w:tc>
              <w:tc>
                <w:tcPr>
                  <w:tcW w:w="2885" w:type="dxa"/>
                  <w:tcBorders>
                    <w:tl2br w:val="nil"/>
                    <w:tr2bl w:val="nil"/>
                  </w:tcBorders>
                  <w:vAlign w:val="center"/>
                </w:tcPr>
                <w:p w14:paraId="71B62C5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COD、NH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vertAlign w:val="baseline"/>
                    </w:rPr>
                    <w:t>-N、BOD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vertAlign w:val="baseline"/>
                    </w:rPr>
                    <w:t>、TP、SS、动植物油</w:t>
                  </w:r>
                </w:p>
              </w:tc>
            </w:tr>
            <w:tr w14:paraId="0227108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49" w:type="dxa"/>
                  <w:gridSpan w:val="2"/>
                  <w:vMerge w:val="continue"/>
                  <w:tcBorders>
                    <w:tl2br w:val="nil"/>
                    <w:tr2bl w:val="nil"/>
                  </w:tcBorders>
                  <w:vAlign w:val="center"/>
                </w:tcPr>
                <w:p w14:paraId="71D072A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4EE2C56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车辆</w:t>
                  </w:r>
                  <w:r>
                    <w:rPr>
                      <w:rFonts w:hint="eastAsia" w:cs="Times New Roman"/>
                      <w:color w:val="auto"/>
                      <w:sz w:val="21"/>
                      <w:szCs w:val="21"/>
                      <w:vertAlign w:val="baseline"/>
                      <w:lang w:val="en-US" w:eastAsia="zh-CN"/>
                    </w:rPr>
                    <w:t>清洗</w:t>
                  </w:r>
                  <w:r>
                    <w:rPr>
                      <w:rFonts w:hint="default" w:ascii="Times New Roman" w:hAnsi="Times New Roman" w:eastAsia="宋体" w:cs="Times New Roman"/>
                      <w:color w:val="auto"/>
                      <w:sz w:val="21"/>
                      <w:szCs w:val="21"/>
                      <w:vertAlign w:val="baseline"/>
                    </w:rPr>
                    <w:t>废水</w:t>
                  </w:r>
                </w:p>
              </w:tc>
              <w:tc>
                <w:tcPr>
                  <w:tcW w:w="1581" w:type="dxa"/>
                  <w:tcBorders>
                    <w:tl2br w:val="nil"/>
                    <w:tr2bl w:val="nil"/>
                  </w:tcBorders>
                  <w:vAlign w:val="center"/>
                </w:tcPr>
                <w:p w14:paraId="57FDC01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rPr>
                    <w:t>车辆</w:t>
                  </w:r>
                  <w:r>
                    <w:rPr>
                      <w:rFonts w:hint="eastAsia" w:cs="Times New Roman"/>
                      <w:color w:val="auto"/>
                      <w:sz w:val="21"/>
                      <w:szCs w:val="21"/>
                      <w:vertAlign w:val="baseline"/>
                      <w:lang w:val="en-US" w:eastAsia="zh-CN"/>
                    </w:rPr>
                    <w:t>清洗</w:t>
                  </w:r>
                </w:p>
              </w:tc>
              <w:tc>
                <w:tcPr>
                  <w:tcW w:w="2885" w:type="dxa"/>
                  <w:tcBorders>
                    <w:tl2br w:val="nil"/>
                    <w:tr2bl w:val="nil"/>
                  </w:tcBorders>
                  <w:vAlign w:val="center"/>
                </w:tcPr>
                <w:p w14:paraId="6A30371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SS、石油类</w:t>
                  </w:r>
                </w:p>
              </w:tc>
            </w:tr>
            <w:tr w14:paraId="7828FF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49" w:type="dxa"/>
                  <w:gridSpan w:val="2"/>
                  <w:vMerge w:val="continue"/>
                  <w:tcBorders>
                    <w:tl2br w:val="nil"/>
                    <w:tr2bl w:val="nil"/>
                  </w:tcBorders>
                  <w:vAlign w:val="center"/>
                </w:tcPr>
                <w:p w14:paraId="3697069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5CA0131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生产检测中心试验设备清洗废水</w:t>
                  </w:r>
                </w:p>
              </w:tc>
              <w:tc>
                <w:tcPr>
                  <w:tcW w:w="1581" w:type="dxa"/>
                  <w:tcBorders>
                    <w:tl2br w:val="nil"/>
                    <w:tr2bl w:val="nil"/>
                  </w:tcBorders>
                  <w:vAlign w:val="center"/>
                </w:tcPr>
                <w:p w14:paraId="18C2A43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生产检测中心试验</w:t>
                  </w:r>
                </w:p>
              </w:tc>
              <w:tc>
                <w:tcPr>
                  <w:tcW w:w="2885" w:type="dxa"/>
                  <w:tcBorders>
                    <w:tl2br w:val="nil"/>
                    <w:tr2bl w:val="nil"/>
                  </w:tcBorders>
                  <w:vAlign w:val="center"/>
                </w:tcPr>
                <w:p w14:paraId="192BFBB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SS、石油类</w:t>
                  </w:r>
                </w:p>
              </w:tc>
            </w:tr>
            <w:tr w14:paraId="138EC2C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49" w:type="dxa"/>
                  <w:gridSpan w:val="2"/>
                  <w:tcBorders>
                    <w:tl2br w:val="nil"/>
                    <w:tr2bl w:val="nil"/>
                  </w:tcBorders>
                  <w:vAlign w:val="center"/>
                </w:tcPr>
                <w:p w14:paraId="13C0E23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噪声</w:t>
                  </w:r>
                </w:p>
              </w:tc>
              <w:tc>
                <w:tcPr>
                  <w:tcW w:w="2411" w:type="dxa"/>
                  <w:tcBorders>
                    <w:tl2br w:val="nil"/>
                    <w:tr2bl w:val="nil"/>
                  </w:tcBorders>
                  <w:vAlign w:val="center"/>
                </w:tcPr>
                <w:p w14:paraId="65CB9D2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设备噪声</w:t>
                  </w:r>
                </w:p>
              </w:tc>
              <w:tc>
                <w:tcPr>
                  <w:tcW w:w="1581" w:type="dxa"/>
                  <w:tcBorders>
                    <w:tl2br w:val="nil"/>
                    <w:tr2bl w:val="nil"/>
                  </w:tcBorders>
                  <w:vAlign w:val="center"/>
                </w:tcPr>
                <w:p w14:paraId="249A306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生产设备</w:t>
                  </w:r>
                </w:p>
              </w:tc>
              <w:tc>
                <w:tcPr>
                  <w:tcW w:w="2885" w:type="dxa"/>
                  <w:tcBorders>
                    <w:tl2br w:val="nil"/>
                    <w:tr2bl w:val="nil"/>
                  </w:tcBorders>
                  <w:vAlign w:val="center"/>
                </w:tcPr>
                <w:p w14:paraId="744E315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w:t>
                  </w:r>
                </w:p>
              </w:tc>
            </w:tr>
            <w:tr w14:paraId="29DA704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49" w:type="dxa"/>
                  <w:gridSpan w:val="2"/>
                  <w:vMerge w:val="restart"/>
                  <w:tcBorders>
                    <w:tl2br w:val="nil"/>
                    <w:tr2bl w:val="nil"/>
                  </w:tcBorders>
                  <w:vAlign w:val="center"/>
                </w:tcPr>
                <w:p w14:paraId="6C9E4A0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固废</w:t>
                  </w:r>
                </w:p>
              </w:tc>
              <w:tc>
                <w:tcPr>
                  <w:tcW w:w="2411" w:type="dxa"/>
                  <w:tcBorders>
                    <w:tl2br w:val="nil"/>
                    <w:tr2bl w:val="nil"/>
                  </w:tcBorders>
                  <w:vAlign w:val="center"/>
                </w:tcPr>
                <w:p w14:paraId="4494A19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生活垃圾</w:t>
                  </w:r>
                </w:p>
              </w:tc>
              <w:tc>
                <w:tcPr>
                  <w:tcW w:w="1581" w:type="dxa"/>
                  <w:tcBorders>
                    <w:tl2br w:val="nil"/>
                    <w:tr2bl w:val="nil"/>
                  </w:tcBorders>
                  <w:vAlign w:val="center"/>
                </w:tcPr>
                <w:p w14:paraId="41A62BD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办公生活</w:t>
                  </w:r>
                </w:p>
              </w:tc>
              <w:tc>
                <w:tcPr>
                  <w:tcW w:w="2885" w:type="dxa"/>
                  <w:tcBorders>
                    <w:tl2br w:val="nil"/>
                    <w:tr2bl w:val="nil"/>
                  </w:tcBorders>
                  <w:vAlign w:val="center"/>
                </w:tcPr>
                <w:p w14:paraId="04C2DDA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一般固废</w:t>
                  </w:r>
                </w:p>
              </w:tc>
            </w:tr>
            <w:tr w14:paraId="7E77EB2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49" w:type="dxa"/>
                  <w:gridSpan w:val="2"/>
                  <w:vMerge w:val="continue"/>
                  <w:tcBorders>
                    <w:tl2br w:val="nil"/>
                    <w:tr2bl w:val="nil"/>
                  </w:tcBorders>
                  <w:vAlign w:val="center"/>
                </w:tcPr>
                <w:p w14:paraId="40FACBD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3B7614C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rPr>
                    <w:t>餐厨垃圾</w:t>
                  </w:r>
                  <w:r>
                    <w:rPr>
                      <w:rFonts w:hint="eastAsia" w:ascii="Times New Roman" w:hAnsi="Times New Roman" w:eastAsia="宋体" w:cs="Times New Roman"/>
                      <w:color w:val="auto"/>
                      <w:sz w:val="21"/>
                      <w:szCs w:val="21"/>
                      <w:vertAlign w:val="baseline"/>
                      <w:lang w:val="en-US" w:eastAsia="zh-CN"/>
                    </w:rPr>
                    <w:t>及废油脂</w:t>
                  </w:r>
                </w:p>
              </w:tc>
              <w:tc>
                <w:tcPr>
                  <w:tcW w:w="1581" w:type="dxa"/>
                  <w:tcBorders>
                    <w:tl2br w:val="nil"/>
                    <w:tr2bl w:val="nil"/>
                  </w:tcBorders>
                  <w:vAlign w:val="center"/>
                </w:tcPr>
                <w:p w14:paraId="488FCD8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rPr>
                    <w:t>食堂</w:t>
                  </w:r>
                  <w:r>
                    <w:rPr>
                      <w:rFonts w:hint="eastAsia" w:ascii="Times New Roman" w:hAnsi="Times New Roman" w:eastAsia="宋体" w:cs="Times New Roman"/>
                      <w:color w:val="auto"/>
                      <w:sz w:val="21"/>
                      <w:szCs w:val="21"/>
                      <w:vertAlign w:val="baseline"/>
                      <w:lang w:eastAsia="zh-CN"/>
                    </w:rPr>
                    <w:t>、</w:t>
                  </w:r>
                  <w:r>
                    <w:rPr>
                      <w:rFonts w:hint="eastAsia" w:ascii="Times New Roman" w:hAnsi="Times New Roman" w:eastAsia="宋体" w:cs="Times New Roman"/>
                      <w:color w:val="auto"/>
                      <w:sz w:val="21"/>
                      <w:szCs w:val="21"/>
                      <w:vertAlign w:val="baseline"/>
                      <w:lang w:val="en-US" w:eastAsia="zh-CN"/>
                    </w:rPr>
                    <w:t>隔油池</w:t>
                  </w:r>
                </w:p>
              </w:tc>
              <w:tc>
                <w:tcPr>
                  <w:tcW w:w="2885" w:type="dxa"/>
                  <w:tcBorders>
                    <w:tl2br w:val="nil"/>
                    <w:tr2bl w:val="nil"/>
                  </w:tcBorders>
                  <w:vAlign w:val="center"/>
                </w:tcPr>
                <w:p w14:paraId="3FACA3A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一般固废</w:t>
                  </w:r>
                </w:p>
              </w:tc>
            </w:tr>
            <w:tr w14:paraId="3B68AFC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49" w:type="dxa"/>
                  <w:gridSpan w:val="2"/>
                  <w:vMerge w:val="continue"/>
                  <w:tcBorders>
                    <w:tl2br w:val="nil"/>
                    <w:tr2bl w:val="nil"/>
                  </w:tcBorders>
                  <w:vAlign w:val="center"/>
                </w:tcPr>
                <w:p w14:paraId="60C7A2D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7D03071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筛分废料</w:t>
                  </w:r>
                </w:p>
              </w:tc>
              <w:tc>
                <w:tcPr>
                  <w:tcW w:w="1581" w:type="dxa"/>
                  <w:tcBorders>
                    <w:tl2br w:val="nil"/>
                    <w:tr2bl w:val="nil"/>
                  </w:tcBorders>
                  <w:vAlign w:val="center"/>
                </w:tcPr>
                <w:p w14:paraId="03786EC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筛分</w:t>
                  </w:r>
                </w:p>
              </w:tc>
              <w:tc>
                <w:tcPr>
                  <w:tcW w:w="2885" w:type="dxa"/>
                  <w:tcBorders>
                    <w:tl2br w:val="nil"/>
                    <w:tr2bl w:val="nil"/>
                  </w:tcBorders>
                  <w:vAlign w:val="center"/>
                </w:tcPr>
                <w:p w14:paraId="50F1404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一般固废</w:t>
                  </w:r>
                </w:p>
              </w:tc>
            </w:tr>
            <w:tr w14:paraId="5814478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49" w:type="dxa"/>
                  <w:gridSpan w:val="2"/>
                  <w:vMerge w:val="continue"/>
                  <w:tcBorders>
                    <w:tl2br w:val="nil"/>
                    <w:tr2bl w:val="nil"/>
                  </w:tcBorders>
                  <w:vAlign w:val="center"/>
                </w:tcPr>
                <w:p w14:paraId="3CF1598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4C69C7C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拌合残渣</w:t>
                  </w:r>
                </w:p>
              </w:tc>
              <w:tc>
                <w:tcPr>
                  <w:tcW w:w="1581" w:type="dxa"/>
                  <w:tcBorders>
                    <w:tl2br w:val="nil"/>
                    <w:tr2bl w:val="nil"/>
                  </w:tcBorders>
                  <w:vAlign w:val="center"/>
                </w:tcPr>
                <w:p w14:paraId="3735FA7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沥青混凝土搅拌</w:t>
                  </w:r>
                </w:p>
              </w:tc>
              <w:tc>
                <w:tcPr>
                  <w:tcW w:w="2885" w:type="dxa"/>
                  <w:tcBorders>
                    <w:tl2br w:val="nil"/>
                    <w:tr2bl w:val="nil"/>
                  </w:tcBorders>
                  <w:vAlign w:val="center"/>
                </w:tcPr>
                <w:p w14:paraId="1B9C81C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一般固废</w:t>
                  </w:r>
                </w:p>
              </w:tc>
            </w:tr>
            <w:tr w14:paraId="4B17CD5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249" w:type="dxa"/>
                  <w:gridSpan w:val="2"/>
                  <w:vMerge w:val="continue"/>
                  <w:tcBorders>
                    <w:tl2br w:val="nil"/>
                    <w:tr2bl w:val="nil"/>
                  </w:tcBorders>
                  <w:vAlign w:val="center"/>
                </w:tcPr>
                <w:p w14:paraId="1CC1060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5D8604D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废沥青、沥青混凝土</w:t>
                  </w:r>
                </w:p>
              </w:tc>
              <w:tc>
                <w:tcPr>
                  <w:tcW w:w="1581" w:type="dxa"/>
                  <w:tcBorders>
                    <w:tl2br w:val="nil"/>
                    <w:tr2bl w:val="nil"/>
                  </w:tcBorders>
                  <w:vAlign w:val="center"/>
                </w:tcPr>
                <w:p w14:paraId="1F3B948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产品检测</w:t>
                  </w:r>
                </w:p>
              </w:tc>
              <w:tc>
                <w:tcPr>
                  <w:tcW w:w="2885" w:type="dxa"/>
                  <w:tcBorders>
                    <w:tl2br w:val="nil"/>
                    <w:tr2bl w:val="nil"/>
                  </w:tcBorders>
                  <w:vAlign w:val="center"/>
                </w:tcPr>
                <w:p w14:paraId="4E58343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一般固废</w:t>
                  </w:r>
                </w:p>
              </w:tc>
            </w:tr>
            <w:tr w14:paraId="69F3BDA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249" w:type="dxa"/>
                  <w:gridSpan w:val="2"/>
                  <w:vMerge w:val="continue"/>
                  <w:tcBorders>
                    <w:tl2br w:val="nil"/>
                    <w:tr2bl w:val="nil"/>
                  </w:tcBorders>
                  <w:vAlign w:val="center"/>
                </w:tcPr>
                <w:p w14:paraId="7626B74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5E6E334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沉淀池泥饼</w:t>
                  </w:r>
                </w:p>
              </w:tc>
              <w:tc>
                <w:tcPr>
                  <w:tcW w:w="1581" w:type="dxa"/>
                  <w:tcBorders>
                    <w:tl2br w:val="nil"/>
                    <w:tr2bl w:val="nil"/>
                  </w:tcBorders>
                  <w:vAlign w:val="center"/>
                </w:tcPr>
                <w:p w14:paraId="5281BB8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废水处理</w:t>
                  </w:r>
                </w:p>
              </w:tc>
              <w:tc>
                <w:tcPr>
                  <w:tcW w:w="2885" w:type="dxa"/>
                  <w:tcBorders>
                    <w:tl2br w:val="nil"/>
                    <w:tr2bl w:val="nil"/>
                  </w:tcBorders>
                  <w:vAlign w:val="center"/>
                </w:tcPr>
                <w:p w14:paraId="7C2B273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一般固废</w:t>
                  </w:r>
                </w:p>
              </w:tc>
            </w:tr>
            <w:tr w14:paraId="083B7F1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49" w:type="dxa"/>
                  <w:gridSpan w:val="2"/>
                  <w:vMerge w:val="continue"/>
                  <w:tcBorders>
                    <w:tl2br w:val="nil"/>
                    <w:tr2bl w:val="nil"/>
                  </w:tcBorders>
                  <w:vAlign w:val="center"/>
                </w:tcPr>
                <w:p w14:paraId="07F013A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7CCC033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布袋除尘器收尘</w:t>
                  </w:r>
                </w:p>
              </w:tc>
              <w:tc>
                <w:tcPr>
                  <w:tcW w:w="1581" w:type="dxa"/>
                  <w:tcBorders>
                    <w:tl2br w:val="nil"/>
                    <w:tr2bl w:val="nil"/>
                  </w:tcBorders>
                  <w:vAlign w:val="center"/>
                </w:tcPr>
                <w:p w14:paraId="3EF092B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废气处理</w:t>
                  </w:r>
                </w:p>
              </w:tc>
              <w:tc>
                <w:tcPr>
                  <w:tcW w:w="2885" w:type="dxa"/>
                  <w:tcBorders>
                    <w:tl2br w:val="nil"/>
                    <w:tr2bl w:val="nil"/>
                  </w:tcBorders>
                  <w:vAlign w:val="center"/>
                </w:tcPr>
                <w:p w14:paraId="353C238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一般固废</w:t>
                  </w:r>
                </w:p>
              </w:tc>
            </w:tr>
            <w:tr w14:paraId="7CF09F4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49" w:type="dxa"/>
                  <w:gridSpan w:val="2"/>
                  <w:vMerge w:val="continue"/>
                  <w:tcBorders>
                    <w:tl2br w:val="nil"/>
                    <w:tr2bl w:val="nil"/>
                  </w:tcBorders>
                  <w:vAlign w:val="center"/>
                </w:tcPr>
                <w:p w14:paraId="2597EFB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480A696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车间内沉降粉尘</w:t>
                  </w:r>
                </w:p>
              </w:tc>
              <w:tc>
                <w:tcPr>
                  <w:tcW w:w="1581" w:type="dxa"/>
                  <w:tcBorders>
                    <w:tl2br w:val="nil"/>
                    <w:tr2bl w:val="nil"/>
                  </w:tcBorders>
                  <w:vAlign w:val="center"/>
                </w:tcPr>
                <w:p w14:paraId="1F2A37D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废气处理</w:t>
                  </w:r>
                </w:p>
              </w:tc>
              <w:tc>
                <w:tcPr>
                  <w:tcW w:w="2885" w:type="dxa"/>
                  <w:tcBorders>
                    <w:tl2br w:val="nil"/>
                    <w:tr2bl w:val="nil"/>
                  </w:tcBorders>
                  <w:vAlign w:val="center"/>
                </w:tcPr>
                <w:p w14:paraId="4A405FB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一般固废</w:t>
                  </w:r>
                </w:p>
              </w:tc>
            </w:tr>
            <w:tr w14:paraId="6B21BF6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49" w:type="dxa"/>
                  <w:gridSpan w:val="2"/>
                  <w:vMerge w:val="continue"/>
                  <w:tcBorders>
                    <w:tl2br w:val="nil"/>
                    <w:tr2bl w:val="nil"/>
                  </w:tcBorders>
                  <w:vAlign w:val="center"/>
                </w:tcPr>
                <w:p w14:paraId="0B98F13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4CEDC7F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喷淋塔沉渣</w:t>
                  </w:r>
                </w:p>
              </w:tc>
              <w:tc>
                <w:tcPr>
                  <w:tcW w:w="1581" w:type="dxa"/>
                  <w:tcBorders>
                    <w:tl2br w:val="nil"/>
                    <w:tr2bl w:val="nil"/>
                  </w:tcBorders>
                  <w:vAlign w:val="center"/>
                </w:tcPr>
                <w:p w14:paraId="06EA864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废气治理</w:t>
                  </w:r>
                </w:p>
              </w:tc>
              <w:tc>
                <w:tcPr>
                  <w:tcW w:w="2885" w:type="dxa"/>
                  <w:tcBorders>
                    <w:tl2br w:val="nil"/>
                    <w:tr2bl w:val="nil"/>
                  </w:tcBorders>
                  <w:vAlign w:val="center"/>
                </w:tcPr>
                <w:p w14:paraId="53A435D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一般固废</w:t>
                  </w:r>
                </w:p>
              </w:tc>
            </w:tr>
            <w:tr w14:paraId="79E14AF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49" w:type="dxa"/>
                  <w:gridSpan w:val="2"/>
                  <w:vMerge w:val="continue"/>
                  <w:tcBorders>
                    <w:tl2br w:val="nil"/>
                    <w:tr2bl w:val="nil"/>
                  </w:tcBorders>
                  <w:vAlign w:val="center"/>
                </w:tcPr>
                <w:p w14:paraId="1A2A56E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6E66FC5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废布袋</w:t>
                  </w:r>
                </w:p>
              </w:tc>
              <w:tc>
                <w:tcPr>
                  <w:tcW w:w="1581" w:type="dxa"/>
                  <w:tcBorders>
                    <w:tl2br w:val="nil"/>
                    <w:tr2bl w:val="nil"/>
                  </w:tcBorders>
                  <w:vAlign w:val="center"/>
                </w:tcPr>
                <w:p w14:paraId="588DC01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废气处理</w:t>
                  </w:r>
                </w:p>
              </w:tc>
              <w:tc>
                <w:tcPr>
                  <w:tcW w:w="2885" w:type="dxa"/>
                  <w:tcBorders>
                    <w:tl2br w:val="nil"/>
                    <w:tr2bl w:val="nil"/>
                  </w:tcBorders>
                  <w:vAlign w:val="center"/>
                </w:tcPr>
                <w:p w14:paraId="5A8D6B0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一般固废</w:t>
                  </w:r>
                </w:p>
              </w:tc>
            </w:tr>
            <w:tr w14:paraId="08BB60E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49" w:type="dxa"/>
                  <w:gridSpan w:val="2"/>
                  <w:vMerge w:val="continue"/>
                  <w:tcBorders>
                    <w:tl2br w:val="nil"/>
                    <w:tr2bl w:val="nil"/>
                  </w:tcBorders>
                  <w:vAlign w:val="center"/>
                </w:tcPr>
                <w:p w14:paraId="3E0FA70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70E5DB2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废导热油</w:t>
                  </w:r>
                </w:p>
              </w:tc>
              <w:tc>
                <w:tcPr>
                  <w:tcW w:w="1581" w:type="dxa"/>
                  <w:tcBorders>
                    <w:tl2br w:val="nil"/>
                    <w:tr2bl w:val="nil"/>
                  </w:tcBorders>
                  <w:vAlign w:val="center"/>
                </w:tcPr>
                <w:p w14:paraId="49DE57B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沥青加热系统</w:t>
                  </w:r>
                </w:p>
              </w:tc>
              <w:tc>
                <w:tcPr>
                  <w:tcW w:w="2885" w:type="dxa"/>
                  <w:tcBorders>
                    <w:tl2br w:val="nil"/>
                    <w:tr2bl w:val="nil"/>
                  </w:tcBorders>
                  <w:vAlign w:val="center"/>
                </w:tcPr>
                <w:p w14:paraId="343364B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危险废物（HW08）</w:t>
                  </w:r>
                </w:p>
              </w:tc>
            </w:tr>
            <w:tr w14:paraId="7025C57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49" w:type="dxa"/>
                  <w:gridSpan w:val="2"/>
                  <w:vMerge w:val="continue"/>
                  <w:tcBorders>
                    <w:tl2br w:val="nil"/>
                    <w:tr2bl w:val="nil"/>
                  </w:tcBorders>
                  <w:vAlign w:val="center"/>
                </w:tcPr>
                <w:p w14:paraId="3E77591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5C0ED68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隔油池油污</w:t>
                  </w:r>
                </w:p>
              </w:tc>
              <w:tc>
                <w:tcPr>
                  <w:tcW w:w="1581" w:type="dxa"/>
                  <w:tcBorders>
                    <w:tl2br w:val="nil"/>
                    <w:tr2bl w:val="nil"/>
                  </w:tcBorders>
                  <w:vAlign w:val="center"/>
                </w:tcPr>
                <w:p w14:paraId="70EA767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隔油池</w:t>
                  </w:r>
                </w:p>
              </w:tc>
              <w:tc>
                <w:tcPr>
                  <w:tcW w:w="2885" w:type="dxa"/>
                  <w:tcBorders>
                    <w:tl2br w:val="nil"/>
                    <w:tr2bl w:val="nil"/>
                  </w:tcBorders>
                  <w:vAlign w:val="center"/>
                </w:tcPr>
                <w:p w14:paraId="585458E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危险废物（HW08）</w:t>
                  </w:r>
                </w:p>
              </w:tc>
            </w:tr>
            <w:tr w14:paraId="3BF5DA2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49" w:type="dxa"/>
                  <w:gridSpan w:val="2"/>
                  <w:vMerge w:val="continue"/>
                  <w:tcBorders>
                    <w:tl2br w:val="nil"/>
                    <w:tr2bl w:val="nil"/>
                  </w:tcBorders>
                  <w:vAlign w:val="center"/>
                </w:tcPr>
                <w:p w14:paraId="04EE455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5DCE79E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废</w:t>
                  </w:r>
                  <w:r>
                    <w:rPr>
                      <w:rFonts w:hint="eastAsia" w:cs="Times New Roman"/>
                      <w:color w:val="auto"/>
                      <w:sz w:val="21"/>
                      <w:szCs w:val="21"/>
                      <w:vertAlign w:val="baseline"/>
                      <w:lang w:val="en-US" w:eastAsia="zh-CN"/>
                    </w:rPr>
                    <w:t>润滑油</w:t>
                  </w:r>
                </w:p>
              </w:tc>
              <w:tc>
                <w:tcPr>
                  <w:tcW w:w="1581" w:type="dxa"/>
                  <w:vMerge w:val="restart"/>
                  <w:tcBorders>
                    <w:tl2br w:val="nil"/>
                    <w:tr2bl w:val="nil"/>
                  </w:tcBorders>
                  <w:vAlign w:val="center"/>
                </w:tcPr>
                <w:p w14:paraId="20A1B44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设备维护</w:t>
                  </w:r>
                </w:p>
              </w:tc>
              <w:tc>
                <w:tcPr>
                  <w:tcW w:w="2885" w:type="dxa"/>
                  <w:tcBorders>
                    <w:tl2br w:val="nil"/>
                    <w:tr2bl w:val="nil"/>
                  </w:tcBorders>
                  <w:vAlign w:val="center"/>
                </w:tcPr>
                <w:p w14:paraId="5B67E61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危险废物（HW08）</w:t>
                  </w:r>
                </w:p>
              </w:tc>
            </w:tr>
            <w:tr w14:paraId="1E67BBF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49" w:type="dxa"/>
                  <w:gridSpan w:val="2"/>
                  <w:vMerge w:val="continue"/>
                  <w:tcBorders>
                    <w:tl2br w:val="nil"/>
                    <w:tr2bl w:val="nil"/>
                  </w:tcBorders>
                  <w:vAlign w:val="center"/>
                </w:tcPr>
                <w:p w14:paraId="274DC8E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7488461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含油抹布手套</w:t>
                  </w:r>
                </w:p>
              </w:tc>
              <w:tc>
                <w:tcPr>
                  <w:tcW w:w="1581" w:type="dxa"/>
                  <w:vMerge w:val="continue"/>
                  <w:tcBorders>
                    <w:tl2br w:val="nil"/>
                    <w:tr2bl w:val="nil"/>
                  </w:tcBorders>
                  <w:vAlign w:val="center"/>
                </w:tcPr>
                <w:p w14:paraId="084323F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885" w:type="dxa"/>
                  <w:tcBorders>
                    <w:tl2br w:val="nil"/>
                    <w:tr2bl w:val="nil"/>
                  </w:tcBorders>
                  <w:vAlign w:val="center"/>
                </w:tcPr>
                <w:p w14:paraId="6218277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危险废物（HW49）</w:t>
                  </w:r>
                </w:p>
              </w:tc>
            </w:tr>
            <w:tr w14:paraId="052AC4F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49" w:type="dxa"/>
                  <w:gridSpan w:val="2"/>
                  <w:vMerge w:val="continue"/>
                  <w:tcBorders>
                    <w:tl2br w:val="nil"/>
                    <w:tr2bl w:val="nil"/>
                  </w:tcBorders>
                  <w:vAlign w:val="center"/>
                </w:tcPr>
                <w:p w14:paraId="75C89CC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1574B7C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废润滑油桶</w:t>
                  </w:r>
                </w:p>
              </w:tc>
              <w:tc>
                <w:tcPr>
                  <w:tcW w:w="1581" w:type="dxa"/>
                  <w:vMerge w:val="continue"/>
                  <w:tcBorders>
                    <w:tl2br w:val="nil"/>
                    <w:tr2bl w:val="nil"/>
                  </w:tcBorders>
                  <w:vAlign w:val="center"/>
                </w:tcPr>
                <w:p w14:paraId="43C8B37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885" w:type="dxa"/>
                  <w:tcBorders>
                    <w:tl2br w:val="nil"/>
                    <w:tr2bl w:val="nil"/>
                  </w:tcBorders>
                  <w:vAlign w:val="center"/>
                </w:tcPr>
                <w:p w14:paraId="394847A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危险废物（HW</w:t>
                  </w:r>
                  <w:r>
                    <w:rPr>
                      <w:rFonts w:hint="eastAsia" w:ascii="Times New Roman" w:hAnsi="Times New Roman" w:eastAsia="宋体" w:cs="Times New Roman"/>
                      <w:color w:val="auto"/>
                      <w:sz w:val="21"/>
                      <w:szCs w:val="21"/>
                      <w:vertAlign w:val="baseline"/>
                      <w:lang w:val="en-US" w:eastAsia="zh-CN"/>
                    </w:rPr>
                    <w:t>08</w:t>
                  </w:r>
                  <w:r>
                    <w:rPr>
                      <w:rFonts w:hint="default" w:ascii="Times New Roman" w:hAnsi="Times New Roman" w:eastAsia="宋体" w:cs="Times New Roman"/>
                      <w:color w:val="auto"/>
                      <w:sz w:val="21"/>
                      <w:szCs w:val="21"/>
                      <w:vertAlign w:val="baseline"/>
                    </w:rPr>
                    <w:t>）</w:t>
                  </w:r>
                </w:p>
              </w:tc>
            </w:tr>
            <w:tr w14:paraId="5BE453B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49" w:type="dxa"/>
                  <w:gridSpan w:val="2"/>
                  <w:vMerge w:val="continue"/>
                  <w:tcBorders>
                    <w:tl2br w:val="nil"/>
                    <w:tr2bl w:val="nil"/>
                  </w:tcBorders>
                  <w:vAlign w:val="center"/>
                </w:tcPr>
                <w:p w14:paraId="2713C1B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4D96E34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废活性炭</w:t>
                  </w:r>
                </w:p>
              </w:tc>
              <w:tc>
                <w:tcPr>
                  <w:tcW w:w="1581" w:type="dxa"/>
                  <w:vMerge w:val="restart"/>
                  <w:tcBorders>
                    <w:tl2br w:val="nil"/>
                    <w:tr2bl w:val="nil"/>
                  </w:tcBorders>
                  <w:vAlign w:val="center"/>
                </w:tcPr>
                <w:p w14:paraId="016EF60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废气治理</w:t>
                  </w:r>
                </w:p>
              </w:tc>
              <w:tc>
                <w:tcPr>
                  <w:tcW w:w="2885" w:type="dxa"/>
                  <w:tcBorders>
                    <w:tl2br w:val="nil"/>
                    <w:tr2bl w:val="nil"/>
                  </w:tcBorders>
                  <w:vAlign w:val="center"/>
                </w:tcPr>
                <w:p w14:paraId="7B104D1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危险废物（HW49）</w:t>
                  </w:r>
                </w:p>
              </w:tc>
            </w:tr>
            <w:tr w14:paraId="170239E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249" w:type="dxa"/>
                  <w:gridSpan w:val="2"/>
                  <w:vMerge w:val="continue"/>
                  <w:tcBorders>
                    <w:tl2br w:val="nil"/>
                    <w:tr2bl w:val="nil"/>
                  </w:tcBorders>
                  <w:vAlign w:val="center"/>
                </w:tcPr>
                <w:p w14:paraId="79E6FEF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28D8251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废过滤棉</w:t>
                  </w:r>
                </w:p>
              </w:tc>
              <w:tc>
                <w:tcPr>
                  <w:tcW w:w="1581" w:type="dxa"/>
                  <w:vMerge w:val="continue"/>
                  <w:tcBorders>
                    <w:tl2br w:val="nil"/>
                    <w:tr2bl w:val="nil"/>
                  </w:tcBorders>
                  <w:vAlign w:val="center"/>
                </w:tcPr>
                <w:p w14:paraId="1B0AB5E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885" w:type="dxa"/>
                  <w:tcBorders>
                    <w:tl2br w:val="nil"/>
                    <w:tr2bl w:val="nil"/>
                  </w:tcBorders>
                  <w:vAlign w:val="center"/>
                </w:tcPr>
                <w:p w14:paraId="7D19ABC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危险废物（HW49）</w:t>
                  </w:r>
                </w:p>
              </w:tc>
            </w:tr>
            <w:tr w14:paraId="34395F1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49" w:type="dxa"/>
                  <w:gridSpan w:val="2"/>
                  <w:vMerge w:val="continue"/>
                  <w:tcBorders>
                    <w:tl2br w:val="nil"/>
                    <w:tr2bl w:val="nil"/>
                  </w:tcBorders>
                  <w:vAlign w:val="center"/>
                </w:tcPr>
                <w:p w14:paraId="3AFDB43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p>
              </w:tc>
              <w:tc>
                <w:tcPr>
                  <w:tcW w:w="2411" w:type="dxa"/>
                  <w:tcBorders>
                    <w:tl2br w:val="nil"/>
                    <w:tr2bl w:val="nil"/>
                  </w:tcBorders>
                  <w:vAlign w:val="center"/>
                </w:tcPr>
                <w:p w14:paraId="0CA1109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废包装桶</w:t>
                  </w:r>
                </w:p>
              </w:tc>
              <w:tc>
                <w:tcPr>
                  <w:tcW w:w="1581" w:type="dxa"/>
                  <w:tcBorders>
                    <w:tl2br w:val="nil"/>
                    <w:tr2bl w:val="nil"/>
                  </w:tcBorders>
                  <w:vAlign w:val="center"/>
                </w:tcPr>
                <w:p w14:paraId="080B049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乳化剂使用</w:t>
                  </w:r>
                </w:p>
              </w:tc>
              <w:tc>
                <w:tcPr>
                  <w:tcW w:w="2885" w:type="dxa"/>
                  <w:tcBorders>
                    <w:tl2br w:val="nil"/>
                    <w:tr2bl w:val="nil"/>
                  </w:tcBorders>
                  <w:vAlign w:val="center"/>
                </w:tcPr>
                <w:p w14:paraId="551EF3B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危险废物（HW49）</w:t>
                  </w:r>
                </w:p>
              </w:tc>
            </w:tr>
          </w:tbl>
          <w:p w14:paraId="0E7C24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p w14:paraId="2674E0E3">
            <w:pPr>
              <w:keepNext w:val="0"/>
              <w:keepLines w:val="0"/>
              <w:pageBreakBefore w:val="0"/>
              <w:widowControl w:val="0"/>
              <w:kinsoku/>
              <w:wordWrap w:val="0"/>
              <w:overflowPunct/>
              <w:topLinePunct w:val="0"/>
              <w:autoSpaceDE w:val="0"/>
              <w:autoSpaceDN w:val="0"/>
              <w:bidi w:val="0"/>
              <w:adjustRightInd/>
              <w:snapToGrid/>
              <w:spacing w:line="360" w:lineRule="auto"/>
              <w:ind w:firstLine="482" w:firstLineChars="200"/>
              <w:textAlignment w:val="auto"/>
              <w:rPr>
                <w:rFonts w:hint="default" w:ascii="Times New Roman" w:hAnsi="Times New Roman" w:eastAsia="宋体" w:cs="Times New Roman"/>
                <w:b/>
                <w:bCs/>
                <w:sz w:val="24"/>
                <w:szCs w:val="24"/>
                <w:highlight w:val="none"/>
                <w:lang w:val="en-US" w:eastAsia="zh-CN"/>
              </w:rPr>
            </w:pPr>
            <w:r>
              <w:rPr>
                <w:rFonts w:hint="eastAsia" w:cs="Times New Roman"/>
                <w:b/>
                <w:bCs/>
                <w:sz w:val="24"/>
                <w:szCs w:val="24"/>
                <w:highlight w:val="none"/>
                <w:lang w:val="en-US" w:eastAsia="zh-CN"/>
              </w:rPr>
              <w:t>3</w:t>
            </w:r>
            <w:r>
              <w:rPr>
                <w:rFonts w:hint="eastAsia" w:ascii="Times New Roman" w:hAnsi="Times New Roman" w:eastAsia="宋体" w:cs="Times New Roman"/>
                <w:b/>
                <w:bCs/>
                <w:sz w:val="24"/>
                <w:szCs w:val="24"/>
                <w:highlight w:val="none"/>
                <w:lang w:val="en-US" w:eastAsia="zh-CN"/>
              </w:rPr>
              <w:t>、物料平衡</w:t>
            </w:r>
          </w:p>
          <w:p w14:paraId="23D9B959">
            <w:pPr>
              <w:spacing w:line="360" w:lineRule="auto"/>
              <w:ind w:firstLine="480" w:firstLineChars="200"/>
              <w:rPr>
                <w:rFonts w:hint="default"/>
                <w:b w:val="0"/>
                <w:bCs/>
                <w:sz w:val="24"/>
                <w:highlight w:val="none"/>
                <w:lang w:val="en-US" w:eastAsia="zh-CN"/>
              </w:rPr>
            </w:pPr>
            <w:r>
              <w:rPr>
                <w:rFonts w:hint="eastAsia"/>
                <w:b w:val="0"/>
                <w:bCs/>
                <w:sz w:val="24"/>
                <w:highlight w:val="none"/>
                <w:lang w:val="en-US" w:eastAsia="zh-CN"/>
              </w:rPr>
              <w:t>本项目物料平衡见下表：</w:t>
            </w:r>
          </w:p>
          <w:p w14:paraId="268F66C2">
            <w:pPr>
              <w:numPr>
                <w:ilvl w:val="0"/>
                <w:numId w:val="4"/>
              </w:numPr>
              <w:tabs>
                <w:tab w:val="left" w:pos="0"/>
              </w:tabs>
              <w:jc w:val="center"/>
              <w:rPr>
                <w:rFonts w:hint="eastAsia" w:ascii="Times New Roman" w:hAnsi="Times New Roman" w:eastAsia="宋体" w:cs="Times New Roman"/>
                <w:b/>
                <w:szCs w:val="21"/>
                <w:highlight w:val="none"/>
                <w:lang w:val="en-US" w:eastAsia="zh-CN"/>
              </w:rPr>
            </w:pPr>
            <w:r>
              <w:rPr>
                <w:rFonts w:hint="eastAsia" w:cs="Times New Roman"/>
                <w:b/>
                <w:szCs w:val="21"/>
                <w:highlight w:val="none"/>
                <w:lang w:val="en-US" w:eastAsia="zh-CN"/>
              </w:rPr>
              <w:t>本项目</w:t>
            </w:r>
            <w:r>
              <w:rPr>
                <w:rFonts w:hint="eastAsia" w:ascii="Times New Roman" w:hAnsi="Times New Roman" w:eastAsia="宋体" w:cs="Times New Roman"/>
                <w:b/>
                <w:szCs w:val="21"/>
                <w:highlight w:val="none"/>
                <w:lang w:val="en-US" w:eastAsia="zh-CN"/>
              </w:rPr>
              <w:t>物料平衡</w:t>
            </w:r>
          </w:p>
          <w:tbl>
            <w:tblPr>
              <w:tblStyle w:val="27"/>
              <w:tblW w:w="7999"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767"/>
              <w:gridCol w:w="1432"/>
              <w:gridCol w:w="867"/>
              <w:gridCol w:w="1941"/>
              <w:gridCol w:w="1992"/>
            </w:tblGrid>
            <w:tr w14:paraId="343546D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5" w:hRule="atLeast"/>
                <w:jc w:val="center"/>
              </w:trPr>
              <w:tc>
                <w:tcPr>
                  <w:tcW w:w="3199" w:type="dxa"/>
                  <w:gridSpan w:val="2"/>
                  <w:tcBorders>
                    <w:tl2br w:val="nil"/>
                    <w:tr2bl w:val="nil"/>
                  </w:tcBorders>
                  <w:noWrap w:val="0"/>
                  <w:vAlign w:val="center"/>
                </w:tcPr>
                <w:p w14:paraId="0382C7F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投入</w:t>
                  </w:r>
                </w:p>
              </w:tc>
              <w:tc>
                <w:tcPr>
                  <w:tcW w:w="4800" w:type="dxa"/>
                  <w:gridSpan w:val="3"/>
                  <w:tcBorders>
                    <w:tl2br w:val="nil"/>
                    <w:tr2bl w:val="nil"/>
                  </w:tcBorders>
                  <w:noWrap w:val="0"/>
                  <w:vAlign w:val="center"/>
                </w:tcPr>
                <w:p w14:paraId="5EA38F3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产出</w:t>
                  </w:r>
                </w:p>
              </w:tc>
            </w:tr>
            <w:tr w14:paraId="7DA2527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767" w:type="dxa"/>
                  <w:tcBorders>
                    <w:tl2br w:val="nil"/>
                    <w:tr2bl w:val="nil"/>
                  </w:tcBorders>
                  <w:noWrap w:val="0"/>
                  <w:vAlign w:val="center"/>
                </w:tcPr>
                <w:p w14:paraId="186FE93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原料</w:t>
                  </w:r>
                </w:p>
              </w:tc>
              <w:tc>
                <w:tcPr>
                  <w:tcW w:w="1432" w:type="dxa"/>
                  <w:tcBorders>
                    <w:tl2br w:val="nil"/>
                    <w:tr2bl w:val="nil"/>
                  </w:tcBorders>
                  <w:noWrap w:val="0"/>
                  <w:vAlign w:val="center"/>
                </w:tcPr>
                <w:p w14:paraId="694AC95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数量</w:t>
                  </w:r>
                  <w:r>
                    <w:rPr>
                      <w:rFonts w:hint="eastAsia" w:cs="Times New Roman"/>
                      <w:b w:val="0"/>
                      <w:bCs/>
                      <w:sz w:val="21"/>
                      <w:szCs w:val="21"/>
                      <w:highlight w:val="none"/>
                      <w:vertAlign w:val="baseline"/>
                      <w:lang w:val="en-US" w:eastAsia="zh-CN"/>
                    </w:rPr>
                    <w:t>（</w:t>
                  </w:r>
                  <w:r>
                    <w:rPr>
                      <w:rFonts w:hint="eastAsia" w:ascii="Times New Roman" w:hAnsi="Times New Roman" w:eastAsia="宋体" w:cs="Times New Roman"/>
                      <w:b w:val="0"/>
                      <w:bCs/>
                      <w:sz w:val="21"/>
                      <w:szCs w:val="21"/>
                      <w:highlight w:val="none"/>
                      <w:vertAlign w:val="baseline"/>
                      <w:lang w:val="en-US" w:eastAsia="zh-CN"/>
                    </w:rPr>
                    <w:t>t/a</w:t>
                  </w:r>
                  <w:r>
                    <w:rPr>
                      <w:rFonts w:hint="eastAsia" w:cs="Times New Roman"/>
                      <w:b w:val="0"/>
                      <w:bCs/>
                      <w:sz w:val="21"/>
                      <w:szCs w:val="21"/>
                      <w:highlight w:val="none"/>
                      <w:vertAlign w:val="baseline"/>
                      <w:lang w:val="en-US" w:eastAsia="zh-CN"/>
                    </w:rPr>
                    <w:t>）</w:t>
                  </w:r>
                </w:p>
              </w:tc>
              <w:tc>
                <w:tcPr>
                  <w:tcW w:w="2808" w:type="dxa"/>
                  <w:gridSpan w:val="2"/>
                  <w:tcBorders>
                    <w:tl2br w:val="nil"/>
                    <w:tr2bl w:val="nil"/>
                  </w:tcBorders>
                  <w:noWrap w:val="0"/>
                  <w:vAlign w:val="center"/>
                </w:tcPr>
                <w:p w14:paraId="5BA8AEC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种类</w:t>
                  </w:r>
                </w:p>
              </w:tc>
              <w:tc>
                <w:tcPr>
                  <w:tcW w:w="1992" w:type="dxa"/>
                  <w:tcBorders>
                    <w:tl2br w:val="nil"/>
                    <w:tr2bl w:val="nil"/>
                  </w:tcBorders>
                  <w:noWrap w:val="0"/>
                  <w:vAlign w:val="center"/>
                </w:tcPr>
                <w:p w14:paraId="47A0AA5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数量</w:t>
                  </w:r>
                  <w:r>
                    <w:rPr>
                      <w:rFonts w:hint="eastAsia" w:cs="Times New Roman"/>
                      <w:b w:val="0"/>
                      <w:bCs/>
                      <w:sz w:val="21"/>
                      <w:szCs w:val="21"/>
                      <w:highlight w:val="none"/>
                      <w:vertAlign w:val="baseline"/>
                      <w:lang w:val="en-US" w:eastAsia="zh-CN"/>
                    </w:rPr>
                    <w:t>（</w:t>
                  </w:r>
                  <w:r>
                    <w:rPr>
                      <w:rFonts w:hint="eastAsia" w:ascii="Times New Roman" w:hAnsi="Times New Roman" w:eastAsia="宋体" w:cs="Times New Roman"/>
                      <w:b w:val="0"/>
                      <w:bCs/>
                      <w:sz w:val="21"/>
                      <w:szCs w:val="21"/>
                      <w:highlight w:val="none"/>
                      <w:vertAlign w:val="baseline"/>
                      <w:lang w:val="en-US" w:eastAsia="zh-CN"/>
                    </w:rPr>
                    <w:t>t/a</w:t>
                  </w:r>
                  <w:r>
                    <w:rPr>
                      <w:rFonts w:hint="eastAsia" w:cs="Times New Roman"/>
                      <w:b w:val="0"/>
                      <w:bCs/>
                      <w:sz w:val="21"/>
                      <w:szCs w:val="21"/>
                      <w:highlight w:val="none"/>
                      <w:vertAlign w:val="baseline"/>
                      <w:lang w:val="en-US" w:eastAsia="zh-CN"/>
                    </w:rPr>
                    <w:t>）</w:t>
                  </w:r>
                </w:p>
              </w:tc>
            </w:tr>
            <w:tr w14:paraId="13FE67F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767" w:type="dxa"/>
                  <w:tcBorders>
                    <w:tl2br w:val="nil"/>
                    <w:tr2bl w:val="nil"/>
                  </w:tcBorders>
                  <w:shd w:val="clear" w:color="auto" w:fill="auto"/>
                  <w:noWrap w:val="0"/>
                  <w:vAlign w:val="center"/>
                </w:tcPr>
                <w:p w14:paraId="3C93248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普通沥青</w:t>
                  </w:r>
                </w:p>
              </w:tc>
              <w:tc>
                <w:tcPr>
                  <w:tcW w:w="1432" w:type="dxa"/>
                  <w:tcBorders>
                    <w:tl2br w:val="nil"/>
                    <w:tr2bl w:val="nil"/>
                  </w:tcBorders>
                  <w:noWrap w:val="0"/>
                  <w:vAlign w:val="center"/>
                </w:tcPr>
                <w:p w14:paraId="0B96515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18643</w:t>
                  </w:r>
                </w:p>
              </w:tc>
              <w:tc>
                <w:tcPr>
                  <w:tcW w:w="867" w:type="dxa"/>
                  <w:vMerge w:val="restart"/>
                  <w:tcBorders>
                    <w:tl2br w:val="nil"/>
                    <w:tr2bl w:val="nil"/>
                  </w:tcBorders>
                  <w:noWrap w:val="0"/>
                  <w:vAlign w:val="center"/>
                </w:tcPr>
                <w:p w14:paraId="7F8B8F6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产品</w:t>
                  </w:r>
                </w:p>
              </w:tc>
              <w:tc>
                <w:tcPr>
                  <w:tcW w:w="1941" w:type="dxa"/>
                  <w:tcBorders>
                    <w:tl2br w:val="nil"/>
                    <w:tr2bl w:val="nil"/>
                  </w:tcBorders>
                  <w:noWrap w:val="0"/>
                  <w:vAlign w:val="center"/>
                </w:tcPr>
                <w:p w14:paraId="4E9A87C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普通沥青混凝土</w:t>
                  </w:r>
                </w:p>
              </w:tc>
              <w:tc>
                <w:tcPr>
                  <w:tcW w:w="1992" w:type="dxa"/>
                  <w:tcBorders>
                    <w:tl2br w:val="nil"/>
                    <w:tr2bl w:val="nil"/>
                  </w:tcBorders>
                  <w:noWrap w:val="0"/>
                  <w:vAlign w:val="center"/>
                </w:tcPr>
                <w:p w14:paraId="17F8C8D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300000</w:t>
                  </w:r>
                </w:p>
              </w:tc>
            </w:tr>
            <w:tr w14:paraId="15E19AC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767" w:type="dxa"/>
                  <w:tcBorders>
                    <w:tl2br w:val="nil"/>
                    <w:tr2bl w:val="nil"/>
                  </w:tcBorders>
                  <w:shd w:val="clear" w:color="auto" w:fill="auto"/>
                  <w:noWrap w:val="0"/>
                  <w:vAlign w:val="center"/>
                </w:tcPr>
                <w:p w14:paraId="2E236BC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kern w:val="2"/>
                      <w:sz w:val="21"/>
                      <w:szCs w:val="21"/>
                      <w:highlight w:val="none"/>
                      <w:vertAlign w:val="baseline"/>
                      <w:lang w:val="en-US" w:eastAsia="zh-CN" w:bidi="ar-SA"/>
                    </w:rPr>
                  </w:pPr>
                  <w:r>
                    <w:rPr>
                      <w:rFonts w:hint="default" w:ascii="Times New Roman" w:hAnsi="Times New Roman" w:eastAsia="宋体" w:cs="Times New Roman"/>
                      <w:b w:val="0"/>
                      <w:bCs/>
                      <w:sz w:val="21"/>
                      <w:szCs w:val="21"/>
                      <w:highlight w:val="none"/>
                      <w:vertAlign w:val="baseline"/>
                      <w:lang w:val="en-US" w:eastAsia="zh-CN"/>
                    </w:rPr>
                    <w:t>再生料（沥青混凝土层）</w:t>
                  </w:r>
                </w:p>
              </w:tc>
              <w:tc>
                <w:tcPr>
                  <w:tcW w:w="1432" w:type="dxa"/>
                  <w:tcBorders>
                    <w:tl2br w:val="nil"/>
                    <w:tr2bl w:val="nil"/>
                  </w:tcBorders>
                  <w:noWrap w:val="0"/>
                  <w:vAlign w:val="center"/>
                </w:tcPr>
                <w:p w14:paraId="46DA408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33410</w:t>
                  </w:r>
                </w:p>
              </w:tc>
              <w:tc>
                <w:tcPr>
                  <w:tcW w:w="867" w:type="dxa"/>
                  <w:vMerge w:val="continue"/>
                  <w:tcBorders>
                    <w:tl2br w:val="nil"/>
                    <w:tr2bl w:val="nil"/>
                  </w:tcBorders>
                  <w:noWrap w:val="0"/>
                  <w:vAlign w:val="center"/>
                </w:tcPr>
                <w:p w14:paraId="4AACA60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highlight w:val="none"/>
                      <w:vertAlign w:val="baseline"/>
                      <w:lang w:val="en-US" w:eastAsia="zh-CN"/>
                    </w:rPr>
                  </w:pPr>
                </w:p>
              </w:tc>
              <w:tc>
                <w:tcPr>
                  <w:tcW w:w="1941" w:type="dxa"/>
                  <w:tcBorders>
                    <w:tl2br w:val="nil"/>
                    <w:tr2bl w:val="nil"/>
                  </w:tcBorders>
                  <w:noWrap w:val="0"/>
                  <w:vAlign w:val="center"/>
                </w:tcPr>
                <w:p w14:paraId="455A62E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热再生沥青混凝土</w:t>
                  </w:r>
                </w:p>
              </w:tc>
              <w:tc>
                <w:tcPr>
                  <w:tcW w:w="1992" w:type="dxa"/>
                  <w:tcBorders>
                    <w:tl2br w:val="nil"/>
                    <w:tr2bl w:val="nil"/>
                  </w:tcBorders>
                  <w:noWrap w:val="0"/>
                  <w:vAlign w:val="center"/>
                </w:tcPr>
                <w:p w14:paraId="2D91F5E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100000</w:t>
                  </w:r>
                </w:p>
              </w:tc>
            </w:tr>
            <w:tr w14:paraId="4654EB8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767" w:type="dxa"/>
                  <w:tcBorders>
                    <w:tl2br w:val="nil"/>
                    <w:tr2bl w:val="nil"/>
                  </w:tcBorders>
                  <w:shd w:val="clear" w:color="auto" w:fill="auto"/>
                  <w:noWrap w:val="0"/>
                  <w:vAlign w:val="center"/>
                </w:tcPr>
                <w:p w14:paraId="1CFAAFE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普通碎石</w:t>
                  </w:r>
                </w:p>
              </w:tc>
              <w:tc>
                <w:tcPr>
                  <w:tcW w:w="1432" w:type="dxa"/>
                  <w:tcBorders>
                    <w:tl2br w:val="nil"/>
                    <w:tr2bl w:val="nil"/>
                  </w:tcBorders>
                  <w:noWrap w:val="0"/>
                  <w:vAlign w:val="center"/>
                </w:tcPr>
                <w:p w14:paraId="60C5C01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239350</w:t>
                  </w:r>
                </w:p>
              </w:tc>
              <w:tc>
                <w:tcPr>
                  <w:tcW w:w="867" w:type="dxa"/>
                  <w:vMerge w:val="continue"/>
                  <w:tcBorders>
                    <w:tl2br w:val="nil"/>
                    <w:tr2bl w:val="nil"/>
                  </w:tcBorders>
                  <w:noWrap w:val="0"/>
                  <w:vAlign w:val="center"/>
                </w:tcPr>
                <w:p w14:paraId="54895FF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highlight w:val="none"/>
                      <w:vertAlign w:val="baseline"/>
                      <w:lang w:val="en-US" w:eastAsia="zh-CN"/>
                    </w:rPr>
                  </w:pPr>
                </w:p>
              </w:tc>
              <w:tc>
                <w:tcPr>
                  <w:tcW w:w="1941" w:type="dxa"/>
                  <w:tcBorders>
                    <w:tl2br w:val="nil"/>
                    <w:tr2bl w:val="nil"/>
                  </w:tcBorders>
                  <w:noWrap w:val="0"/>
                  <w:vAlign w:val="center"/>
                </w:tcPr>
                <w:p w14:paraId="7390805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乳化沥青</w:t>
                  </w:r>
                </w:p>
              </w:tc>
              <w:tc>
                <w:tcPr>
                  <w:tcW w:w="1992" w:type="dxa"/>
                  <w:tcBorders>
                    <w:tl2br w:val="nil"/>
                    <w:tr2bl w:val="nil"/>
                  </w:tcBorders>
                  <w:noWrap w:val="0"/>
                  <w:vAlign w:val="center"/>
                </w:tcPr>
                <w:p w14:paraId="170926E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6000</w:t>
                  </w:r>
                </w:p>
              </w:tc>
            </w:tr>
            <w:tr w14:paraId="61DF132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767" w:type="dxa"/>
                  <w:tcBorders>
                    <w:tl2br w:val="nil"/>
                    <w:tr2bl w:val="nil"/>
                  </w:tcBorders>
                  <w:shd w:val="clear" w:color="auto" w:fill="auto"/>
                  <w:noWrap w:val="0"/>
                  <w:vAlign w:val="center"/>
                </w:tcPr>
                <w:p w14:paraId="089C035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kern w:val="2"/>
                      <w:sz w:val="21"/>
                      <w:szCs w:val="21"/>
                      <w:highlight w:val="none"/>
                      <w:vertAlign w:val="baseline"/>
                      <w:lang w:val="en-US" w:eastAsia="zh-CN" w:bidi="ar-SA"/>
                    </w:rPr>
                  </w:pPr>
                  <w:r>
                    <w:rPr>
                      <w:rFonts w:hint="default" w:ascii="Times New Roman" w:hAnsi="Times New Roman" w:eastAsia="宋体" w:cs="Times New Roman"/>
                      <w:b w:val="0"/>
                      <w:bCs/>
                      <w:sz w:val="21"/>
                      <w:szCs w:val="21"/>
                      <w:highlight w:val="none"/>
                      <w:vertAlign w:val="baseline"/>
                      <w:lang w:val="en-US" w:eastAsia="zh-CN"/>
                    </w:rPr>
                    <w:t>粉料（包括回用的除尘器收尘、车间内沉降粉尘）</w:t>
                  </w:r>
                </w:p>
              </w:tc>
              <w:tc>
                <w:tcPr>
                  <w:tcW w:w="1432" w:type="dxa"/>
                  <w:tcBorders>
                    <w:tl2br w:val="nil"/>
                    <w:tr2bl w:val="nil"/>
                  </w:tcBorders>
                  <w:noWrap w:val="0"/>
                  <w:vAlign w:val="center"/>
                </w:tcPr>
                <w:p w14:paraId="054400C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14892</w:t>
                  </w:r>
                </w:p>
              </w:tc>
              <w:tc>
                <w:tcPr>
                  <w:tcW w:w="867" w:type="dxa"/>
                  <w:vMerge w:val="continue"/>
                  <w:tcBorders>
                    <w:tl2br w:val="nil"/>
                    <w:tr2bl w:val="nil"/>
                  </w:tcBorders>
                  <w:noWrap w:val="0"/>
                  <w:vAlign w:val="center"/>
                </w:tcPr>
                <w:p w14:paraId="5D933CD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highlight w:val="none"/>
                      <w:vertAlign w:val="baseline"/>
                      <w:lang w:val="en-US" w:eastAsia="zh-CN"/>
                    </w:rPr>
                  </w:pPr>
                </w:p>
              </w:tc>
              <w:tc>
                <w:tcPr>
                  <w:tcW w:w="1941" w:type="dxa"/>
                  <w:tcBorders>
                    <w:tl2br w:val="nil"/>
                    <w:tr2bl w:val="nil"/>
                  </w:tcBorders>
                  <w:noWrap w:val="0"/>
                  <w:vAlign w:val="center"/>
                </w:tcPr>
                <w:p w14:paraId="5871344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煤粉</w:t>
                  </w:r>
                </w:p>
              </w:tc>
              <w:tc>
                <w:tcPr>
                  <w:tcW w:w="1992" w:type="dxa"/>
                  <w:tcBorders>
                    <w:tl2br w:val="nil"/>
                    <w:tr2bl w:val="nil"/>
                  </w:tcBorders>
                  <w:noWrap w:val="0"/>
                  <w:vAlign w:val="center"/>
                </w:tcPr>
                <w:p w14:paraId="781D938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100000</w:t>
                  </w:r>
                </w:p>
              </w:tc>
            </w:tr>
            <w:tr w14:paraId="72D7BD8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767" w:type="dxa"/>
                  <w:tcBorders>
                    <w:tl2br w:val="nil"/>
                    <w:tr2bl w:val="nil"/>
                  </w:tcBorders>
                  <w:noWrap w:val="0"/>
                  <w:vAlign w:val="center"/>
                </w:tcPr>
                <w:p w14:paraId="5823242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机砂</w:t>
                  </w:r>
                </w:p>
              </w:tc>
              <w:tc>
                <w:tcPr>
                  <w:tcW w:w="1432" w:type="dxa"/>
                  <w:tcBorders>
                    <w:tl2br w:val="nil"/>
                    <w:tr2bl w:val="nil"/>
                  </w:tcBorders>
                  <w:noWrap w:val="0"/>
                  <w:vAlign w:val="center"/>
                </w:tcPr>
                <w:p w14:paraId="5B210F8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97605</w:t>
                  </w:r>
                </w:p>
              </w:tc>
              <w:tc>
                <w:tcPr>
                  <w:tcW w:w="867" w:type="dxa"/>
                  <w:vMerge w:val="restart"/>
                  <w:tcBorders>
                    <w:tl2br w:val="nil"/>
                    <w:tr2bl w:val="nil"/>
                  </w:tcBorders>
                  <w:noWrap w:val="0"/>
                  <w:vAlign w:val="center"/>
                </w:tcPr>
                <w:p w14:paraId="611C898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损耗</w:t>
                  </w:r>
                </w:p>
              </w:tc>
              <w:tc>
                <w:tcPr>
                  <w:tcW w:w="1941" w:type="dxa"/>
                  <w:tcBorders>
                    <w:tl2br w:val="nil"/>
                    <w:tr2bl w:val="nil"/>
                  </w:tcBorders>
                  <w:noWrap w:val="0"/>
                  <w:vAlign w:val="center"/>
                </w:tcPr>
                <w:p w14:paraId="3F9F5A9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投料粉尘</w:t>
                  </w:r>
                </w:p>
              </w:tc>
              <w:tc>
                <w:tcPr>
                  <w:tcW w:w="1992" w:type="dxa"/>
                  <w:tcBorders>
                    <w:tl2br w:val="nil"/>
                    <w:tr2bl w:val="nil"/>
                  </w:tcBorders>
                  <w:noWrap w:val="0"/>
                  <w:vAlign w:val="center"/>
                </w:tcPr>
                <w:p w14:paraId="7C282BF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3.7037</w:t>
                  </w:r>
                </w:p>
              </w:tc>
            </w:tr>
            <w:tr w14:paraId="19D58C8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767" w:type="dxa"/>
                  <w:tcBorders>
                    <w:tl2br w:val="nil"/>
                    <w:tr2bl w:val="nil"/>
                  </w:tcBorders>
                  <w:noWrap w:val="0"/>
                  <w:vAlign w:val="center"/>
                </w:tcPr>
                <w:p w14:paraId="10F59C2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中煤</w:t>
                  </w:r>
                </w:p>
              </w:tc>
              <w:tc>
                <w:tcPr>
                  <w:tcW w:w="1432" w:type="dxa"/>
                  <w:tcBorders>
                    <w:tl2br w:val="nil"/>
                    <w:tr2bl w:val="nil"/>
                  </w:tcBorders>
                  <w:noWrap w:val="0"/>
                  <w:vAlign w:val="center"/>
                </w:tcPr>
                <w:p w14:paraId="6AF634C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100005</w:t>
                  </w:r>
                </w:p>
              </w:tc>
              <w:tc>
                <w:tcPr>
                  <w:tcW w:w="867" w:type="dxa"/>
                  <w:vMerge w:val="continue"/>
                  <w:tcBorders>
                    <w:tl2br w:val="nil"/>
                    <w:tr2bl w:val="nil"/>
                  </w:tcBorders>
                  <w:noWrap w:val="0"/>
                  <w:vAlign w:val="center"/>
                </w:tcPr>
                <w:p w14:paraId="135A5E1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highlight w:val="none"/>
                      <w:vertAlign w:val="baseline"/>
                      <w:lang w:val="en-US" w:eastAsia="zh-CN"/>
                    </w:rPr>
                  </w:pPr>
                </w:p>
              </w:tc>
              <w:tc>
                <w:tcPr>
                  <w:tcW w:w="1941" w:type="dxa"/>
                  <w:tcBorders>
                    <w:tl2br w:val="nil"/>
                    <w:tr2bl w:val="nil"/>
                  </w:tcBorders>
                  <w:noWrap w:val="0"/>
                  <w:vAlign w:val="center"/>
                </w:tcPr>
                <w:p w14:paraId="772E3E6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粉料筒仓粉尘</w:t>
                  </w:r>
                </w:p>
              </w:tc>
              <w:tc>
                <w:tcPr>
                  <w:tcW w:w="1992" w:type="dxa"/>
                  <w:tcBorders>
                    <w:tl2br w:val="nil"/>
                    <w:tr2bl w:val="nil"/>
                  </w:tcBorders>
                  <w:noWrap w:val="0"/>
                  <w:vAlign w:val="center"/>
                </w:tcPr>
                <w:p w14:paraId="630D21D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sz w:val="21"/>
                      <w:szCs w:val="21"/>
                      <w:vertAlign w:val="baseline"/>
                      <w:lang w:val="en-US" w:eastAsia="zh-CN"/>
                    </w:rPr>
                    <w:t>1.3892</w:t>
                  </w: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b w:val="0"/>
                      <w:bCs w:val="0"/>
                      <w:color w:val="auto"/>
                      <w:sz w:val="21"/>
                      <w:szCs w:val="21"/>
                      <w:vertAlign w:val="superscript"/>
                      <w:lang w:val="en-US" w:eastAsia="zh-CN"/>
                    </w:rPr>
                    <w:t>-</w:t>
                  </w:r>
                  <w:r>
                    <w:rPr>
                      <w:rFonts w:hint="eastAsia" w:ascii="Times New Roman" w:hAnsi="Times New Roman" w:eastAsia="宋体" w:cs="Times New Roman"/>
                      <w:b w:val="0"/>
                      <w:bCs w:val="0"/>
                      <w:color w:val="auto"/>
                      <w:sz w:val="21"/>
                      <w:szCs w:val="21"/>
                      <w:vertAlign w:val="superscript"/>
                      <w:lang w:val="en-US" w:eastAsia="zh-CN"/>
                    </w:rPr>
                    <w:t>5</w:t>
                  </w:r>
                </w:p>
              </w:tc>
            </w:tr>
            <w:tr w14:paraId="43353CE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767" w:type="dxa"/>
                  <w:tcBorders>
                    <w:tl2br w:val="nil"/>
                    <w:tr2bl w:val="nil"/>
                  </w:tcBorders>
                  <w:noWrap w:val="0"/>
                  <w:vAlign w:val="center"/>
                </w:tcPr>
                <w:p w14:paraId="10FF4CC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乳化剂</w:t>
                  </w:r>
                </w:p>
              </w:tc>
              <w:tc>
                <w:tcPr>
                  <w:tcW w:w="1432" w:type="dxa"/>
                  <w:tcBorders>
                    <w:tl2br w:val="nil"/>
                    <w:tr2bl w:val="nil"/>
                  </w:tcBorders>
                  <w:noWrap w:val="0"/>
                  <w:vAlign w:val="center"/>
                </w:tcPr>
                <w:p w14:paraId="45ACECD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300</w:t>
                  </w:r>
                </w:p>
              </w:tc>
              <w:tc>
                <w:tcPr>
                  <w:tcW w:w="867" w:type="dxa"/>
                  <w:vMerge w:val="continue"/>
                  <w:tcBorders>
                    <w:tl2br w:val="nil"/>
                    <w:tr2bl w:val="nil"/>
                  </w:tcBorders>
                  <w:noWrap w:val="0"/>
                  <w:vAlign w:val="center"/>
                </w:tcPr>
                <w:p w14:paraId="5FAD864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highlight w:val="none"/>
                      <w:vertAlign w:val="baseline"/>
                      <w:lang w:val="en-US" w:eastAsia="zh-CN"/>
                    </w:rPr>
                  </w:pPr>
                </w:p>
              </w:tc>
              <w:tc>
                <w:tcPr>
                  <w:tcW w:w="1941" w:type="dxa"/>
                  <w:tcBorders>
                    <w:tl2br w:val="nil"/>
                    <w:tr2bl w:val="nil"/>
                  </w:tcBorders>
                  <w:noWrap w:val="0"/>
                  <w:vAlign w:val="center"/>
                </w:tcPr>
                <w:p w14:paraId="4F177BC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输送粉尘</w:t>
                  </w:r>
                  <w:r>
                    <w:rPr>
                      <w:rFonts w:hint="eastAsia" w:ascii="Times New Roman" w:hAnsi="Times New Roman" w:eastAsia="宋体" w:cs="Times New Roman"/>
                      <w:b w:val="0"/>
                      <w:bCs/>
                      <w:sz w:val="21"/>
                      <w:szCs w:val="21"/>
                      <w:highlight w:val="none"/>
                      <w:vertAlign w:val="baseline"/>
                      <w:lang w:val="en-US" w:eastAsia="zh-CN"/>
                    </w:rPr>
                    <w:t>、烘干粉尘、提升粉尘、筛分粉尘</w:t>
                  </w:r>
                </w:p>
              </w:tc>
              <w:tc>
                <w:tcPr>
                  <w:tcW w:w="1992" w:type="dxa"/>
                  <w:tcBorders>
                    <w:tl2br w:val="nil"/>
                    <w:tr2bl w:val="nil"/>
                  </w:tcBorders>
                  <w:noWrap w:val="0"/>
                  <w:vAlign w:val="center"/>
                </w:tcPr>
                <w:p w14:paraId="3F72B62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552</w:t>
                  </w:r>
                </w:p>
              </w:tc>
            </w:tr>
            <w:tr w14:paraId="46FC357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767" w:type="dxa"/>
                  <w:tcBorders>
                    <w:tl2br w:val="nil"/>
                    <w:tr2bl w:val="nil"/>
                  </w:tcBorders>
                  <w:shd w:val="clear" w:color="auto" w:fill="auto"/>
                  <w:noWrap w:val="0"/>
                  <w:vAlign w:val="center"/>
                </w:tcPr>
                <w:p w14:paraId="0CCED09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水</w:t>
                  </w:r>
                </w:p>
              </w:tc>
              <w:tc>
                <w:tcPr>
                  <w:tcW w:w="1432" w:type="dxa"/>
                  <w:tcBorders>
                    <w:tl2br w:val="nil"/>
                    <w:tr2bl w:val="nil"/>
                  </w:tcBorders>
                  <w:shd w:val="clear" w:color="auto" w:fill="auto"/>
                  <w:noWrap w:val="0"/>
                  <w:vAlign w:val="center"/>
                </w:tcPr>
                <w:p w14:paraId="4876BDB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2700</w:t>
                  </w:r>
                </w:p>
              </w:tc>
              <w:tc>
                <w:tcPr>
                  <w:tcW w:w="867" w:type="dxa"/>
                  <w:vMerge w:val="continue"/>
                  <w:tcBorders>
                    <w:tl2br w:val="nil"/>
                    <w:tr2bl w:val="nil"/>
                  </w:tcBorders>
                  <w:noWrap w:val="0"/>
                  <w:vAlign w:val="center"/>
                </w:tcPr>
                <w:p w14:paraId="5E95313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highlight w:val="none"/>
                      <w:vertAlign w:val="baseline"/>
                      <w:lang w:val="en-US" w:eastAsia="zh-CN"/>
                    </w:rPr>
                  </w:pPr>
                </w:p>
              </w:tc>
              <w:tc>
                <w:tcPr>
                  <w:tcW w:w="1941" w:type="dxa"/>
                  <w:tcBorders>
                    <w:tl2br w:val="nil"/>
                    <w:tr2bl w:val="nil"/>
                  </w:tcBorders>
                  <w:noWrap w:val="0"/>
                  <w:vAlign w:val="center"/>
                </w:tcPr>
                <w:p w14:paraId="3A572F3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沥青烟</w:t>
                  </w:r>
                  <w:r>
                    <w:rPr>
                      <w:rFonts w:hint="eastAsia" w:cs="Times New Roman"/>
                      <w:b w:val="0"/>
                      <w:bCs/>
                      <w:sz w:val="21"/>
                      <w:szCs w:val="21"/>
                      <w:highlight w:val="none"/>
                      <w:vertAlign w:val="baseline"/>
                      <w:lang w:val="en-US" w:eastAsia="zh-CN"/>
                    </w:rPr>
                    <w:t>（含</w:t>
                  </w:r>
                  <w:r>
                    <w:rPr>
                      <w:rFonts w:hint="eastAsia" w:ascii="Times New Roman" w:hAnsi="Times New Roman" w:eastAsia="宋体" w:cs="Times New Roman"/>
                      <w:b w:val="0"/>
                      <w:bCs/>
                      <w:sz w:val="21"/>
                      <w:szCs w:val="21"/>
                      <w:highlight w:val="none"/>
                      <w:vertAlign w:val="baseline"/>
                      <w:lang w:val="en-US" w:eastAsia="zh-CN"/>
                    </w:rPr>
                    <w:t>苯并[a]芘</w:t>
                  </w:r>
                  <w:r>
                    <w:rPr>
                      <w:rFonts w:hint="eastAsia" w:cs="Times New Roman"/>
                      <w:b w:val="0"/>
                      <w:bCs/>
                      <w:sz w:val="21"/>
                      <w:szCs w:val="21"/>
                      <w:highlight w:val="none"/>
                      <w:vertAlign w:val="baseline"/>
                      <w:lang w:val="en-US" w:eastAsia="zh-CN"/>
                    </w:rPr>
                    <w:t>、</w:t>
                  </w:r>
                  <w:r>
                    <w:rPr>
                      <w:rFonts w:hint="eastAsia" w:ascii="Times New Roman" w:hAnsi="Times New Roman" w:eastAsia="宋体" w:cs="Times New Roman"/>
                      <w:b w:val="0"/>
                      <w:bCs/>
                      <w:sz w:val="21"/>
                      <w:szCs w:val="21"/>
                      <w:highlight w:val="none"/>
                      <w:vertAlign w:val="baseline"/>
                      <w:lang w:val="en-US" w:eastAsia="zh-CN"/>
                    </w:rPr>
                    <w:t>VOCs（以非甲烷总烃计）</w:t>
                  </w:r>
                  <w:r>
                    <w:rPr>
                      <w:rFonts w:hint="eastAsia" w:cs="Times New Roman"/>
                      <w:b w:val="0"/>
                      <w:bCs/>
                      <w:sz w:val="21"/>
                      <w:szCs w:val="21"/>
                      <w:highlight w:val="none"/>
                      <w:vertAlign w:val="baseline"/>
                      <w:lang w:val="en-US" w:eastAsia="zh-CN"/>
                    </w:rPr>
                    <w:t>）</w:t>
                  </w:r>
                </w:p>
              </w:tc>
              <w:tc>
                <w:tcPr>
                  <w:tcW w:w="1992" w:type="dxa"/>
                  <w:tcBorders>
                    <w:tl2br w:val="nil"/>
                    <w:tr2bl w:val="nil"/>
                  </w:tcBorders>
                  <w:noWrap w:val="0"/>
                  <w:vAlign w:val="center"/>
                </w:tcPr>
                <w:p w14:paraId="772E3E6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0.2558</w:t>
                  </w:r>
                </w:p>
              </w:tc>
            </w:tr>
            <w:tr w14:paraId="34EE845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767" w:type="dxa"/>
                  <w:tcBorders>
                    <w:tl2br w:val="nil"/>
                    <w:tr2bl w:val="nil"/>
                  </w:tcBorders>
                  <w:noWrap w:val="0"/>
                  <w:vAlign w:val="center"/>
                </w:tcPr>
                <w:p w14:paraId="2AECF0A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b w:val="0"/>
                      <w:bCs/>
                      <w:sz w:val="21"/>
                      <w:szCs w:val="21"/>
                      <w:highlight w:val="none"/>
                      <w:vertAlign w:val="baseline"/>
                      <w:lang w:val="en-US" w:eastAsia="zh-CN"/>
                    </w:rPr>
                  </w:pPr>
                </w:p>
              </w:tc>
              <w:tc>
                <w:tcPr>
                  <w:tcW w:w="1432" w:type="dxa"/>
                  <w:tcBorders>
                    <w:tl2br w:val="nil"/>
                    <w:tr2bl w:val="nil"/>
                  </w:tcBorders>
                  <w:noWrap w:val="0"/>
                  <w:vAlign w:val="center"/>
                </w:tcPr>
                <w:p w14:paraId="3FB6E65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p>
              </w:tc>
              <w:tc>
                <w:tcPr>
                  <w:tcW w:w="867" w:type="dxa"/>
                  <w:vMerge w:val="continue"/>
                  <w:tcBorders>
                    <w:tl2br w:val="nil"/>
                    <w:tr2bl w:val="nil"/>
                  </w:tcBorders>
                  <w:noWrap w:val="0"/>
                  <w:vAlign w:val="center"/>
                </w:tcPr>
                <w:p w14:paraId="6FE017A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highlight w:val="none"/>
                      <w:vertAlign w:val="baseline"/>
                      <w:lang w:val="en-US" w:eastAsia="zh-CN"/>
                    </w:rPr>
                  </w:pPr>
                </w:p>
              </w:tc>
              <w:tc>
                <w:tcPr>
                  <w:tcW w:w="1941" w:type="dxa"/>
                  <w:tcBorders>
                    <w:tl2br w:val="nil"/>
                    <w:tr2bl w:val="nil"/>
                  </w:tcBorders>
                  <w:shd w:val="clear" w:color="auto" w:fill="auto"/>
                  <w:noWrap w:val="0"/>
                  <w:vAlign w:val="center"/>
                </w:tcPr>
                <w:p w14:paraId="7744C37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ascii="Times New Roman" w:hAnsi="Times New Roman" w:eastAsia="宋体" w:cs="Times New Roman"/>
                      <w:b w:val="0"/>
                      <w:bCs/>
                      <w:sz w:val="21"/>
                      <w:szCs w:val="21"/>
                      <w:highlight w:val="none"/>
                      <w:vertAlign w:val="baseline"/>
                      <w:lang w:val="en-US" w:eastAsia="zh-CN"/>
                    </w:rPr>
                    <w:t>磨煤系统粉尘</w:t>
                  </w:r>
                </w:p>
              </w:tc>
              <w:tc>
                <w:tcPr>
                  <w:tcW w:w="1992" w:type="dxa"/>
                  <w:tcBorders>
                    <w:tl2br w:val="nil"/>
                    <w:tr2bl w:val="nil"/>
                  </w:tcBorders>
                  <w:shd w:val="clear" w:color="auto" w:fill="auto"/>
                  <w:noWrap w:val="0"/>
                  <w:vAlign w:val="center"/>
                </w:tcPr>
                <w:p w14:paraId="6550EFB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ascii="Times New Roman" w:hAnsi="Times New Roman" w:eastAsia="宋体" w:cs="Times New Roman"/>
                      <w:b w:val="0"/>
                      <w:bCs/>
                      <w:sz w:val="21"/>
                      <w:szCs w:val="21"/>
                      <w:highlight w:val="none"/>
                      <w:vertAlign w:val="baseline"/>
                      <w:lang w:val="en-US" w:eastAsia="zh-CN"/>
                    </w:rPr>
                    <w:t>5.0</w:t>
                  </w:r>
                </w:p>
              </w:tc>
            </w:tr>
            <w:tr w14:paraId="043B160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767" w:type="dxa"/>
                  <w:tcBorders>
                    <w:tl2br w:val="nil"/>
                    <w:tr2bl w:val="nil"/>
                  </w:tcBorders>
                  <w:noWrap w:val="0"/>
                  <w:vAlign w:val="center"/>
                </w:tcPr>
                <w:p w14:paraId="6A0CFD7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Times New Roman"/>
                      <w:b w:val="0"/>
                      <w:bCs/>
                      <w:sz w:val="21"/>
                      <w:szCs w:val="21"/>
                      <w:highlight w:val="none"/>
                      <w:vertAlign w:val="baseline"/>
                      <w:lang w:val="en-US" w:eastAsia="zh-CN"/>
                    </w:rPr>
                  </w:pPr>
                </w:p>
              </w:tc>
              <w:tc>
                <w:tcPr>
                  <w:tcW w:w="1432" w:type="dxa"/>
                  <w:tcBorders>
                    <w:tl2br w:val="nil"/>
                    <w:tr2bl w:val="nil"/>
                  </w:tcBorders>
                  <w:noWrap w:val="0"/>
                  <w:vAlign w:val="center"/>
                </w:tcPr>
                <w:p w14:paraId="1F49311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p>
              </w:tc>
              <w:tc>
                <w:tcPr>
                  <w:tcW w:w="867" w:type="dxa"/>
                  <w:vMerge w:val="continue"/>
                  <w:tcBorders>
                    <w:tl2br w:val="nil"/>
                    <w:tr2bl w:val="nil"/>
                  </w:tcBorders>
                  <w:noWrap w:val="0"/>
                  <w:vAlign w:val="center"/>
                </w:tcPr>
                <w:p w14:paraId="27D77ED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highlight w:val="none"/>
                      <w:vertAlign w:val="baseline"/>
                      <w:lang w:val="en-US" w:eastAsia="zh-CN"/>
                    </w:rPr>
                  </w:pPr>
                </w:p>
              </w:tc>
              <w:tc>
                <w:tcPr>
                  <w:tcW w:w="1941" w:type="dxa"/>
                  <w:tcBorders>
                    <w:tl2br w:val="nil"/>
                    <w:tr2bl w:val="nil"/>
                  </w:tcBorders>
                  <w:shd w:val="clear" w:color="auto" w:fill="auto"/>
                  <w:noWrap w:val="0"/>
                  <w:vAlign w:val="center"/>
                </w:tcPr>
                <w:p w14:paraId="47771C1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ascii="Times New Roman" w:hAnsi="Times New Roman" w:eastAsia="宋体" w:cs="Times New Roman"/>
                      <w:b w:val="0"/>
                      <w:bCs/>
                      <w:sz w:val="21"/>
                      <w:szCs w:val="21"/>
                      <w:highlight w:val="none"/>
                      <w:vertAlign w:val="baseline"/>
                      <w:lang w:val="en-US" w:eastAsia="zh-CN"/>
                    </w:rPr>
                    <w:t>成品煤粉仓储罐粉尘</w:t>
                  </w:r>
                </w:p>
              </w:tc>
              <w:tc>
                <w:tcPr>
                  <w:tcW w:w="1992" w:type="dxa"/>
                  <w:tcBorders>
                    <w:tl2br w:val="nil"/>
                    <w:tr2bl w:val="nil"/>
                  </w:tcBorders>
                  <w:shd w:val="clear" w:color="auto" w:fill="auto"/>
                  <w:noWrap w:val="0"/>
                  <w:vAlign w:val="center"/>
                </w:tcPr>
                <w:p w14:paraId="73932BE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ascii="Times New Roman" w:hAnsi="Times New Roman" w:eastAsia="宋体" w:cs="Times New Roman"/>
                      <w:sz w:val="21"/>
                      <w:szCs w:val="21"/>
                      <w:vertAlign w:val="baseline"/>
                      <w:lang w:val="en-US" w:eastAsia="zh-CN"/>
                    </w:rPr>
                    <w:t>9.36</w:t>
                  </w: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b w:val="0"/>
                      <w:bCs w:val="0"/>
                      <w:color w:val="auto"/>
                      <w:sz w:val="21"/>
                      <w:szCs w:val="21"/>
                      <w:vertAlign w:val="superscript"/>
                      <w:lang w:val="en-US" w:eastAsia="zh-CN"/>
                    </w:rPr>
                    <w:t>-</w:t>
                  </w:r>
                  <w:r>
                    <w:rPr>
                      <w:rFonts w:hint="eastAsia" w:ascii="Times New Roman" w:hAnsi="Times New Roman" w:eastAsia="宋体" w:cs="Times New Roman"/>
                      <w:b w:val="0"/>
                      <w:bCs w:val="0"/>
                      <w:color w:val="auto"/>
                      <w:sz w:val="21"/>
                      <w:szCs w:val="21"/>
                      <w:vertAlign w:val="superscript"/>
                      <w:lang w:val="en-US" w:eastAsia="zh-CN"/>
                    </w:rPr>
                    <w:t>5</w:t>
                  </w:r>
                </w:p>
              </w:tc>
            </w:tr>
            <w:tr w14:paraId="7E7560F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767" w:type="dxa"/>
                  <w:tcBorders>
                    <w:tl2br w:val="nil"/>
                    <w:tr2bl w:val="nil"/>
                  </w:tcBorders>
                  <w:noWrap w:val="0"/>
                  <w:vAlign w:val="center"/>
                </w:tcPr>
                <w:p w14:paraId="07263A3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Times New Roman"/>
                      <w:b w:val="0"/>
                      <w:bCs/>
                      <w:sz w:val="21"/>
                      <w:szCs w:val="21"/>
                      <w:highlight w:val="none"/>
                      <w:vertAlign w:val="baseline"/>
                      <w:lang w:val="en-US" w:eastAsia="zh-CN"/>
                    </w:rPr>
                  </w:pPr>
                </w:p>
              </w:tc>
              <w:tc>
                <w:tcPr>
                  <w:tcW w:w="1432" w:type="dxa"/>
                  <w:tcBorders>
                    <w:tl2br w:val="nil"/>
                    <w:tr2bl w:val="nil"/>
                  </w:tcBorders>
                  <w:noWrap w:val="0"/>
                  <w:vAlign w:val="center"/>
                </w:tcPr>
                <w:p w14:paraId="68B6CBC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p>
              </w:tc>
              <w:tc>
                <w:tcPr>
                  <w:tcW w:w="867" w:type="dxa"/>
                  <w:vMerge w:val="continue"/>
                  <w:tcBorders>
                    <w:tl2br w:val="nil"/>
                    <w:tr2bl w:val="nil"/>
                  </w:tcBorders>
                  <w:noWrap w:val="0"/>
                  <w:vAlign w:val="center"/>
                </w:tcPr>
                <w:p w14:paraId="07436B4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highlight w:val="none"/>
                      <w:vertAlign w:val="baseline"/>
                      <w:lang w:val="en-US" w:eastAsia="zh-CN"/>
                    </w:rPr>
                  </w:pPr>
                </w:p>
              </w:tc>
              <w:tc>
                <w:tcPr>
                  <w:tcW w:w="1941" w:type="dxa"/>
                  <w:tcBorders>
                    <w:tl2br w:val="nil"/>
                    <w:tr2bl w:val="nil"/>
                  </w:tcBorders>
                  <w:shd w:val="clear" w:color="auto" w:fill="auto"/>
                  <w:noWrap w:val="0"/>
                  <w:vAlign w:val="center"/>
                </w:tcPr>
                <w:p w14:paraId="0B9A65E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再生料投料、破碎、筛分粉尘</w:t>
                  </w:r>
                </w:p>
              </w:tc>
              <w:tc>
                <w:tcPr>
                  <w:tcW w:w="1992" w:type="dxa"/>
                  <w:tcBorders>
                    <w:tl2br w:val="nil"/>
                    <w:tr2bl w:val="nil"/>
                  </w:tcBorders>
                  <w:shd w:val="clear" w:color="auto" w:fill="auto"/>
                  <w:noWrap w:val="0"/>
                  <w:vAlign w:val="center"/>
                </w:tcPr>
                <w:p w14:paraId="2EEFED2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ascii="Times New Roman" w:hAnsi="Times New Roman" w:eastAsia="宋体" w:cs="Times New Roman"/>
                      <w:b w:val="0"/>
                      <w:bCs/>
                      <w:sz w:val="21"/>
                      <w:szCs w:val="21"/>
                      <w:highlight w:val="none"/>
                      <w:vertAlign w:val="baseline"/>
                      <w:lang w:val="en-US" w:eastAsia="zh-CN"/>
                    </w:rPr>
                    <w:t>75.8407</w:t>
                  </w:r>
                </w:p>
              </w:tc>
            </w:tr>
            <w:tr w14:paraId="6251D73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767" w:type="dxa"/>
                  <w:tcBorders>
                    <w:tl2br w:val="nil"/>
                    <w:tr2bl w:val="nil"/>
                  </w:tcBorders>
                  <w:noWrap w:val="0"/>
                  <w:vAlign w:val="center"/>
                </w:tcPr>
                <w:p w14:paraId="60CBE69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Times New Roman"/>
                      <w:b w:val="0"/>
                      <w:bCs/>
                      <w:sz w:val="21"/>
                      <w:szCs w:val="21"/>
                      <w:highlight w:val="none"/>
                      <w:vertAlign w:val="baseline"/>
                      <w:lang w:val="en-US" w:eastAsia="zh-CN"/>
                    </w:rPr>
                  </w:pPr>
                </w:p>
              </w:tc>
              <w:tc>
                <w:tcPr>
                  <w:tcW w:w="1432" w:type="dxa"/>
                  <w:tcBorders>
                    <w:tl2br w:val="nil"/>
                    <w:tr2bl w:val="nil"/>
                  </w:tcBorders>
                  <w:noWrap w:val="0"/>
                  <w:vAlign w:val="center"/>
                </w:tcPr>
                <w:p w14:paraId="46F4A87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p>
              </w:tc>
              <w:tc>
                <w:tcPr>
                  <w:tcW w:w="867" w:type="dxa"/>
                  <w:vMerge w:val="continue"/>
                  <w:tcBorders>
                    <w:tl2br w:val="nil"/>
                    <w:tr2bl w:val="nil"/>
                  </w:tcBorders>
                  <w:noWrap w:val="0"/>
                  <w:vAlign w:val="center"/>
                </w:tcPr>
                <w:p w14:paraId="3C80952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highlight w:val="none"/>
                      <w:vertAlign w:val="baseline"/>
                      <w:lang w:val="en-US" w:eastAsia="zh-CN"/>
                    </w:rPr>
                  </w:pPr>
                </w:p>
              </w:tc>
              <w:tc>
                <w:tcPr>
                  <w:tcW w:w="1941" w:type="dxa"/>
                  <w:tcBorders>
                    <w:tl2br w:val="nil"/>
                    <w:tr2bl w:val="nil"/>
                  </w:tcBorders>
                  <w:shd w:val="clear" w:color="auto" w:fill="auto"/>
                  <w:noWrap w:val="0"/>
                  <w:vAlign w:val="center"/>
                </w:tcPr>
                <w:p w14:paraId="2A4AB09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ascii="Times New Roman" w:hAnsi="Times New Roman" w:eastAsia="宋体" w:cs="Times New Roman"/>
                      <w:b w:val="0"/>
                      <w:bCs/>
                      <w:sz w:val="21"/>
                      <w:szCs w:val="21"/>
                      <w:highlight w:val="none"/>
                      <w:vertAlign w:val="baseline"/>
                      <w:lang w:val="en-US" w:eastAsia="zh-CN"/>
                    </w:rPr>
                    <w:t>拌合残渣、产品试验</w:t>
                  </w:r>
                </w:p>
              </w:tc>
              <w:tc>
                <w:tcPr>
                  <w:tcW w:w="1992" w:type="dxa"/>
                  <w:tcBorders>
                    <w:tl2br w:val="nil"/>
                    <w:tr2bl w:val="nil"/>
                  </w:tcBorders>
                  <w:shd w:val="clear" w:color="auto" w:fill="auto"/>
                  <w:noWrap w:val="0"/>
                  <w:vAlign w:val="center"/>
                </w:tcPr>
                <w:p w14:paraId="035429C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kern w:val="2"/>
                      <w:sz w:val="21"/>
                      <w:szCs w:val="21"/>
                      <w:highlight w:val="none"/>
                      <w:vertAlign w:val="baseline"/>
                      <w:lang w:val="en-US" w:eastAsia="zh-CN" w:bidi="ar-SA"/>
                    </w:rPr>
                  </w:pPr>
                  <w:r>
                    <w:rPr>
                      <w:rFonts w:hint="default" w:ascii="Times New Roman" w:hAnsi="Times New Roman" w:eastAsia="宋体" w:cs="Times New Roman"/>
                      <w:b w:val="0"/>
                      <w:bCs/>
                      <w:sz w:val="21"/>
                      <w:szCs w:val="21"/>
                      <w:highlight w:val="none"/>
                      <w:vertAlign w:val="baseline"/>
                      <w:lang w:val="en-US" w:eastAsia="zh-CN"/>
                    </w:rPr>
                    <w:t>19.</w:t>
                  </w:r>
                  <w:r>
                    <w:rPr>
                      <w:rFonts w:hint="eastAsia" w:cs="Times New Roman"/>
                      <w:b w:val="0"/>
                      <w:bCs/>
                      <w:sz w:val="21"/>
                      <w:szCs w:val="21"/>
                      <w:highlight w:val="none"/>
                      <w:vertAlign w:val="baseline"/>
                      <w:lang w:val="en-US" w:eastAsia="zh-CN"/>
                    </w:rPr>
                    <w:t>8498</w:t>
                  </w:r>
                </w:p>
              </w:tc>
            </w:tr>
            <w:tr w14:paraId="2A6820B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767" w:type="dxa"/>
                  <w:tcBorders>
                    <w:tl2br w:val="nil"/>
                    <w:tr2bl w:val="nil"/>
                  </w:tcBorders>
                  <w:noWrap w:val="0"/>
                  <w:vAlign w:val="center"/>
                </w:tcPr>
                <w:p w14:paraId="37D21DD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Times New Roman"/>
                      <w:b w:val="0"/>
                      <w:bCs/>
                      <w:sz w:val="21"/>
                      <w:szCs w:val="21"/>
                      <w:highlight w:val="none"/>
                      <w:vertAlign w:val="baseline"/>
                      <w:lang w:val="en-US" w:eastAsia="zh-CN"/>
                    </w:rPr>
                  </w:pPr>
                </w:p>
              </w:tc>
              <w:tc>
                <w:tcPr>
                  <w:tcW w:w="1432" w:type="dxa"/>
                  <w:tcBorders>
                    <w:tl2br w:val="nil"/>
                    <w:tr2bl w:val="nil"/>
                  </w:tcBorders>
                  <w:noWrap w:val="0"/>
                  <w:vAlign w:val="center"/>
                </w:tcPr>
                <w:p w14:paraId="13558E1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p>
              </w:tc>
              <w:tc>
                <w:tcPr>
                  <w:tcW w:w="867" w:type="dxa"/>
                  <w:vMerge w:val="continue"/>
                  <w:tcBorders>
                    <w:tl2br w:val="nil"/>
                    <w:tr2bl w:val="nil"/>
                  </w:tcBorders>
                  <w:noWrap w:val="0"/>
                  <w:vAlign w:val="center"/>
                </w:tcPr>
                <w:p w14:paraId="78DDA56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highlight w:val="none"/>
                      <w:vertAlign w:val="baseline"/>
                      <w:lang w:val="en-US" w:eastAsia="zh-CN"/>
                    </w:rPr>
                  </w:pPr>
                </w:p>
              </w:tc>
              <w:tc>
                <w:tcPr>
                  <w:tcW w:w="1941" w:type="dxa"/>
                  <w:tcBorders>
                    <w:tl2br w:val="nil"/>
                    <w:tr2bl w:val="nil"/>
                  </w:tcBorders>
                  <w:shd w:val="clear" w:color="auto" w:fill="auto"/>
                  <w:noWrap w:val="0"/>
                  <w:vAlign w:val="center"/>
                </w:tcPr>
                <w:p w14:paraId="138DF29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筛分废料</w:t>
                  </w:r>
                </w:p>
              </w:tc>
              <w:tc>
                <w:tcPr>
                  <w:tcW w:w="1992" w:type="dxa"/>
                  <w:tcBorders>
                    <w:tl2br w:val="nil"/>
                    <w:tr2bl w:val="nil"/>
                  </w:tcBorders>
                  <w:shd w:val="clear" w:color="auto" w:fill="auto"/>
                  <w:noWrap w:val="0"/>
                  <w:vAlign w:val="center"/>
                </w:tcPr>
                <w:p w14:paraId="3694F16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239.35</w:t>
                  </w:r>
                </w:p>
              </w:tc>
            </w:tr>
            <w:tr w14:paraId="433C77F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767" w:type="dxa"/>
                  <w:tcBorders>
                    <w:tl2br w:val="nil"/>
                    <w:tr2bl w:val="nil"/>
                  </w:tcBorders>
                  <w:noWrap w:val="0"/>
                  <w:vAlign w:val="center"/>
                </w:tcPr>
                <w:p w14:paraId="570EA7D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合计</w:t>
                  </w:r>
                </w:p>
              </w:tc>
              <w:tc>
                <w:tcPr>
                  <w:tcW w:w="1432" w:type="dxa"/>
                  <w:tcBorders>
                    <w:tl2br w:val="nil"/>
                    <w:tr2bl w:val="nil"/>
                  </w:tcBorders>
                  <w:noWrap w:val="0"/>
                  <w:vAlign w:val="center"/>
                </w:tcPr>
                <w:p w14:paraId="1A5EA6A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506896</w:t>
                  </w:r>
                </w:p>
              </w:tc>
              <w:tc>
                <w:tcPr>
                  <w:tcW w:w="2808" w:type="dxa"/>
                  <w:gridSpan w:val="2"/>
                  <w:tcBorders>
                    <w:tl2br w:val="nil"/>
                    <w:tr2bl w:val="nil"/>
                  </w:tcBorders>
                  <w:noWrap w:val="0"/>
                  <w:vAlign w:val="center"/>
                </w:tcPr>
                <w:p w14:paraId="2B56B51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合计</w:t>
                  </w:r>
                </w:p>
              </w:tc>
              <w:tc>
                <w:tcPr>
                  <w:tcW w:w="1992" w:type="dxa"/>
                  <w:tcBorders>
                    <w:tl2br w:val="nil"/>
                    <w:tr2bl w:val="nil"/>
                  </w:tcBorders>
                  <w:noWrap w:val="0"/>
                  <w:vAlign w:val="center"/>
                </w:tcPr>
                <w:p w14:paraId="57C33EB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506896</w:t>
                  </w:r>
                </w:p>
              </w:tc>
            </w:tr>
          </w:tbl>
          <w:p w14:paraId="550735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bCs/>
                <w:sz w:val="21"/>
                <w:szCs w:val="21"/>
                <w:highlight w:val="none"/>
                <w:lang w:val="en-US" w:eastAsia="zh-CN"/>
              </w:rPr>
            </w:pPr>
          </w:p>
          <w:p w14:paraId="33FB6144">
            <w:pPr>
              <w:spacing w:line="360" w:lineRule="auto"/>
              <w:ind w:firstLine="482" w:firstLineChars="200"/>
              <w:rPr>
                <w:rFonts w:hint="default" w:ascii="Times New Roman" w:hAnsi="Times New Roman" w:eastAsia="宋体" w:cs="Times New Roman"/>
                <w:b/>
                <w:bCs w:val="0"/>
                <w:sz w:val="24"/>
                <w:highlight w:val="none"/>
                <w:lang w:val="en-US" w:eastAsia="zh-CN"/>
              </w:rPr>
            </w:pPr>
            <w:r>
              <w:rPr>
                <w:rFonts w:hint="eastAsia" w:ascii="Times New Roman" w:hAnsi="Times New Roman" w:eastAsia="宋体" w:cs="Times New Roman"/>
                <w:b/>
                <w:bCs w:val="0"/>
                <w:sz w:val="24"/>
                <w:highlight w:val="none"/>
                <w:lang w:val="en-US" w:eastAsia="zh-CN"/>
              </w:rPr>
              <w:t>3.1</w:t>
            </w:r>
            <w:r>
              <w:rPr>
                <w:rFonts w:hint="default" w:ascii="Times New Roman" w:hAnsi="Times New Roman" w:eastAsia="宋体" w:cs="Times New Roman"/>
                <w:b/>
                <w:bCs w:val="0"/>
                <w:sz w:val="24"/>
                <w:highlight w:val="none"/>
                <w:lang w:val="en-US" w:eastAsia="zh-CN"/>
              </w:rPr>
              <w:t>苯并[a]芘平衡</w:t>
            </w:r>
          </w:p>
          <w:p w14:paraId="11EA4210">
            <w:pPr>
              <w:spacing w:line="360" w:lineRule="auto"/>
              <w:ind w:firstLine="480" w:firstLineChars="200"/>
              <w:rPr>
                <w:rFonts w:hint="default" w:ascii="Times New Roman" w:hAnsi="Times New Roman" w:eastAsia="宋体" w:cs="Times New Roman"/>
                <w:b w:val="0"/>
                <w:bCs/>
                <w:sz w:val="24"/>
                <w:highlight w:val="none"/>
                <w:lang w:val="en-US" w:eastAsia="zh-CN"/>
              </w:rPr>
            </w:pPr>
            <w:r>
              <w:rPr>
                <w:rFonts w:hint="default" w:ascii="Times New Roman" w:hAnsi="Times New Roman" w:eastAsia="宋体" w:cs="Times New Roman"/>
                <w:b w:val="0"/>
                <w:bCs/>
                <w:sz w:val="24"/>
                <w:highlight w:val="none"/>
                <w:lang w:val="en-US" w:eastAsia="zh-CN"/>
              </w:rPr>
              <w:t>本项目苯并[a]芘物料平衡见下表</w:t>
            </w:r>
            <w:r>
              <w:rPr>
                <w:rFonts w:hint="eastAsia" w:ascii="Times New Roman" w:hAnsi="Times New Roman" w:eastAsia="宋体" w:cs="Times New Roman"/>
                <w:b w:val="0"/>
                <w:bCs/>
                <w:sz w:val="24"/>
                <w:highlight w:val="none"/>
                <w:lang w:val="en-US" w:eastAsia="zh-CN"/>
              </w:rPr>
              <w:t>：</w:t>
            </w:r>
          </w:p>
          <w:p w14:paraId="036AD668">
            <w:pPr>
              <w:numPr>
                <w:ilvl w:val="0"/>
                <w:numId w:val="4"/>
              </w:numPr>
              <w:tabs>
                <w:tab w:val="left" w:pos="0"/>
              </w:tabs>
              <w:jc w:val="center"/>
              <w:rPr>
                <w:rFonts w:hint="default" w:ascii="Times New Roman" w:hAnsi="Times New Roman" w:eastAsia="宋体" w:cs="Times New Roman"/>
                <w:b/>
                <w:szCs w:val="21"/>
                <w:highlight w:val="none"/>
                <w:lang w:val="en-US" w:eastAsia="zh-CN"/>
              </w:rPr>
            </w:pPr>
            <w:r>
              <w:rPr>
                <w:rFonts w:hint="default" w:ascii="Times New Roman" w:hAnsi="Times New Roman" w:eastAsia="宋体" w:cs="Times New Roman"/>
                <w:b/>
                <w:szCs w:val="21"/>
                <w:highlight w:val="none"/>
                <w:lang w:val="en-US" w:eastAsia="zh-CN"/>
              </w:rPr>
              <w:t>本项目苯并[a]芘物料平衡表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64"/>
              <w:gridCol w:w="2238"/>
              <w:gridCol w:w="2366"/>
              <w:gridCol w:w="2290"/>
            </w:tblGrid>
            <w:tr w14:paraId="0074708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7" w:hRule="atLeast"/>
                <w:jc w:val="center"/>
              </w:trPr>
              <w:tc>
                <w:tcPr>
                  <w:tcW w:w="3402" w:type="dxa"/>
                  <w:gridSpan w:val="2"/>
                  <w:tcBorders>
                    <w:tl2br w:val="nil"/>
                    <w:tr2bl w:val="nil"/>
                  </w:tcBorders>
                  <w:vAlign w:val="center"/>
                </w:tcPr>
                <w:p w14:paraId="6E1DCA4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物料进入</w:t>
                  </w:r>
                </w:p>
              </w:tc>
              <w:tc>
                <w:tcPr>
                  <w:tcW w:w="4656" w:type="dxa"/>
                  <w:gridSpan w:val="2"/>
                  <w:tcBorders>
                    <w:tl2br w:val="nil"/>
                    <w:tr2bl w:val="nil"/>
                  </w:tcBorders>
                  <w:vAlign w:val="center"/>
                </w:tcPr>
                <w:p w14:paraId="7B8BFA6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物料产出</w:t>
                  </w:r>
                </w:p>
              </w:tc>
            </w:tr>
            <w:tr w14:paraId="5BFF1F6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7" w:hRule="atLeast"/>
                <w:jc w:val="center"/>
              </w:trPr>
              <w:tc>
                <w:tcPr>
                  <w:tcW w:w="1164" w:type="dxa"/>
                  <w:tcBorders>
                    <w:tl2br w:val="nil"/>
                    <w:tr2bl w:val="nil"/>
                  </w:tcBorders>
                  <w:vAlign w:val="center"/>
                </w:tcPr>
                <w:p w14:paraId="2B63CAF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原料名称</w:t>
                  </w:r>
                </w:p>
              </w:tc>
              <w:tc>
                <w:tcPr>
                  <w:tcW w:w="2238" w:type="dxa"/>
                  <w:tcBorders>
                    <w:tl2br w:val="nil"/>
                    <w:tr2bl w:val="nil"/>
                  </w:tcBorders>
                  <w:vAlign w:val="center"/>
                </w:tcPr>
                <w:p w14:paraId="1CE30B6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苯并[a]芘产生量（t/a）</w:t>
                  </w:r>
                </w:p>
              </w:tc>
              <w:tc>
                <w:tcPr>
                  <w:tcW w:w="2366" w:type="dxa"/>
                  <w:tcBorders>
                    <w:tl2br w:val="nil"/>
                    <w:tr2bl w:val="nil"/>
                  </w:tcBorders>
                  <w:vAlign w:val="center"/>
                </w:tcPr>
                <w:p w14:paraId="1C61F45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产品名称</w:t>
                  </w:r>
                </w:p>
              </w:tc>
              <w:tc>
                <w:tcPr>
                  <w:tcW w:w="2290" w:type="dxa"/>
                  <w:tcBorders>
                    <w:tl2br w:val="nil"/>
                    <w:tr2bl w:val="nil"/>
                  </w:tcBorders>
                  <w:vAlign w:val="center"/>
                </w:tcPr>
                <w:p w14:paraId="4FCDE70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苯并[a]芘产出量（t/a）</w:t>
                  </w:r>
                </w:p>
              </w:tc>
            </w:tr>
            <w:tr w14:paraId="21BAADA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7" w:hRule="atLeast"/>
                <w:jc w:val="center"/>
              </w:trPr>
              <w:tc>
                <w:tcPr>
                  <w:tcW w:w="1164" w:type="dxa"/>
                  <w:vMerge w:val="restart"/>
                  <w:tcBorders>
                    <w:tl2br w:val="nil"/>
                    <w:tr2bl w:val="nil"/>
                  </w:tcBorders>
                  <w:vAlign w:val="center"/>
                </w:tcPr>
                <w:p w14:paraId="26A0F82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沥青</w:t>
                  </w:r>
                </w:p>
              </w:tc>
              <w:tc>
                <w:tcPr>
                  <w:tcW w:w="2238" w:type="dxa"/>
                  <w:vMerge w:val="restart"/>
                  <w:tcBorders>
                    <w:tl2br w:val="nil"/>
                    <w:tr2bl w:val="nil"/>
                  </w:tcBorders>
                  <w:vAlign w:val="center"/>
                </w:tcPr>
                <w:p w14:paraId="0E3C27B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5.1156×10</w:t>
                  </w:r>
                  <w:r>
                    <w:rPr>
                      <w:rFonts w:hint="default" w:ascii="Times New Roman" w:hAnsi="Times New Roman" w:eastAsia="宋体" w:cs="Times New Roman"/>
                      <w:b w:val="0"/>
                      <w:bCs/>
                      <w:sz w:val="21"/>
                      <w:szCs w:val="21"/>
                      <w:highlight w:val="none"/>
                      <w:vertAlign w:val="superscript"/>
                      <w:lang w:val="en-US" w:eastAsia="zh-CN"/>
                    </w:rPr>
                    <w:t>-6</w:t>
                  </w:r>
                </w:p>
              </w:tc>
              <w:tc>
                <w:tcPr>
                  <w:tcW w:w="2366" w:type="dxa"/>
                  <w:tcBorders>
                    <w:tl2br w:val="nil"/>
                    <w:tr2bl w:val="nil"/>
                  </w:tcBorders>
                  <w:vAlign w:val="center"/>
                </w:tcPr>
                <w:p w14:paraId="3DD3CD9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有组织排放</w:t>
                  </w:r>
                </w:p>
              </w:tc>
              <w:tc>
                <w:tcPr>
                  <w:tcW w:w="2290" w:type="dxa"/>
                  <w:tcBorders>
                    <w:tl2br w:val="nil"/>
                    <w:tr2bl w:val="nil"/>
                  </w:tcBorders>
                  <w:vAlign w:val="center"/>
                </w:tcPr>
                <w:p w14:paraId="1E83DA9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sz w:val="21"/>
                      <w:szCs w:val="21"/>
                      <w:vertAlign w:val="baseline"/>
                      <w:lang w:val="en-US" w:eastAsia="zh-CN"/>
                    </w:rPr>
                    <w:t>4.8598</w:t>
                  </w: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b w:val="0"/>
                      <w:bCs w:val="0"/>
                      <w:color w:val="auto"/>
                      <w:sz w:val="21"/>
                      <w:szCs w:val="21"/>
                      <w:vertAlign w:val="superscript"/>
                      <w:lang w:val="en-US" w:eastAsia="zh-CN"/>
                    </w:rPr>
                    <w:t>-</w:t>
                  </w:r>
                  <w:r>
                    <w:rPr>
                      <w:rFonts w:hint="eastAsia" w:ascii="Times New Roman" w:hAnsi="Times New Roman" w:eastAsia="宋体" w:cs="Times New Roman"/>
                      <w:b w:val="0"/>
                      <w:bCs w:val="0"/>
                      <w:color w:val="auto"/>
                      <w:sz w:val="21"/>
                      <w:szCs w:val="21"/>
                      <w:vertAlign w:val="superscript"/>
                      <w:lang w:val="en-US" w:eastAsia="zh-CN"/>
                    </w:rPr>
                    <w:t>7</w:t>
                  </w:r>
                </w:p>
              </w:tc>
            </w:tr>
            <w:tr w14:paraId="223B13C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7" w:hRule="atLeast"/>
                <w:jc w:val="center"/>
              </w:trPr>
              <w:tc>
                <w:tcPr>
                  <w:tcW w:w="1164" w:type="dxa"/>
                  <w:vMerge w:val="continue"/>
                  <w:tcBorders>
                    <w:tl2br w:val="nil"/>
                    <w:tr2bl w:val="nil"/>
                  </w:tcBorders>
                  <w:vAlign w:val="center"/>
                </w:tcPr>
                <w:p w14:paraId="14023DC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p>
              </w:tc>
              <w:tc>
                <w:tcPr>
                  <w:tcW w:w="2238" w:type="dxa"/>
                  <w:vMerge w:val="continue"/>
                  <w:tcBorders>
                    <w:tl2br w:val="nil"/>
                    <w:tr2bl w:val="nil"/>
                  </w:tcBorders>
                  <w:vAlign w:val="center"/>
                </w:tcPr>
                <w:p w14:paraId="635A1A1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p>
              </w:tc>
              <w:tc>
                <w:tcPr>
                  <w:tcW w:w="2366" w:type="dxa"/>
                  <w:tcBorders>
                    <w:tl2br w:val="nil"/>
                    <w:tr2bl w:val="nil"/>
                  </w:tcBorders>
                  <w:vAlign w:val="center"/>
                </w:tcPr>
                <w:p w14:paraId="21EEC37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无组织排放</w:t>
                  </w:r>
                </w:p>
              </w:tc>
              <w:tc>
                <w:tcPr>
                  <w:tcW w:w="2290" w:type="dxa"/>
                  <w:tcBorders>
                    <w:tl2br w:val="nil"/>
                    <w:tr2bl w:val="nil"/>
                  </w:tcBorders>
                  <w:vAlign w:val="center"/>
                </w:tcPr>
                <w:p w14:paraId="73A5EDF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sz w:val="21"/>
                      <w:szCs w:val="21"/>
                      <w:vertAlign w:val="baseline"/>
                      <w:lang w:val="en-US" w:eastAsia="zh-CN"/>
                    </w:rPr>
                    <w:t>2.5578</w:t>
                  </w: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b w:val="0"/>
                      <w:bCs w:val="0"/>
                      <w:color w:val="auto"/>
                      <w:sz w:val="21"/>
                      <w:szCs w:val="21"/>
                      <w:vertAlign w:val="superscript"/>
                      <w:lang w:val="en-US" w:eastAsia="zh-CN"/>
                    </w:rPr>
                    <w:t>-</w:t>
                  </w:r>
                  <w:r>
                    <w:rPr>
                      <w:rFonts w:hint="eastAsia" w:ascii="Times New Roman" w:hAnsi="Times New Roman" w:eastAsia="宋体" w:cs="Times New Roman"/>
                      <w:b w:val="0"/>
                      <w:bCs w:val="0"/>
                      <w:color w:val="auto"/>
                      <w:sz w:val="21"/>
                      <w:szCs w:val="21"/>
                      <w:vertAlign w:val="superscript"/>
                      <w:lang w:val="en-US" w:eastAsia="zh-CN"/>
                    </w:rPr>
                    <w:t>7</w:t>
                  </w:r>
                </w:p>
              </w:tc>
            </w:tr>
            <w:tr w14:paraId="3ECEF33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7" w:hRule="atLeast"/>
                <w:jc w:val="center"/>
              </w:trPr>
              <w:tc>
                <w:tcPr>
                  <w:tcW w:w="1164" w:type="dxa"/>
                  <w:vMerge w:val="continue"/>
                  <w:tcBorders>
                    <w:tl2br w:val="nil"/>
                    <w:tr2bl w:val="nil"/>
                  </w:tcBorders>
                  <w:vAlign w:val="center"/>
                </w:tcPr>
                <w:p w14:paraId="09E4ABB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p>
              </w:tc>
              <w:tc>
                <w:tcPr>
                  <w:tcW w:w="2238" w:type="dxa"/>
                  <w:vMerge w:val="continue"/>
                  <w:tcBorders>
                    <w:tl2br w:val="nil"/>
                    <w:tr2bl w:val="nil"/>
                  </w:tcBorders>
                  <w:vAlign w:val="center"/>
                </w:tcPr>
                <w:p w14:paraId="2096298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p>
              </w:tc>
              <w:tc>
                <w:tcPr>
                  <w:tcW w:w="2366" w:type="dxa"/>
                  <w:tcBorders>
                    <w:tl2br w:val="nil"/>
                    <w:tr2bl w:val="nil"/>
                  </w:tcBorders>
                  <w:vAlign w:val="center"/>
                </w:tcPr>
                <w:p w14:paraId="139E9D4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喷淋+干式过滤+活性炭吸附脱附+催化燃烧</w:t>
                  </w:r>
                  <w:r>
                    <w:rPr>
                      <w:rFonts w:hint="eastAsia" w:ascii="Times New Roman" w:hAnsi="Times New Roman" w:eastAsia="宋体" w:cs="Times New Roman"/>
                      <w:b w:val="0"/>
                      <w:bCs/>
                      <w:sz w:val="21"/>
                      <w:szCs w:val="21"/>
                      <w:highlight w:val="none"/>
                      <w:vertAlign w:val="baseline"/>
                      <w:lang w:val="en-US" w:eastAsia="zh-CN"/>
                    </w:rPr>
                    <w:t>处理量</w:t>
                  </w:r>
                </w:p>
              </w:tc>
              <w:tc>
                <w:tcPr>
                  <w:tcW w:w="2290" w:type="dxa"/>
                  <w:tcBorders>
                    <w:tl2br w:val="nil"/>
                    <w:tr2bl w:val="nil"/>
                  </w:tcBorders>
                  <w:vAlign w:val="center"/>
                </w:tcPr>
                <w:p w14:paraId="3D6B5EB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4.37384</w:t>
                  </w:r>
                  <w:r>
                    <w:rPr>
                      <w:rFonts w:hint="default" w:ascii="Times New Roman" w:hAnsi="Times New Roman" w:eastAsia="宋体" w:cs="Times New Roman"/>
                      <w:b w:val="0"/>
                      <w:bCs/>
                      <w:sz w:val="21"/>
                      <w:szCs w:val="21"/>
                      <w:highlight w:val="none"/>
                      <w:vertAlign w:val="baseline"/>
                      <w:lang w:val="en-US" w:eastAsia="zh-CN"/>
                    </w:rPr>
                    <w:t>×10</w:t>
                  </w:r>
                  <w:r>
                    <w:rPr>
                      <w:rFonts w:hint="default" w:ascii="Times New Roman" w:hAnsi="Times New Roman" w:eastAsia="宋体" w:cs="Times New Roman"/>
                      <w:b w:val="0"/>
                      <w:bCs/>
                      <w:sz w:val="21"/>
                      <w:szCs w:val="21"/>
                      <w:highlight w:val="none"/>
                      <w:vertAlign w:val="superscript"/>
                      <w:lang w:val="en-US" w:eastAsia="zh-CN"/>
                    </w:rPr>
                    <w:t>-6</w:t>
                  </w:r>
                </w:p>
              </w:tc>
            </w:tr>
            <w:tr w14:paraId="2538FC6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7" w:hRule="atLeast"/>
                <w:jc w:val="center"/>
              </w:trPr>
              <w:tc>
                <w:tcPr>
                  <w:tcW w:w="1164" w:type="dxa"/>
                  <w:tcBorders>
                    <w:tl2br w:val="nil"/>
                    <w:tr2bl w:val="nil"/>
                  </w:tcBorders>
                  <w:vAlign w:val="center"/>
                </w:tcPr>
                <w:p w14:paraId="54795D1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合计</w:t>
                  </w:r>
                </w:p>
              </w:tc>
              <w:tc>
                <w:tcPr>
                  <w:tcW w:w="2238" w:type="dxa"/>
                  <w:tcBorders>
                    <w:tl2br w:val="nil"/>
                    <w:tr2bl w:val="nil"/>
                  </w:tcBorders>
                  <w:vAlign w:val="center"/>
                </w:tcPr>
                <w:p w14:paraId="3E06A2C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5.1156×10</w:t>
                  </w:r>
                  <w:r>
                    <w:rPr>
                      <w:rFonts w:hint="default" w:ascii="Times New Roman" w:hAnsi="Times New Roman" w:eastAsia="宋体" w:cs="Times New Roman"/>
                      <w:b w:val="0"/>
                      <w:bCs/>
                      <w:sz w:val="21"/>
                      <w:szCs w:val="21"/>
                      <w:highlight w:val="none"/>
                      <w:vertAlign w:val="superscript"/>
                      <w:lang w:val="en-US" w:eastAsia="zh-CN"/>
                    </w:rPr>
                    <w:t>-6</w:t>
                  </w:r>
                </w:p>
              </w:tc>
              <w:tc>
                <w:tcPr>
                  <w:tcW w:w="2366" w:type="dxa"/>
                  <w:tcBorders>
                    <w:tl2br w:val="nil"/>
                    <w:tr2bl w:val="nil"/>
                  </w:tcBorders>
                  <w:vAlign w:val="center"/>
                </w:tcPr>
                <w:p w14:paraId="2CCAD7A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合计</w:t>
                  </w:r>
                </w:p>
              </w:tc>
              <w:tc>
                <w:tcPr>
                  <w:tcW w:w="2290" w:type="dxa"/>
                  <w:tcBorders>
                    <w:tl2br w:val="nil"/>
                    <w:tr2bl w:val="nil"/>
                  </w:tcBorders>
                  <w:vAlign w:val="center"/>
                </w:tcPr>
                <w:p w14:paraId="12B9C1A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5.1156×10</w:t>
                  </w:r>
                  <w:r>
                    <w:rPr>
                      <w:rFonts w:hint="default" w:ascii="Times New Roman" w:hAnsi="Times New Roman" w:eastAsia="宋体" w:cs="Times New Roman"/>
                      <w:b w:val="0"/>
                      <w:bCs/>
                      <w:sz w:val="21"/>
                      <w:szCs w:val="21"/>
                      <w:highlight w:val="none"/>
                      <w:vertAlign w:val="superscript"/>
                      <w:lang w:val="en-US" w:eastAsia="zh-CN"/>
                    </w:rPr>
                    <w:t>-6</w:t>
                  </w:r>
                </w:p>
              </w:tc>
            </w:tr>
          </w:tbl>
          <w:p w14:paraId="2FA498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sz w:val="21"/>
                <w:szCs w:val="21"/>
                <w:highlight w:val="none"/>
                <w:lang w:val="en-US" w:eastAsia="zh-CN"/>
              </w:rPr>
            </w:pPr>
          </w:p>
          <w:p w14:paraId="13B682EE">
            <w:pPr>
              <w:spacing w:line="360" w:lineRule="auto"/>
              <w:ind w:firstLine="482" w:firstLineChars="200"/>
              <w:rPr>
                <w:rFonts w:hint="default" w:ascii="Times New Roman" w:hAnsi="Times New Roman" w:eastAsia="宋体" w:cs="Times New Roman"/>
                <w:b/>
                <w:bCs w:val="0"/>
                <w:sz w:val="24"/>
                <w:highlight w:val="none"/>
                <w:lang w:val="en-US" w:eastAsia="zh-CN"/>
              </w:rPr>
            </w:pPr>
            <w:r>
              <w:rPr>
                <w:rFonts w:hint="eastAsia" w:ascii="Times New Roman" w:hAnsi="Times New Roman" w:eastAsia="宋体" w:cs="Times New Roman"/>
                <w:b/>
                <w:bCs w:val="0"/>
                <w:sz w:val="24"/>
                <w:highlight w:val="none"/>
                <w:lang w:val="en-US" w:eastAsia="zh-CN"/>
              </w:rPr>
              <w:t>3.2沥青烟</w:t>
            </w:r>
            <w:r>
              <w:rPr>
                <w:rFonts w:hint="default" w:ascii="Times New Roman" w:hAnsi="Times New Roman" w:eastAsia="宋体" w:cs="Times New Roman"/>
                <w:b/>
                <w:bCs w:val="0"/>
                <w:sz w:val="24"/>
                <w:highlight w:val="none"/>
                <w:lang w:val="en-US" w:eastAsia="zh-CN"/>
              </w:rPr>
              <w:t>平衡</w:t>
            </w:r>
          </w:p>
          <w:p w14:paraId="48274230">
            <w:pPr>
              <w:spacing w:line="360" w:lineRule="auto"/>
              <w:ind w:firstLine="480" w:firstLineChars="200"/>
              <w:rPr>
                <w:rFonts w:hint="default" w:ascii="Times New Roman" w:hAnsi="Times New Roman" w:eastAsia="宋体" w:cs="Times New Roman"/>
                <w:b w:val="0"/>
                <w:bCs/>
                <w:sz w:val="24"/>
                <w:highlight w:val="none"/>
                <w:lang w:val="en-US" w:eastAsia="zh-CN"/>
              </w:rPr>
            </w:pPr>
            <w:r>
              <w:rPr>
                <w:rFonts w:hint="default" w:ascii="Times New Roman" w:hAnsi="Times New Roman" w:eastAsia="宋体" w:cs="Times New Roman"/>
                <w:b w:val="0"/>
                <w:bCs/>
                <w:sz w:val="24"/>
                <w:highlight w:val="none"/>
                <w:lang w:val="en-US" w:eastAsia="zh-CN"/>
              </w:rPr>
              <w:t>本项目</w:t>
            </w:r>
            <w:r>
              <w:rPr>
                <w:rFonts w:hint="eastAsia" w:ascii="Times New Roman" w:hAnsi="Times New Roman" w:eastAsia="宋体" w:cs="Times New Roman"/>
                <w:b w:val="0"/>
                <w:bCs/>
                <w:sz w:val="24"/>
                <w:highlight w:val="none"/>
                <w:lang w:val="en-US" w:eastAsia="zh-CN"/>
              </w:rPr>
              <w:t>沥青烟</w:t>
            </w:r>
            <w:r>
              <w:rPr>
                <w:rFonts w:hint="default" w:ascii="Times New Roman" w:hAnsi="Times New Roman" w:eastAsia="宋体" w:cs="Times New Roman"/>
                <w:b w:val="0"/>
                <w:bCs/>
                <w:sz w:val="24"/>
                <w:highlight w:val="none"/>
                <w:lang w:val="en-US" w:eastAsia="zh-CN"/>
              </w:rPr>
              <w:t>物料平衡见下表</w:t>
            </w:r>
            <w:r>
              <w:rPr>
                <w:rFonts w:hint="eastAsia" w:ascii="Times New Roman" w:hAnsi="Times New Roman" w:eastAsia="宋体" w:cs="Times New Roman"/>
                <w:b w:val="0"/>
                <w:bCs/>
                <w:sz w:val="24"/>
                <w:highlight w:val="none"/>
                <w:lang w:val="en-US" w:eastAsia="zh-CN"/>
              </w:rPr>
              <w:t>：</w:t>
            </w:r>
          </w:p>
          <w:p w14:paraId="53202B0D">
            <w:pPr>
              <w:numPr>
                <w:ilvl w:val="0"/>
                <w:numId w:val="4"/>
              </w:numPr>
              <w:tabs>
                <w:tab w:val="left" w:pos="0"/>
              </w:tabs>
              <w:jc w:val="center"/>
              <w:rPr>
                <w:rFonts w:hint="default" w:ascii="Times New Roman" w:hAnsi="Times New Roman" w:eastAsia="宋体" w:cs="Times New Roman"/>
                <w:b/>
                <w:szCs w:val="21"/>
                <w:highlight w:val="none"/>
                <w:lang w:val="en-US" w:eastAsia="zh-CN"/>
              </w:rPr>
            </w:pPr>
            <w:r>
              <w:rPr>
                <w:rFonts w:hint="default" w:ascii="Times New Roman" w:hAnsi="Times New Roman" w:eastAsia="宋体" w:cs="Times New Roman"/>
                <w:b/>
                <w:szCs w:val="21"/>
                <w:highlight w:val="none"/>
                <w:lang w:val="en-US" w:eastAsia="zh-CN"/>
              </w:rPr>
              <w:t>本项目</w:t>
            </w:r>
            <w:r>
              <w:rPr>
                <w:rFonts w:hint="eastAsia" w:ascii="Times New Roman" w:hAnsi="Times New Roman" w:eastAsia="宋体" w:cs="Times New Roman"/>
                <w:b/>
                <w:szCs w:val="21"/>
                <w:highlight w:val="none"/>
                <w:lang w:val="en-US" w:eastAsia="zh-CN"/>
              </w:rPr>
              <w:t>沥青烟</w:t>
            </w:r>
            <w:r>
              <w:rPr>
                <w:rFonts w:hint="default" w:ascii="Times New Roman" w:hAnsi="Times New Roman" w:eastAsia="宋体" w:cs="Times New Roman"/>
                <w:b/>
                <w:szCs w:val="21"/>
                <w:highlight w:val="none"/>
                <w:lang w:val="en-US" w:eastAsia="zh-CN"/>
              </w:rPr>
              <w:t>物料平衡表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083"/>
              <w:gridCol w:w="2192"/>
              <w:gridCol w:w="2631"/>
              <w:gridCol w:w="2152"/>
            </w:tblGrid>
            <w:tr w14:paraId="7C4CE33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7" w:hRule="atLeast"/>
                <w:jc w:val="center"/>
              </w:trPr>
              <w:tc>
                <w:tcPr>
                  <w:tcW w:w="3275" w:type="dxa"/>
                  <w:gridSpan w:val="2"/>
                  <w:tcBorders>
                    <w:tl2br w:val="nil"/>
                    <w:tr2bl w:val="nil"/>
                  </w:tcBorders>
                  <w:vAlign w:val="center"/>
                </w:tcPr>
                <w:p w14:paraId="7CF08D0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物料进入</w:t>
                  </w:r>
                </w:p>
              </w:tc>
              <w:tc>
                <w:tcPr>
                  <w:tcW w:w="4783" w:type="dxa"/>
                  <w:gridSpan w:val="2"/>
                  <w:tcBorders>
                    <w:tl2br w:val="nil"/>
                    <w:tr2bl w:val="nil"/>
                  </w:tcBorders>
                  <w:vAlign w:val="center"/>
                </w:tcPr>
                <w:p w14:paraId="0DEB4B6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物料产出</w:t>
                  </w:r>
                </w:p>
              </w:tc>
            </w:tr>
            <w:tr w14:paraId="71FE47F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7" w:hRule="atLeast"/>
                <w:jc w:val="center"/>
              </w:trPr>
              <w:tc>
                <w:tcPr>
                  <w:tcW w:w="1083" w:type="dxa"/>
                  <w:tcBorders>
                    <w:tl2br w:val="nil"/>
                    <w:tr2bl w:val="nil"/>
                  </w:tcBorders>
                  <w:vAlign w:val="center"/>
                </w:tcPr>
                <w:p w14:paraId="4528925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原料名称</w:t>
                  </w:r>
                </w:p>
              </w:tc>
              <w:tc>
                <w:tcPr>
                  <w:tcW w:w="2192" w:type="dxa"/>
                  <w:tcBorders>
                    <w:tl2br w:val="nil"/>
                    <w:tr2bl w:val="nil"/>
                  </w:tcBorders>
                  <w:vAlign w:val="center"/>
                </w:tcPr>
                <w:p w14:paraId="7A8A9AE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沥青烟</w:t>
                  </w:r>
                  <w:r>
                    <w:rPr>
                      <w:rFonts w:hint="default" w:ascii="Times New Roman" w:hAnsi="Times New Roman" w:eastAsia="宋体" w:cs="Times New Roman"/>
                      <w:b w:val="0"/>
                      <w:bCs/>
                      <w:sz w:val="21"/>
                      <w:szCs w:val="21"/>
                      <w:highlight w:val="none"/>
                      <w:vertAlign w:val="baseline"/>
                      <w:lang w:val="en-US" w:eastAsia="zh-CN"/>
                    </w:rPr>
                    <w:t>产生量（t/a）</w:t>
                  </w:r>
                </w:p>
              </w:tc>
              <w:tc>
                <w:tcPr>
                  <w:tcW w:w="2631" w:type="dxa"/>
                  <w:tcBorders>
                    <w:tl2br w:val="nil"/>
                    <w:tr2bl w:val="nil"/>
                  </w:tcBorders>
                  <w:vAlign w:val="center"/>
                </w:tcPr>
                <w:p w14:paraId="38D5969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产品名称</w:t>
                  </w:r>
                </w:p>
              </w:tc>
              <w:tc>
                <w:tcPr>
                  <w:tcW w:w="2152" w:type="dxa"/>
                  <w:tcBorders>
                    <w:tl2br w:val="nil"/>
                    <w:tr2bl w:val="nil"/>
                  </w:tcBorders>
                  <w:vAlign w:val="center"/>
                </w:tcPr>
                <w:p w14:paraId="0C6D04C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沥青烟</w:t>
                  </w:r>
                  <w:r>
                    <w:rPr>
                      <w:rFonts w:hint="default" w:ascii="Times New Roman" w:hAnsi="Times New Roman" w:eastAsia="宋体" w:cs="Times New Roman"/>
                      <w:b w:val="0"/>
                      <w:bCs/>
                      <w:sz w:val="21"/>
                      <w:szCs w:val="21"/>
                      <w:highlight w:val="none"/>
                      <w:vertAlign w:val="baseline"/>
                      <w:lang w:val="en-US" w:eastAsia="zh-CN"/>
                    </w:rPr>
                    <w:t>产出量（t/a）</w:t>
                  </w:r>
                </w:p>
              </w:tc>
            </w:tr>
            <w:tr w14:paraId="3FC214C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7" w:hRule="atLeast"/>
                <w:jc w:val="center"/>
              </w:trPr>
              <w:tc>
                <w:tcPr>
                  <w:tcW w:w="1083" w:type="dxa"/>
                  <w:vMerge w:val="restart"/>
                  <w:tcBorders>
                    <w:tl2br w:val="nil"/>
                    <w:tr2bl w:val="nil"/>
                  </w:tcBorders>
                  <w:vAlign w:val="center"/>
                </w:tcPr>
                <w:p w14:paraId="6E187DF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沥青</w:t>
                  </w:r>
                </w:p>
              </w:tc>
              <w:tc>
                <w:tcPr>
                  <w:tcW w:w="2192" w:type="dxa"/>
                  <w:vMerge w:val="restart"/>
                  <w:tcBorders>
                    <w:tl2br w:val="nil"/>
                    <w:tr2bl w:val="nil"/>
                  </w:tcBorders>
                  <w:vAlign w:val="center"/>
                </w:tcPr>
                <w:p w14:paraId="2AC13F1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0.2558</w:t>
                  </w:r>
                </w:p>
              </w:tc>
              <w:tc>
                <w:tcPr>
                  <w:tcW w:w="2631" w:type="dxa"/>
                  <w:tcBorders>
                    <w:tl2br w:val="nil"/>
                    <w:tr2bl w:val="nil"/>
                  </w:tcBorders>
                  <w:vAlign w:val="center"/>
                </w:tcPr>
                <w:p w14:paraId="16E6291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有组织排放</w:t>
                  </w:r>
                </w:p>
              </w:tc>
              <w:tc>
                <w:tcPr>
                  <w:tcW w:w="2152" w:type="dxa"/>
                  <w:tcBorders>
                    <w:tl2br w:val="nil"/>
                    <w:tr2bl w:val="nil"/>
                  </w:tcBorders>
                  <w:vAlign w:val="center"/>
                </w:tcPr>
                <w:p w14:paraId="7E15CAC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0.0243</w:t>
                  </w:r>
                </w:p>
              </w:tc>
            </w:tr>
            <w:tr w14:paraId="4CA9112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7" w:hRule="atLeast"/>
                <w:jc w:val="center"/>
              </w:trPr>
              <w:tc>
                <w:tcPr>
                  <w:tcW w:w="1083" w:type="dxa"/>
                  <w:vMerge w:val="continue"/>
                  <w:tcBorders>
                    <w:tl2br w:val="nil"/>
                    <w:tr2bl w:val="nil"/>
                  </w:tcBorders>
                  <w:vAlign w:val="center"/>
                </w:tcPr>
                <w:p w14:paraId="77A4BC8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p>
              </w:tc>
              <w:tc>
                <w:tcPr>
                  <w:tcW w:w="2192" w:type="dxa"/>
                  <w:vMerge w:val="continue"/>
                  <w:tcBorders>
                    <w:tl2br w:val="nil"/>
                    <w:tr2bl w:val="nil"/>
                  </w:tcBorders>
                  <w:vAlign w:val="center"/>
                </w:tcPr>
                <w:p w14:paraId="5BD565E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p>
              </w:tc>
              <w:tc>
                <w:tcPr>
                  <w:tcW w:w="2631" w:type="dxa"/>
                  <w:tcBorders>
                    <w:tl2br w:val="nil"/>
                    <w:tr2bl w:val="nil"/>
                  </w:tcBorders>
                  <w:vAlign w:val="center"/>
                </w:tcPr>
                <w:p w14:paraId="19BF78B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无组织排放</w:t>
                  </w:r>
                </w:p>
              </w:tc>
              <w:tc>
                <w:tcPr>
                  <w:tcW w:w="2152" w:type="dxa"/>
                  <w:tcBorders>
                    <w:tl2br w:val="nil"/>
                    <w:tr2bl w:val="nil"/>
                  </w:tcBorders>
                  <w:vAlign w:val="center"/>
                </w:tcPr>
                <w:p w14:paraId="5DB6670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0.0128</w:t>
                  </w:r>
                </w:p>
              </w:tc>
            </w:tr>
            <w:tr w14:paraId="6709872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7" w:hRule="atLeast"/>
                <w:jc w:val="center"/>
              </w:trPr>
              <w:tc>
                <w:tcPr>
                  <w:tcW w:w="1083" w:type="dxa"/>
                  <w:vMerge w:val="continue"/>
                  <w:tcBorders>
                    <w:tl2br w:val="nil"/>
                    <w:tr2bl w:val="nil"/>
                  </w:tcBorders>
                  <w:vAlign w:val="center"/>
                </w:tcPr>
                <w:p w14:paraId="1D438B6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p>
              </w:tc>
              <w:tc>
                <w:tcPr>
                  <w:tcW w:w="2192" w:type="dxa"/>
                  <w:vMerge w:val="continue"/>
                  <w:tcBorders>
                    <w:tl2br w:val="nil"/>
                    <w:tr2bl w:val="nil"/>
                  </w:tcBorders>
                  <w:vAlign w:val="center"/>
                </w:tcPr>
                <w:p w14:paraId="6B624E4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p>
              </w:tc>
              <w:tc>
                <w:tcPr>
                  <w:tcW w:w="2631" w:type="dxa"/>
                  <w:tcBorders>
                    <w:tl2br w:val="nil"/>
                    <w:tr2bl w:val="nil"/>
                  </w:tcBorders>
                  <w:vAlign w:val="center"/>
                </w:tcPr>
                <w:p w14:paraId="7067F82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喷淋+干式过滤+活性炭吸附脱附+催化燃烧</w:t>
                  </w:r>
                  <w:r>
                    <w:rPr>
                      <w:rFonts w:hint="eastAsia" w:ascii="Times New Roman" w:hAnsi="Times New Roman" w:eastAsia="宋体" w:cs="Times New Roman"/>
                      <w:b w:val="0"/>
                      <w:bCs/>
                      <w:sz w:val="21"/>
                      <w:szCs w:val="21"/>
                      <w:highlight w:val="none"/>
                      <w:vertAlign w:val="baseline"/>
                      <w:lang w:val="en-US" w:eastAsia="zh-CN"/>
                    </w:rPr>
                    <w:t>处理量</w:t>
                  </w:r>
                </w:p>
              </w:tc>
              <w:tc>
                <w:tcPr>
                  <w:tcW w:w="2152" w:type="dxa"/>
                  <w:tcBorders>
                    <w:tl2br w:val="nil"/>
                    <w:tr2bl w:val="nil"/>
                  </w:tcBorders>
                  <w:vAlign w:val="center"/>
                </w:tcPr>
                <w:p w14:paraId="37B7EB3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0.2187</w:t>
                  </w:r>
                </w:p>
              </w:tc>
            </w:tr>
            <w:tr w14:paraId="151F7E7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7" w:hRule="atLeast"/>
                <w:jc w:val="center"/>
              </w:trPr>
              <w:tc>
                <w:tcPr>
                  <w:tcW w:w="1083" w:type="dxa"/>
                  <w:tcBorders>
                    <w:tl2br w:val="nil"/>
                    <w:tr2bl w:val="nil"/>
                  </w:tcBorders>
                  <w:vAlign w:val="center"/>
                </w:tcPr>
                <w:p w14:paraId="5D36FEF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合计</w:t>
                  </w:r>
                </w:p>
              </w:tc>
              <w:tc>
                <w:tcPr>
                  <w:tcW w:w="2192" w:type="dxa"/>
                  <w:tcBorders>
                    <w:tl2br w:val="nil"/>
                    <w:tr2bl w:val="nil"/>
                  </w:tcBorders>
                  <w:vAlign w:val="center"/>
                </w:tcPr>
                <w:p w14:paraId="40E2DFC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0.2558</w:t>
                  </w:r>
                </w:p>
              </w:tc>
              <w:tc>
                <w:tcPr>
                  <w:tcW w:w="2631" w:type="dxa"/>
                  <w:tcBorders>
                    <w:tl2br w:val="nil"/>
                    <w:tr2bl w:val="nil"/>
                  </w:tcBorders>
                  <w:vAlign w:val="center"/>
                </w:tcPr>
                <w:p w14:paraId="781F606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合计</w:t>
                  </w:r>
                </w:p>
              </w:tc>
              <w:tc>
                <w:tcPr>
                  <w:tcW w:w="2152" w:type="dxa"/>
                  <w:tcBorders>
                    <w:tl2br w:val="nil"/>
                    <w:tr2bl w:val="nil"/>
                  </w:tcBorders>
                  <w:vAlign w:val="center"/>
                </w:tcPr>
                <w:p w14:paraId="7EE5A82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0.2558</w:t>
                  </w:r>
                </w:p>
              </w:tc>
            </w:tr>
          </w:tbl>
          <w:p w14:paraId="0DA9B763">
            <w:pPr>
              <w:spacing w:line="240" w:lineRule="auto"/>
              <w:ind w:firstLine="420" w:firstLineChars="200"/>
              <w:jc w:val="center"/>
              <w:rPr>
                <w:rFonts w:hint="default" w:ascii="Times New Roman" w:hAnsi="Times New Roman" w:eastAsia="宋体" w:cs="Times New Roman"/>
                <w:b w:val="0"/>
                <w:bCs/>
                <w:sz w:val="21"/>
                <w:szCs w:val="21"/>
                <w:highlight w:val="none"/>
                <w:lang w:val="en-US" w:eastAsia="zh-CN"/>
              </w:rPr>
            </w:pPr>
          </w:p>
          <w:p w14:paraId="4CC6CE37">
            <w:pPr>
              <w:spacing w:line="360" w:lineRule="auto"/>
              <w:ind w:firstLine="482" w:firstLineChars="200"/>
              <w:rPr>
                <w:rFonts w:hint="default" w:ascii="Times New Roman" w:hAnsi="Times New Roman" w:eastAsia="宋体" w:cs="Times New Roman"/>
                <w:b/>
                <w:bCs w:val="0"/>
                <w:sz w:val="24"/>
                <w:highlight w:val="none"/>
                <w:lang w:val="en-US" w:eastAsia="zh-CN"/>
              </w:rPr>
            </w:pPr>
            <w:r>
              <w:rPr>
                <w:rFonts w:hint="eastAsia" w:ascii="Times New Roman" w:hAnsi="Times New Roman" w:eastAsia="宋体" w:cs="Times New Roman"/>
                <w:b/>
                <w:bCs w:val="0"/>
                <w:sz w:val="24"/>
                <w:highlight w:val="none"/>
                <w:lang w:val="en-US" w:eastAsia="zh-CN"/>
              </w:rPr>
              <w:t>3.3VOCs（以非甲烷总烃计）</w:t>
            </w:r>
            <w:r>
              <w:rPr>
                <w:rFonts w:hint="default" w:ascii="Times New Roman" w:hAnsi="Times New Roman" w:eastAsia="宋体" w:cs="Times New Roman"/>
                <w:b/>
                <w:bCs w:val="0"/>
                <w:sz w:val="24"/>
                <w:highlight w:val="none"/>
                <w:lang w:val="en-US" w:eastAsia="zh-CN"/>
              </w:rPr>
              <w:t>平衡</w:t>
            </w:r>
          </w:p>
          <w:p w14:paraId="0F7E6877">
            <w:pPr>
              <w:spacing w:line="360" w:lineRule="auto"/>
              <w:ind w:firstLine="480" w:firstLineChars="200"/>
              <w:rPr>
                <w:rFonts w:hint="default" w:ascii="Times New Roman" w:hAnsi="Times New Roman" w:eastAsia="宋体" w:cs="Times New Roman"/>
                <w:b w:val="0"/>
                <w:bCs/>
                <w:sz w:val="24"/>
                <w:highlight w:val="none"/>
                <w:lang w:val="en-US" w:eastAsia="zh-CN"/>
              </w:rPr>
            </w:pPr>
            <w:r>
              <w:rPr>
                <w:rFonts w:hint="default" w:ascii="Times New Roman" w:hAnsi="Times New Roman" w:eastAsia="宋体" w:cs="Times New Roman"/>
                <w:b w:val="0"/>
                <w:bCs/>
                <w:sz w:val="24"/>
                <w:highlight w:val="none"/>
                <w:lang w:val="en-US" w:eastAsia="zh-CN"/>
              </w:rPr>
              <w:t>本项目VOCs（以非甲烷总烃计）物料平衡见下表</w:t>
            </w:r>
            <w:r>
              <w:rPr>
                <w:rFonts w:hint="eastAsia" w:ascii="Times New Roman" w:hAnsi="Times New Roman" w:eastAsia="宋体" w:cs="Times New Roman"/>
                <w:b w:val="0"/>
                <w:bCs/>
                <w:sz w:val="24"/>
                <w:highlight w:val="none"/>
                <w:lang w:val="en-US" w:eastAsia="zh-CN"/>
              </w:rPr>
              <w:t>：</w:t>
            </w:r>
          </w:p>
          <w:p w14:paraId="78BB6407">
            <w:pPr>
              <w:numPr>
                <w:ilvl w:val="0"/>
                <w:numId w:val="4"/>
              </w:numPr>
              <w:tabs>
                <w:tab w:val="left" w:pos="0"/>
              </w:tabs>
              <w:jc w:val="center"/>
              <w:rPr>
                <w:rFonts w:hint="default" w:ascii="Times New Roman" w:hAnsi="Times New Roman" w:eastAsia="宋体" w:cs="Times New Roman"/>
                <w:b/>
                <w:szCs w:val="21"/>
                <w:highlight w:val="none"/>
                <w:lang w:val="en-US" w:eastAsia="zh-CN"/>
              </w:rPr>
            </w:pPr>
            <w:r>
              <w:rPr>
                <w:rFonts w:hint="default" w:ascii="Times New Roman" w:hAnsi="Times New Roman" w:eastAsia="宋体" w:cs="Times New Roman"/>
                <w:b/>
                <w:szCs w:val="21"/>
                <w:highlight w:val="none"/>
                <w:lang w:val="en-US" w:eastAsia="zh-CN"/>
              </w:rPr>
              <w:t>本项目VOCs（以非甲烷总烃计）物料平衡表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418"/>
              <w:gridCol w:w="2610"/>
              <w:gridCol w:w="1509"/>
              <w:gridCol w:w="2521"/>
            </w:tblGrid>
            <w:tr w14:paraId="3A41826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7" w:hRule="atLeast"/>
                <w:jc w:val="center"/>
              </w:trPr>
              <w:tc>
                <w:tcPr>
                  <w:tcW w:w="4028" w:type="dxa"/>
                  <w:gridSpan w:val="2"/>
                  <w:tcBorders>
                    <w:tl2br w:val="nil"/>
                    <w:tr2bl w:val="nil"/>
                  </w:tcBorders>
                  <w:vAlign w:val="center"/>
                </w:tcPr>
                <w:p w14:paraId="008D045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物料进入</w:t>
                  </w:r>
                </w:p>
              </w:tc>
              <w:tc>
                <w:tcPr>
                  <w:tcW w:w="4030" w:type="dxa"/>
                  <w:gridSpan w:val="2"/>
                  <w:tcBorders>
                    <w:tl2br w:val="nil"/>
                    <w:tr2bl w:val="nil"/>
                  </w:tcBorders>
                  <w:vAlign w:val="center"/>
                </w:tcPr>
                <w:p w14:paraId="6A74B03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物料产出</w:t>
                  </w:r>
                </w:p>
              </w:tc>
            </w:tr>
            <w:tr w14:paraId="184CFEE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7" w:hRule="atLeast"/>
                <w:jc w:val="center"/>
              </w:trPr>
              <w:tc>
                <w:tcPr>
                  <w:tcW w:w="1418" w:type="dxa"/>
                  <w:tcBorders>
                    <w:tl2br w:val="nil"/>
                    <w:tr2bl w:val="nil"/>
                  </w:tcBorders>
                  <w:vAlign w:val="center"/>
                </w:tcPr>
                <w:p w14:paraId="4274A60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原料名称</w:t>
                  </w:r>
                </w:p>
              </w:tc>
              <w:tc>
                <w:tcPr>
                  <w:tcW w:w="2610" w:type="dxa"/>
                  <w:tcBorders>
                    <w:tl2br w:val="nil"/>
                    <w:tr2bl w:val="nil"/>
                  </w:tcBorders>
                  <w:vAlign w:val="center"/>
                </w:tcPr>
                <w:p w14:paraId="7019DB6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VOCs（以非甲烷总烃计）产生量（t/a）</w:t>
                  </w:r>
                </w:p>
              </w:tc>
              <w:tc>
                <w:tcPr>
                  <w:tcW w:w="1509" w:type="dxa"/>
                  <w:tcBorders>
                    <w:tl2br w:val="nil"/>
                    <w:tr2bl w:val="nil"/>
                  </w:tcBorders>
                  <w:vAlign w:val="center"/>
                </w:tcPr>
                <w:p w14:paraId="18676DF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产品名称</w:t>
                  </w:r>
                </w:p>
              </w:tc>
              <w:tc>
                <w:tcPr>
                  <w:tcW w:w="2521" w:type="dxa"/>
                  <w:tcBorders>
                    <w:tl2br w:val="nil"/>
                    <w:tr2bl w:val="nil"/>
                  </w:tcBorders>
                  <w:vAlign w:val="center"/>
                </w:tcPr>
                <w:p w14:paraId="4D58620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VOCs（以非甲烷总烃计）产出量（t/a）</w:t>
                  </w:r>
                </w:p>
              </w:tc>
            </w:tr>
            <w:tr w14:paraId="2DDD937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7" w:hRule="atLeast"/>
                <w:jc w:val="center"/>
              </w:trPr>
              <w:tc>
                <w:tcPr>
                  <w:tcW w:w="1418" w:type="dxa"/>
                  <w:vMerge w:val="restart"/>
                  <w:tcBorders>
                    <w:tl2br w:val="nil"/>
                    <w:tr2bl w:val="nil"/>
                  </w:tcBorders>
                  <w:vAlign w:val="center"/>
                </w:tcPr>
                <w:p w14:paraId="66C4112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沥青</w:t>
                  </w:r>
                </w:p>
              </w:tc>
              <w:tc>
                <w:tcPr>
                  <w:tcW w:w="2610" w:type="dxa"/>
                  <w:vMerge w:val="restart"/>
                  <w:tcBorders>
                    <w:tl2br w:val="nil"/>
                    <w:tr2bl w:val="nil"/>
                  </w:tcBorders>
                  <w:vAlign w:val="center"/>
                </w:tcPr>
                <w:p w14:paraId="3148F67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0.179</w:t>
                  </w:r>
                </w:p>
              </w:tc>
              <w:tc>
                <w:tcPr>
                  <w:tcW w:w="1509" w:type="dxa"/>
                  <w:tcBorders>
                    <w:tl2br w:val="nil"/>
                    <w:tr2bl w:val="nil"/>
                  </w:tcBorders>
                  <w:vAlign w:val="center"/>
                </w:tcPr>
                <w:p w14:paraId="43AE0F3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有组织排放</w:t>
                  </w:r>
                </w:p>
              </w:tc>
              <w:tc>
                <w:tcPr>
                  <w:tcW w:w="2521" w:type="dxa"/>
                  <w:tcBorders>
                    <w:tl2br w:val="nil"/>
                    <w:tr2bl w:val="nil"/>
                  </w:tcBorders>
                  <w:vAlign w:val="center"/>
                </w:tcPr>
                <w:p w14:paraId="024BE9B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0.017</w:t>
                  </w:r>
                </w:p>
              </w:tc>
            </w:tr>
            <w:tr w14:paraId="0F33706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7" w:hRule="atLeast"/>
                <w:jc w:val="center"/>
              </w:trPr>
              <w:tc>
                <w:tcPr>
                  <w:tcW w:w="1418" w:type="dxa"/>
                  <w:vMerge w:val="continue"/>
                  <w:tcBorders>
                    <w:tl2br w:val="nil"/>
                    <w:tr2bl w:val="nil"/>
                  </w:tcBorders>
                  <w:vAlign w:val="center"/>
                </w:tcPr>
                <w:p w14:paraId="2498D4B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p>
              </w:tc>
              <w:tc>
                <w:tcPr>
                  <w:tcW w:w="2610" w:type="dxa"/>
                  <w:vMerge w:val="continue"/>
                  <w:tcBorders>
                    <w:tl2br w:val="nil"/>
                    <w:tr2bl w:val="nil"/>
                  </w:tcBorders>
                  <w:vAlign w:val="center"/>
                </w:tcPr>
                <w:p w14:paraId="36FA1FB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p>
              </w:tc>
              <w:tc>
                <w:tcPr>
                  <w:tcW w:w="1509" w:type="dxa"/>
                  <w:tcBorders>
                    <w:tl2br w:val="nil"/>
                    <w:tr2bl w:val="nil"/>
                  </w:tcBorders>
                  <w:vAlign w:val="center"/>
                </w:tcPr>
                <w:p w14:paraId="749A48E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无组织排放</w:t>
                  </w:r>
                </w:p>
              </w:tc>
              <w:tc>
                <w:tcPr>
                  <w:tcW w:w="2521" w:type="dxa"/>
                  <w:tcBorders>
                    <w:tl2br w:val="nil"/>
                    <w:tr2bl w:val="nil"/>
                  </w:tcBorders>
                  <w:vAlign w:val="center"/>
                </w:tcPr>
                <w:p w14:paraId="5FF4BC9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0.009</w:t>
                  </w:r>
                </w:p>
              </w:tc>
            </w:tr>
            <w:tr w14:paraId="567D1E7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7" w:hRule="atLeast"/>
                <w:jc w:val="center"/>
              </w:trPr>
              <w:tc>
                <w:tcPr>
                  <w:tcW w:w="1418" w:type="dxa"/>
                  <w:vMerge w:val="continue"/>
                  <w:tcBorders>
                    <w:tl2br w:val="nil"/>
                    <w:tr2bl w:val="nil"/>
                  </w:tcBorders>
                  <w:vAlign w:val="center"/>
                </w:tcPr>
                <w:p w14:paraId="4E00CF9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p>
              </w:tc>
              <w:tc>
                <w:tcPr>
                  <w:tcW w:w="2610" w:type="dxa"/>
                  <w:vMerge w:val="continue"/>
                  <w:tcBorders>
                    <w:tl2br w:val="nil"/>
                    <w:tr2bl w:val="nil"/>
                  </w:tcBorders>
                  <w:vAlign w:val="center"/>
                </w:tcPr>
                <w:p w14:paraId="6AFC655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p>
              </w:tc>
              <w:tc>
                <w:tcPr>
                  <w:tcW w:w="1509" w:type="dxa"/>
                  <w:tcBorders>
                    <w:tl2br w:val="nil"/>
                    <w:tr2bl w:val="nil"/>
                  </w:tcBorders>
                  <w:vAlign w:val="center"/>
                </w:tcPr>
                <w:p w14:paraId="5F6A818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喷淋+干式过滤+活性炭吸附脱附+催化燃烧</w:t>
                  </w:r>
                  <w:r>
                    <w:rPr>
                      <w:rFonts w:hint="eastAsia" w:ascii="Times New Roman" w:hAnsi="Times New Roman" w:eastAsia="宋体" w:cs="Times New Roman"/>
                      <w:b w:val="0"/>
                      <w:bCs/>
                      <w:sz w:val="21"/>
                      <w:szCs w:val="21"/>
                      <w:highlight w:val="none"/>
                      <w:vertAlign w:val="baseline"/>
                      <w:lang w:val="en-US" w:eastAsia="zh-CN"/>
                    </w:rPr>
                    <w:t>处理量</w:t>
                  </w:r>
                </w:p>
              </w:tc>
              <w:tc>
                <w:tcPr>
                  <w:tcW w:w="2521" w:type="dxa"/>
                  <w:tcBorders>
                    <w:tl2br w:val="nil"/>
                    <w:tr2bl w:val="nil"/>
                  </w:tcBorders>
                  <w:vAlign w:val="center"/>
                </w:tcPr>
                <w:p w14:paraId="6B03D6E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0.153</w:t>
                  </w:r>
                </w:p>
              </w:tc>
            </w:tr>
            <w:tr w14:paraId="432A60B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7" w:hRule="atLeast"/>
                <w:jc w:val="center"/>
              </w:trPr>
              <w:tc>
                <w:tcPr>
                  <w:tcW w:w="1418" w:type="dxa"/>
                  <w:tcBorders>
                    <w:tl2br w:val="nil"/>
                    <w:tr2bl w:val="nil"/>
                  </w:tcBorders>
                  <w:vAlign w:val="center"/>
                </w:tcPr>
                <w:p w14:paraId="1806792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合计</w:t>
                  </w:r>
                </w:p>
              </w:tc>
              <w:tc>
                <w:tcPr>
                  <w:tcW w:w="2610" w:type="dxa"/>
                  <w:tcBorders>
                    <w:tl2br w:val="nil"/>
                    <w:tr2bl w:val="nil"/>
                  </w:tcBorders>
                  <w:vAlign w:val="center"/>
                </w:tcPr>
                <w:p w14:paraId="27C1627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0.179</w:t>
                  </w:r>
                </w:p>
              </w:tc>
              <w:tc>
                <w:tcPr>
                  <w:tcW w:w="1509" w:type="dxa"/>
                  <w:tcBorders>
                    <w:tl2br w:val="nil"/>
                    <w:tr2bl w:val="nil"/>
                  </w:tcBorders>
                  <w:vAlign w:val="center"/>
                </w:tcPr>
                <w:p w14:paraId="020EFC6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合计</w:t>
                  </w:r>
                </w:p>
              </w:tc>
              <w:tc>
                <w:tcPr>
                  <w:tcW w:w="2521" w:type="dxa"/>
                  <w:tcBorders>
                    <w:tl2br w:val="nil"/>
                    <w:tr2bl w:val="nil"/>
                  </w:tcBorders>
                  <w:vAlign w:val="center"/>
                </w:tcPr>
                <w:p w14:paraId="79C361A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0.179</w:t>
                  </w:r>
                </w:p>
              </w:tc>
            </w:tr>
          </w:tbl>
          <w:p w14:paraId="05D2754F">
            <w:pPr>
              <w:spacing w:line="360" w:lineRule="auto"/>
              <w:rPr>
                <w:rFonts w:hint="default" w:eastAsia="宋体"/>
                <w:lang w:val="en-US" w:eastAsia="zh-CN"/>
              </w:rPr>
            </w:pPr>
          </w:p>
        </w:tc>
      </w:tr>
      <w:tr w14:paraId="1BD922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 w:type="dxa"/>
            <w:bottom w:w="0" w:type="dxa"/>
            <w:right w:w="1" w:type="dxa"/>
          </w:tblCellMar>
        </w:tblPrEx>
        <w:trPr>
          <w:trHeight w:val="90" w:hRule="atLeast"/>
          <w:jc w:val="center"/>
        </w:trPr>
        <w:tc>
          <w:tcPr>
            <w:tcW w:w="764" w:type="dxa"/>
            <w:noWrap w:val="0"/>
            <w:vAlign w:val="center"/>
          </w:tcPr>
          <w:p w14:paraId="0B1E0398">
            <w:pPr>
              <w:wordWrap w:val="0"/>
              <w:adjustRightInd w:val="0"/>
              <w:jc w:val="center"/>
              <w:rPr>
                <w:b/>
                <w:sz w:val="24"/>
              </w:rPr>
            </w:pPr>
            <w:r>
              <w:rPr>
                <w:b/>
                <w:sz w:val="24"/>
              </w:rPr>
              <w:t>与项目有关的原有环境污染问题</w:t>
            </w:r>
          </w:p>
        </w:tc>
        <w:tc>
          <w:tcPr>
            <w:tcW w:w="8141" w:type="dxa"/>
            <w:noWrap w:val="0"/>
            <w:vAlign w:val="top"/>
          </w:tcPr>
          <w:p w14:paraId="5D0159E8">
            <w:pPr>
              <w:spacing w:line="360" w:lineRule="auto"/>
              <w:rPr>
                <w:b/>
                <w:sz w:val="24"/>
              </w:rPr>
            </w:pPr>
            <w:r>
              <w:rPr>
                <w:b/>
                <w:sz w:val="24"/>
              </w:rPr>
              <w:t>一</w:t>
            </w:r>
            <w:r>
              <w:rPr>
                <w:rFonts w:hint="eastAsia"/>
                <w:b/>
                <w:sz w:val="24"/>
              </w:rPr>
              <w:t>、</w:t>
            </w:r>
            <w:r>
              <w:rPr>
                <w:b/>
                <w:sz w:val="24"/>
              </w:rPr>
              <w:t>原项目基本情况</w:t>
            </w:r>
          </w:p>
          <w:p w14:paraId="10EB8636">
            <w:pPr>
              <w:wordWrap w:val="0"/>
              <w:spacing w:line="360" w:lineRule="auto"/>
              <w:ind w:left="42" w:leftChars="20" w:right="42" w:rightChars="20" w:firstLine="480" w:firstLineChars="200"/>
              <w:rPr>
                <w:rFonts w:hint="eastAsia"/>
                <w:bCs/>
                <w:sz w:val="24"/>
                <w:lang w:val="en-US" w:eastAsia="zh-CN"/>
              </w:rPr>
            </w:pPr>
            <w:r>
              <w:rPr>
                <w:rFonts w:hint="eastAsia"/>
                <w:bCs/>
                <w:sz w:val="24"/>
                <w:lang w:val="en-US" w:eastAsia="zh-CN"/>
              </w:rPr>
              <w:t>四川省达州市瑞欣路面材料有限责任公司</w:t>
            </w:r>
            <w:r>
              <w:rPr>
                <w:rFonts w:hint="eastAsia"/>
                <w:bCs/>
                <w:sz w:val="24"/>
              </w:rPr>
              <w:t>成立于</w:t>
            </w:r>
            <w:r>
              <w:rPr>
                <w:rFonts w:hint="eastAsia"/>
                <w:bCs/>
                <w:sz w:val="24"/>
                <w:lang w:val="en-US" w:eastAsia="zh-CN"/>
              </w:rPr>
              <w:t>2020</w:t>
            </w:r>
            <w:r>
              <w:rPr>
                <w:rFonts w:hint="eastAsia"/>
                <w:bCs/>
                <w:sz w:val="24"/>
              </w:rPr>
              <w:t>年</w:t>
            </w:r>
            <w:r>
              <w:rPr>
                <w:rFonts w:hint="eastAsia"/>
                <w:bCs/>
                <w:sz w:val="24"/>
                <w:lang w:val="en-US" w:eastAsia="zh-CN"/>
              </w:rPr>
              <w:t>12</w:t>
            </w:r>
            <w:r>
              <w:rPr>
                <w:rFonts w:hint="eastAsia"/>
                <w:bCs/>
                <w:sz w:val="24"/>
              </w:rPr>
              <w:t>月</w:t>
            </w:r>
            <w:r>
              <w:rPr>
                <w:rFonts w:hint="eastAsia"/>
                <w:bCs/>
                <w:sz w:val="24"/>
                <w:lang w:val="en-US" w:eastAsia="zh-CN"/>
              </w:rPr>
              <w:t>8</w:t>
            </w:r>
            <w:r>
              <w:rPr>
                <w:rFonts w:hint="eastAsia"/>
                <w:bCs/>
                <w:sz w:val="24"/>
              </w:rPr>
              <w:t>日，</w:t>
            </w:r>
            <w:r>
              <w:rPr>
                <w:rFonts w:hint="eastAsia"/>
                <w:bCs/>
                <w:sz w:val="24"/>
                <w:lang w:val="en-US" w:eastAsia="zh-CN"/>
              </w:rPr>
              <w:t>主要经营范围：新型建筑材料制造（不含危险化学品），非金属矿及制品销售，新材料技术推广服务，建筑材料销售，建筑工程机械与设备租赁，工程管理服务，水泥制品制造，再生资源销售，资源再生利用技术研发，再生资源工。（除依法须经批准的项目外，凭营业执照依法自主开展经营活动）</w:t>
            </w:r>
          </w:p>
          <w:p w14:paraId="5449F395">
            <w:pPr>
              <w:spacing w:line="360" w:lineRule="auto"/>
              <w:ind w:firstLine="480" w:firstLineChars="200"/>
              <w:rPr>
                <w:bCs/>
                <w:sz w:val="24"/>
              </w:rPr>
            </w:pPr>
            <w:r>
              <w:rPr>
                <w:rFonts w:hint="eastAsia"/>
                <w:bCs/>
                <w:sz w:val="24"/>
              </w:rPr>
              <w:t>20</w:t>
            </w:r>
            <w:r>
              <w:rPr>
                <w:rFonts w:hint="eastAsia"/>
                <w:bCs/>
                <w:sz w:val="24"/>
                <w:lang w:val="en-US" w:eastAsia="zh-CN"/>
              </w:rPr>
              <w:t>21</w:t>
            </w:r>
            <w:r>
              <w:rPr>
                <w:rFonts w:hint="eastAsia"/>
                <w:bCs/>
                <w:sz w:val="24"/>
              </w:rPr>
              <w:t>年</w:t>
            </w:r>
            <w:r>
              <w:rPr>
                <w:rFonts w:hint="eastAsia"/>
                <w:bCs/>
                <w:sz w:val="24"/>
                <w:lang w:val="en-US" w:eastAsia="zh-CN"/>
              </w:rPr>
              <w:t>7</w:t>
            </w:r>
            <w:r>
              <w:rPr>
                <w:rFonts w:hint="eastAsia"/>
                <w:bCs/>
                <w:sz w:val="24"/>
              </w:rPr>
              <w:t>月，四川省达州市瑞欣路面材料有限责任公司委托</w:t>
            </w:r>
            <w:r>
              <w:rPr>
                <w:rFonts w:hint="eastAsia"/>
                <w:bCs/>
                <w:sz w:val="24"/>
                <w:lang w:val="en-US" w:eastAsia="zh-CN"/>
              </w:rPr>
              <w:t>四川仁欣环境咨询工程有限公司</w:t>
            </w:r>
            <w:r>
              <w:rPr>
                <w:rFonts w:hint="eastAsia"/>
                <w:bCs/>
                <w:sz w:val="24"/>
              </w:rPr>
              <w:t>编制完成了《</w:t>
            </w:r>
            <w:r>
              <w:rPr>
                <w:rFonts w:hint="eastAsia"/>
                <w:bCs/>
                <w:sz w:val="24"/>
                <w:lang w:val="en-US" w:eastAsia="zh-CN"/>
              </w:rPr>
              <w:t>环保节能沥青混凝土生产项目</w:t>
            </w:r>
            <w:r>
              <w:rPr>
                <w:rFonts w:hint="eastAsia"/>
                <w:bCs/>
                <w:sz w:val="24"/>
              </w:rPr>
              <w:t>环境影响报告表》，并于20</w:t>
            </w:r>
            <w:r>
              <w:rPr>
                <w:rFonts w:hint="eastAsia"/>
                <w:bCs/>
                <w:sz w:val="24"/>
                <w:lang w:val="en-US" w:eastAsia="zh-CN"/>
              </w:rPr>
              <w:t>22</w:t>
            </w:r>
            <w:r>
              <w:rPr>
                <w:rFonts w:hint="eastAsia"/>
                <w:bCs/>
                <w:sz w:val="24"/>
              </w:rPr>
              <w:t>年</w:t>
            </w:r>
            <w:r>
              <w:rPr>
                <w:rFonts w:hint="eastAsia"/>
                <w:bCs/>
                <w:sz w:val="24"/>
                <w:lang w:val="en-US" w:eastAsia="zh-CN"/>
              </w:rPr>
              <w:t>4</w:t>
            </w:r>
            <w:r>
              <w:rPr>
                <w:rFonts w:hint="eastAsia"/>
                <w:bCs/>
                <w:sz w:val="24"/>
              </w:rPr>
              <w:t>月</w:t>
            </w:r>
            <w:r>
              <w:rPr>
                <w:rFonts w:hint="eastAsia"/>
                <w:bCs/>
                <w:sz w:val="24"/>
                <w:lang w:val="en-US" w:eastAsia="zh-CN"/>
              </w:rPr>
              <w:t>7</w:t>
            </w:r>
            <w:r>
              <w:rPr>
                <w:rFonts w:hint="eastAsia"/>
                <w:bCs/>
                <w:sz w:val="24"/>
              </w:rPr>
              <w:t>日取得了</w:t>
            </w:r>
            <w:r>
              <w:rPr>
                <w:rFonts w:hint="eastAsia"/>
                <w:bCs/>
                <w:sz w:val="24"/>
                <w:lang w:val="en-US" w:eastAsia="zh-CN"/>
              </w:rPr>
              <w:t>达州市通川</w:t>
            </w:r>
            <w:r>
              <w:rPr>
                <w:rFonts w:hint="eastAsia"/>
                <w:bCs/>
                <w:sz w:val="24"/>
              </w:rPr>
              <w:t>生态环境局下发的关于《环保节能沥青混凝土生产项目环境影响报告表的批复》（</w:t>
            </w:r>
            <w:r>
              <w:rPr>
                <w:rFonts w:hint="eastAsia"/>
                <w:bCs/>
                <w:sz w:val="24"/>
                <w:lang w:val="en-US" w:eastAsia="zh-CN"/>
              </w:rPr>
              <w:t>通环审批【2022】08号</w:t>
            </w:r>
            <w:r>
              <w:rPr>
                <w:rFonts w:hint="eastAsia"/>
                <w:bCs/>
                <w:sz w:val="24"/>
              </w:rPr>
              <w:t>）。</w:t>
            </w:r>
          </w:p>
          <w:p w14:paraId="10EBDFAD">
            <w:pPr>
              <w:spacing w:line="360" w:lineRule="auto"/>
              <w:ind w:firstLine="480" w:firstLineChars="200"/>
              <w:rPr>
                <w:rFonts w:hint="eastAsia"/>
                <w:bCs/>
                <w:sz w:val="24"/>
              </w:rPr>
            </w:pPr>
            <w:r>
              <w:rPr>
                <w:rFonts w:hint="eastAsia"/>
                <w:bCs/>
                <w:sz w:val="24"/>
              </w:rPr>
              <w:t>20</w:t>
            </w:r>
            <w:r>
              <w:rPr>
                <w:rFonts w:hint="eastAsia"/>
                <w:bCs/>
                <w:sz w:val="24"/>
                <w:lang w:val="en-US" w:eastAsia="zh-CN"/>
              </w:rPr>
              <w:t>22</w:t>
            </w:r>
            <w:r>
              <w:rPr>
                <w:rFonts w:hint="eastAsia"/>
                <w:bCs/>
                <w:sz w:val="24"/>
              </w:rPr>
              <w:t>年</w:t>
            </w:r>
            <w:r>
              <w:rPr>
                <w:rFonts w:hint="eastAsia"/>
                <w:bCs/>
                <w:sz w:val="24"/>
                <w:lang w:val="en-US" w:eastAsia="zh-CN"/>
              </w:rPr>
              <w:t>9</w:t>
            </w:r>
            <w:r>
              <w:rPr>
                <w:rFonts w:hint="eastAsia"/>
                <w:bCs/>
                <w:sz w:val="24"/>
              </w:rPr>
              <w:t>月</w:t>
            </w:r>
            <w:r>
              <w:rPr>
                <w:rFonts w:hint="eastAsia"/>
                <w:bCs/>
                <w:sz w:val="24"/>
                <w:lang w:val="en-US" w:eastAsia="zh-CN"/>
              </w:rPr>
              <w:t>18</w:t>
            </w:r>
            <w:r>
              <w:rPr>
                <w:rFonts w:hint="eastAsia"/>
                <w:bCs/>
                <w:sz w:val="24"/>
              </w:rPr>
              <w:t>日，四川省达州市瑞欣路面材料有限责任公司组织进行了环保节能沥青混凝土生产项目（以下简称“原项目”）竣工环境保护验收并验收通过</w:t>
            </w:r>
            <w:r>
              <w:rPr>
                <w:rFonts w:hint="eastAsia"/>
                <w:bCs/>
                <w:sz w:val="24"/>
                <w:lang w:eastAsia="zh-CN"/>
              </w:rPr>
              <w:t>（</w:t>
            </w:r>
            <w:r>
              <w:rPr>
                <w:rFonts w:hint="eastAsia"/>
                <w:bCs/>
                <w:sz w:val="24"/>
                <w:lang w:val="en-US" w:eastAsia="zh-CN"/>
              </w:rPr>
              <w:t>验收意见详见附件</w:t>
            </w:r>
            <w:r>
              <w:rPr>
                <w:rFonts w:hint="eastAsia"/>
                <w:bCs/>
                <w:sz w:val="24"/>
                <w:lang w:eastAsia="zh-CN"/>
              </w:rPr>
              <w:t>）</w:t>
            </w:r>
            <w:r>
              <w:rPr>
                <w:rFonts w:hint="eastAsia"/>
                <w:bCs/>
                <w:sz w:val="24"/>
              </w:rPr>
              <w:t>，</w:t>
            </w:r>
            <w:r>
              <w:rPr>
                <w:rFonts w:hint="eastAsia"/>
                <w:b/>
                <w:sz w:val="24"/>
              </w:rPr>
              <w:t>原项目正常生产情况下可达到年生产</w:t>
            </w:r>
            <w:r>
              <w:rPr>
                <w:rFonts w:hint="eastAsia"/>
                <w:b/>
                <w:sz w:val="24"/>
                <w:lang w:val="en-US" w:eastAsia="zh-CN"/>
              </w:rPr>
              <w:t>普通混凝土20万吨/a</w:t>
            </w:r>
            <w:r>
              <w:rPr>
                <w:rFonts w:hint="eastAsia"/>
                <w:b/>
                <w:sz w:val="24"/>
              </w:rPr>
              <w:t>的生产能力</w:t>
            </w:r>
            <w:r>
              <w:rPr>
                <w:rFonts w:hint="eastAsia"/>
                <w:bCs/>
                <w:sz w:val="24"/>
              </w:rPr>
              <w:t>。</w:t>
            </w:r>
          </w:p>
          <w:p w14:paraId="74D80B2F">
            <w:pPr>
              <w:wordWrap w:val="0"/>
              <w:spacing w:line="360" w:lineRule="auto"/>
              <w:ind w:left="42" w:leftChars="20" w:right="42" w:rightChars="20" w:firstLine="482" w:firstLineChars="200"/>
              <w:rPr>
                <w:rFonts w:hint="eastAsia"/>
                <w:b/>
                <w:sz w:val="24"/>
              </w:rPr>
            </w:pPr>
            <w:r>
              <w:rPr>
                <w:rFonts w:hint="eastAsia"/>
                <w:b/>
                <w:bCs w:val="0"/>
                <w:sz w:val="24"/>
                <w:lang w:val="en-US" w:eastAsia="zh-CN"/>
              </w:rPr>
              <w:t>备注：根据现场与建设单位核实，原项目已评价的年产15万吨水泥稳定土、150万吨碎石、砂生产线不再实施，年产10万吨热再生沥青混凝土生产线在本次扩建过程同步实施（现目前未建设）。</w:t>
            </w:r>
          </w:p>
          <w:p w14:paraId="159D3736">
            <w:pPr>
              <w:spacing w:line="360" w:lineRule="auto"/>
              <w:ind w:firstLine="482" w:firstLineChars="200"/>
              <w:rPr>
                <w:b/>
                <w:sz w:val="24"/>
              </w:rPr>
            </w:pPr>
            <w:r>
              <w:rPr>
                <w:rFonts w:hint="eastAsia"/>
                <w:b/>
                <w:sz w:val="24"/>
              </w:rPr>
              <w:t>1</w:t>
            </w:r>
            <w:r>
              <w:rPr>
                <w:b/>
                <w:sz w:val="24"/>
              </w:rPr>
              <w:t>、原项目产品方案及规模</w:t>
            </w:r>
          </w:p>
          <w:p w14:paraId="17D5CCCC">
            <w:pPr>
              <w:pStyle w:val="17"/>
              <w:spacing w:after="0" w:line="360" w:lineRule="auto"/>
              <w:ind w:left="0" w:leftChars="0" w:firstLine="480" w:firstLineChars="200"/>
              <w:rPr>
                <w:rFonts w:hint="eastAsia"/>
                <w:sz w:val="24"/>
              </w:rPr>
            </w:pPr>
            <w:r>
              <w:rPr>
                <w:rFonts w:hint="eastAsia"/>
                <w:sz w:val="24"/>
              </w:rPr>
              <w:t>根据现场与建设单位业主核实，原</w:t>
            </w:r>
            <w:r>
              <w:rPr>
                <w:sz w:val="24"/>
              </w:rPr>
              <w:t>项目</w:t>
            </w:r>
            <w:r>
              <w:rPr>
                <w:rFonts w:hint="eastAsia"/>
                <w:sz w:val="24"/>
                <w:lang w:val="en-US" w:eastAsia="zh-CN"/>
              </w:rPr>
              <w:t>实际建成生产线</w:t>
            </w:r>
            <w:r>
              <w:rPr>
                <w:sz w:val="24"/>
              </w:rPr>
              <w:t>产品方案及规模见</w:t>
            </w:r>
            <w:r>
              <w:rPr>
                <w:rFonts w:hint="eastAsia"/>
                <w:sz w:val="24"/>
              </w:rPr>
              <w:t>下</w:t>
            </w:r>
            <w:r>
              <w:rPr>
                <w:sz w:val="24"/>
              </w:rPr>
              <w:t>表所示</w:t>
            </w:r>
            <w:r>
              <w:rPr>
                <w:rFonts w:hint="eastAsia"/>
                <w:sz w:val="24"/>
              </w:rPr>
              <w:t>：</w:t>
            </w:r>
          </w:p>
          <w:p w14:paraId="3CFEC2F4">
            <w:pPr>
              <w:numPr>
                <w:ilvl w:val="0"/>
                <w:numId w:val="4"/>
              </w:numPr>
              <w:tabs>
                <w:tab w:val="left" w:pos="0"/>
              </w:tabs>
              <w:jc w:val="center"/>
              <w:rPr>
                <w:rFonts w:hint="default" w:ascii="Times New Roman" w:hAnsi="Times New Roman" w:cs="Times New Roman"/>
                <w:b/>
                <w:bCs w:val="0"/>
                <w:szCs w:val="21"/>
              </w:rPr>
            </w:pPr>
            <w:r>
              <w:rPr>
                <w:rFonts w:hint="default" w:ascii="Times New Roman" w:hAnsi="Times New Roman" w:cs="Times New Roman"/>
                <w:b/>
                <w:bCs w:val="0"/>
                <w:szCs w:val="21"/>
              </w:rPr>
              <w:t>原项目产品方案及规模一览表</w:t>
            </w:r>
          </w:p>
          <w:tbl>
            <w:tblPr>
              <w:tblStyle w:val="26"/>
              <w:tblW w:w="79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43"/>
              <w:gridCol w:w="1826"/>
              <w:gridCol w:w="3937"/>
            </w:tblGrid>
            <w:tr w14:paraId="2FFD47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43" w:type="dxa"/>
                  <w:noWrap w:val="0"/>
                  <w:vAlign w:val="center"/>
                </w:tcPr>
                <w:p w14:paraId="181A5482">
                  <w:pPr>
                    <w:spacing w:line="240" w:lineRule="exact"/>
                    <w:jc w:val="center"/>
                    <w:rPr>
                      <w:szCs w:val="21"/>
                    </w:rPr>
                  </w:pPr>
                  <w:r>
                    <w:rPr>
                      <w:szCs w:val="21"/>
                    </w:rPr>
                    <w:t>产品名称</w:t>
                  </w:r>
                </w:p>
              </w:tc>
              <w:tc>
                <w:tcPr>
                  <w:tcW w:w="1826" w:type="dxa"/>
                  <w:noWrap w:val="0"/>
                  <w:vAlign w:val="center"/>
                </w:tcPr>
                <w:p w14:paraId="4C5B190B">
                  <w:pPr>
                    <w:spacing w:line="240" w:lineRule="exact"/>
                    <w:jc w:val="center"/>
                    <w:rPr>
                      <w:szCs w:val="21"/>
                    </w:rPr>
                  </w:pPr>
                  <w:r>
                    <w:rPr>
                      <w:szCs w:val="21"/>
                    </w:rPr>
                    <w:t>年生产能力</w:t>
                  </w:r>
                </w:p>
              </w:tc>
              <w:tc>
                <w:tcPr>
                  <w:tcW w:w="3937" w:type="dxa"/>
                  <w:noWrap w:val="0"/>
                  <w:vAlign w:val="center"/>
                </w:tcPr>
                <w:p w14:paraId="41D0BBAF">
                  <w:pPr>
                    <w:spacing w:line="240" w:lineRule="exact"/>
                    <w:jc w:val="center"/>
                    <w:rPr>
                      <w:rFonts w:hint="eastAsia" w:eastAsia="宋体"/>
                      <w:szCs w:val="21"/>
                      <w:lang w:eastAsia="zh-CN"/>
                    </w:rPr>
                  </w:pPr>
                  <w:r>
                    <w:rPr>
                      <w:rFonts w:hint="eastAsia"/>
                      <w:szCs w:val="21"/>
                      <w:lang w:val="en-US" w:eastAsia="zh-CN"/>
                    </w:rPr>
                    <w:t>执行标准</w:t>
                  </w:r>
                </w:p>
              </w:tc>
            </w:tr>
            <w:tr w14:paraId="14E59F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43" w:type="dxa"/>
                  <w:noWrap w:val="0"/>
                  <w:vAlign w:val="center"/>
                </w:tcPr>
                <w:p w14:paraId="2651CD11">
                  <w:pPr>
                    <w:widowControl/>
                    <w:spacing w:line="240" w:lineRule="exact"/>
                    <w:jc w:val="center"/>
                    <w:textAlignment w:val="center"/>
                    <w:rPr>
                      <w:rFonts w:hint="eastAsia" w:eastAsia="宋体"/>
                      <w:szCs w:val="21"/>
                      <w:lang w:eastAsia="zh-CN"/>
                    </w:rPr>
                  </w:pPr>
                  <w:r>
                    <w:rPr>
                      <w:rFonts w:hint="eastAsia" w:eastAsia="宋体"/>
                      <w:szCs w:val="21"/>
                      <w:lang w:eastAsia="zh-CN"/>
                    </w:rPr>
                    <w:t>普通沥青混凝土</w:t>
                  </w:r>
                </w:p>
              </w:tc>
              <w:tc>
                <w:tcPr>
                  <w:tcW w:w="1826" w:type="dxa"/>
                  <w:noWrap w:val="0"/>
                  <w:vAlign w:val="center"/>
                </w:tcPr>
                <w:p w14:paraId="7DFFACA3">
                  <w:pPr>
                    <w:widowControl/>
                    <w:spacing w:line="240" w:lineRule="exact"/>
                    <w:jc w:val="center"/>
                    <w:textAlignment w:val="center"/>
                    <w:rPr>
                      <w:kern w:val="0"/>
                      <w:szCs w:val="21"/>
                      <w:vertAlign w:val="superscript"/>
                      <w:lang w:bidi="ar"/>
                    </w:rPr>
                  </w:pPr>
                  <w:r>
                    <w:rPr>
                      <w:rFonts w:hint="eastAsia"/>
                      <w:kern w:val="0"/>
                      <w:szCs w:val="21"/>
                      <w:lang w:val="en-US" w:eastAsia="zh-CN" w:bidi="ar"/>
                    </w:rPr>
                    <w:t>20万</w:t>
                  </w:r>
                  <w:r>
                    <w:rPr>
                      <w:kern w:val="0"/>
                      <w:szCs w:val="21"/>
                      <w:lang w:bidi="ar"/>
                    </w:rPr>
                    <w:t>/a</w:t>
                  </w:r>
                </w:p>
              </w:tc>
              <w:tc>
                <w:tcPr>
                  <w:tcW w:w="3937" w:type="dxa"/>
                  <w:noWrap w:val="0"/>
                  <w:vAlign w:val="center"/>
                </w:tcPr>
                <w:p w14:paraId="00E9F38F">
                  <w:pPr>
                    <w:widowControl/>
                    <w:spacing w:line="240" w:lineRule="exact"/>
                    <w:jc w:val="center"/>
                    <w:textAlignment w:val="center"/>
                    <w:rPr>
                      <w:kern w:val="0"/>
                      <w:szCs w:val="21"/>
                      <w:lang w:bidi="ar"/>
                    </w:rPr>
                  </w:pPr>
                  <w:r>
                    <w:rPr>
                      <w:rFonts w:hint="eastAsia"/>
                      <w:kern w:val="0"/>
                      <w:szCs w:val="21"/>
                      <w:lang w:bidi="ar"/>
                    </w:rPr>
                    <w:t>《温拌沥青混凝土》（GB/T30596-2014）</w:t>
                  </w:r>
                </w:p>
              </w:tc>
            </w:tr>
          </w:tbl>
          <w:p w14:paraId="143C85F1">
            <w:pPr>
              <w:pStyle w:val="17"/>
              <w:spacing w:after="0" w:line="240" w:lineRule="auto"/>
              <w:ind w:left="0" w:leftChars="0"/>
              <w:jc w:val="center"/>
              <w:rPr>
                <w:bCs/>
                <w:szCs w:val="21"/>
              </w:rPr>
            </w:pPr>
          </w:p>
          <w:p w14:paraId="526D83A3">
            <w:pPr>
              <w:pStyle w:val="17"/>
              <w:spacing w:after="0" w:line="360" w:lineRule="auto"/>
              <w:ind w:left="0" w:leftChars="0" w:firstLine="480"/>
              <w:rPr>
                <w:b/>
                <w:sz w:val="24"/>
              </w:rPr>
            </w:pPr>
            <w:r>
              <w:rPr>
                <w:b/>
                <w:sz w:val="24"/>
              </w:rPr>
              <w:t>2</w:t>
            </w:r>
            <w:r>
              <w:rPr>
                <w:rFonts w:hint="eastAsia"/>
                <w:b/>
                <w:sz w:val="24"/>
              </w:rPr>
              <w:t>、原</w:t>
            </w:r>
            <w:r>
              <w:rPr>
                <w:b/>
                <w:sz w:val="24"/>
              </w:rPr>
              <w:t>项目组成</w:t>
            </w:r>
          </w:p>
          <w:p w14:paraId="6A523F8A">
            <w:pPr>
              <w:pStyle w:val="17"/>
              <w:spacing w:after="0" w:line="360" w:lineRule="auto"/>
              <w:ind w:left="0" w:leftChars="0" w:firstLine="480"/>
              <w:rPr>
                <w:rFonts w:hint="eastAsia"/>
                <w:sz w:val="24"/>
              </w:rPr>
            </w:pPr>
            <w:r>
              <w:rPr>
                <w:rFonts w:hint="eastAsia"/>
                <w:sz w:val="24"/>
              </w:rPr>
              <w:t>原</w:t>
            </w:r>
            <w:r>
              <w:rPr>
                <w:sz w:val="24"/>
              </w:rPr>
              <w:t>项目</w:t>
            </w:r>
            <w:r>
              <w:rPr>
                <w:rFonts w:hint="eastAsia"/>
                <w:sz w:val="24"/>
                <w:lang w:val="en-US" w:eastAsia="zh-CN"/>
              </w:rPr>
              <w:t>实际建成行产线项目</w:t>
            </w:r>
            <w:r>
              <w:rPr>
                <w:sz w:val="24"/>
              </w:rPr>
              <w:t>组成及主要环境问题见</w:t>
            </w:r>
            <w:r>
              <w:rPr>
                <w:rFonts w:hint="eastAsia"/>
                <w:sz w:val="24"/>
              </w:rPr>
              <w:t>下</w:t>
            </w:r>
            <w:r>
              <w:rPr>
                <w:sz w:val="24"/>
              </w:rPr>
              <w:t>表所示</w:t>
            </w:r>
            <w:r>
              <w:rPr>
                <w:rFonts w:hint="eastAsia"/>
                <w:sz w:val="24"/>
              </w:rPr>
              <w:t>：</w:t>
            </w:r>
          </w:p>
          <w:p w14:paraId="2D30F15D">
            <w:pPr>
              <w:numPr>
                <w:ilvl w:val="0"/>
                <w:numId w:val="4"/>
              </w:numPr>
              <w:tabs>
                <w:tab w:val="left" w:pos="0"/>
              </w:tabs>
              <w:jc w:val="center"/>
              <w:rPr>
                <w:rFonts w:hint="eastAsia"/>
                <w:b/>
                <w:szCs w:val="21"/>
              </w:rPr>
            </w:pPr>
            <w:r>
              <w:rPr>
                <w:rFonts w:hint="eastAsia"/>
                <w:b/>
                <w:szCs w:val="21"/>
              </w:rPr>
              <w:t>原有项目组成及主要环境问题一览表</w:t>
            </w:r>
          </w:p>
          <w:tbl>
            <w:tblPr>
              <w:tblStyle w:val="26"/>
              <w:tblW w:w="801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073"/>
              <w:gridCol w:w="5050"/>
              <w:gridCol w:w="1177"/>
            </w:tblGrid>
            <w:tr w14:paraId="45117F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90" w:hRule="atLeast"/>
                <w:jc w:val="center"/>
              </w:trPr>
              <w:tc>
                <w:tcPr>
                  <w:tcW w:w="713" w:type="dxa"/>
                  <w:noWrap w:val="0"/>
                  <w:vAlign w:val="center"/>
                </w:tcPr>
                <w:p w14:paraId="6CBDDE2B">
                  <w:pPr>
                    <w:spacing w:line="240" w:lineRule="exact"/>
                    <w:jc w:val="center"/>
                    <w:rPr>
                      <w:szCs w:val="21"/>
                    </w:rPr>
                  </w:pPr>
                  <w:r>
                    <w:rPr>
                      <w:szCs w:val="21"/>
                    </w:rPr>
                    <w:t>工程</w:t>
                  </w:r>
                </w:p>
                <w:p w14:paraId="2C94493C">
                  <w:pPr>
                    <w:spacing w:line="240" w:lineRule="exact"/>
                    <w:jc w:val="center"/>
                    <w:rPr>
                      <w:szCs w:val="21"/>
                    </w:rPr>
                  </w:pPr>
                  <w:r>
                    <w:rPr>
                      <w:szCs w:val="21"/>
                    </w:rPr>
                    <w:t>分类</w:t>
                  </w:r>
                </w:p>
              </w:tc>
              <w:tc>
                <w:tcPr>
                  <w:tcW w:w="1073" w:type="dxa"/>
                  <w:noWrap w:val="0"/>
                  <w:vAlign w:val="center"/>
                </w:tcPr>
                <w:p w14:paraId="007CB3ED">
                  <w:pPr>
                    <w:spacing w:line="240" w:lineRule="exact"/>
                    <w:jc w:val="center"/>
                    <w:rPr>
                      <w:szCs w:val="21"/>
                    </w:rPr>
                  </w:pPr>
                  <w:r>
                    <w:rPr>
                      <w:szCs w:val="21"/>
                    </w:rPr>
                    <w:t>项目名称</w:t>
                  </w:r>
                </w:p>
              </w:tc>
              <w:tc>
                <w:tcPr>
                  <w:tcW w:w="5050" w:type="dxa"/>
                  <w:noWrap w:val="0"/>
                  <w:vAlign w:val="center"/>
                </w:tcPr>
                <w:p w14:paraId="3384EE0C">
                  <w:pPr>
                    <w:spacing w:line="240" w:lineRule="exact"/>
                    <w:jc w:val="center"/>
                    <w:rPr>
                      <w:szCs w:val="21"/>
                    </w:rPr>
                  </w:pPr>
                  <w:r>
                    <w:rPr>
                      <w:szCs w:val="21"/>
                    </w:rPr>
                    <w:t>建设内容及规模</w:t>
                  </w:r>
                </w:p>
              </w:tc>
              <w:tc>
                <w:tcPr>
                  <w:tcW w:w="1177" w:type="dxa"/>
                  <w:noWrap w:val="0"/>
                  <w:vAlign w:val="center"/>
                </w:tcPr>
                <w:p w14:paraId="49A8BDD4">
                  <w:pPr>
                    <w:spacing w:line="240" w:lineRule="exact"/>
                    <w:jc w:val="center"/>
                    <w:rPr>
                      <w:szCs w:val="21"/>
                    </w:rPr>
                  </w:pPr>
                  <w:r>
                    <w:rPr>
                      <w:rFonts w:hint="eastAsia"/>
                      <w:szCs w:val="21"/>
                    </w:rPr>
                    <w:t>主要</w:t>
                  </w:r>
                  <w:r>
                    <w:rPr>
                      <w:szCs w:val="21"/>
                    </w:rPr>
                    <w:t>环境问题</w:t>
                  </w:r>
                </w:p>
              </w:tc>
            </w:tr>
            <w:tr w14:paraId="08365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3" w:type="dxa"/>
                  <w:noWrap w:val="0"/>
                  <w:vAlign w:val="center"/>
                </w:tcPr>
                <w:p w14:paraId="6FC025AE">
                  <w:pPr>
                    <w:spacing w:line="240" w:lineRule="exact"/>
                    <w:jc w:val="center"/>
                    <w:rPr>
                      <w:szCs w:val="21"/>
                      <w:highlight w:val="yellow"/>
                    </w:rPr>
                  </w:pPr>
                  <w:r>
                    <w:rPr>
                      <w:szCs w:val="21"/>
                    </w:rPr>
                    <w:t>主体工程</w:t>
                  </w:r>
                </w:p>
              </w:tc>
              <w:tc>
                <w:tcPr>
                  <w:tcW w:w="1073" w:type="dxa"/>
                  <w:noWrap w:val="0"/>
                  <w:vAlign w:val="center"/>
                </w:tcPr>
                <w:p w14:paraId="2CE4C1A5">
                  <w:pPr>
                    <w:spacing w:line="240" w:lineRule="exact"/>
                    <w:jc w:val="center"/>
                    <w:rPr>
                      <w:rFonts w:hint="eastAsia"/>
                      <w:szCs w:val="21"/>
                    </w:rPr>
                  </w:pPr>
                  <w:r>
                    <w:rPr>
                      <w:rFonts w:hint="eastAsia"/>
                      <w:szCs w:val="21"/>
                    </w:rPr>
                    <w:t>沥青混凝土搅拌楼</w:t>
                  </w:r>
                </w:p>
              </w:tc>
              <w:tc>
                <w:tcPr>
                  <w:tcW w:w="5050" w:type="dxa"/>
                  <w:noWrap w:val="0"/>
                  <w:vAlign w:val="center"/>
                </w:tcPr>
                <w:p w14:paraId="69453903">
                  <w:pPr>
                    <w:spacing w:line="240" w:lineRule="exact"/>
                    <w:jc w:val="center"/>
                    <w:rPr>
                      <w:b/>
                      <w:szCs w:val="21"/>
                    </w:rPr>
                  </w:pPr>
                  <w:r>
                    <w:rPr>
                      <w:rFonts w:hint="eastAsia" w:eastAsia="宋体"/>
                      <w:b w:val="0"/>
                      <w:bCs/>
                      <w:szCs w:val="21"/>
                      <w:lang w:val="en-US" w:eastAsia="zh-CN"/>
                    </w:rPr>
                    <w:t>1</w:t>
                  </w:r>
                  <w:r>
                    <w:rPr>
                      <w:rFonts w:hint="default" w:eastAsia="宋体"/>
                      <w:b w:val="0"/>
                      <w:bCs/>
                      <w:szCs w:val="21"/>
                      <w:lang w:val="en-US" w:eastAsia="zh-CN"/>
                    </w:rPr>
                    <w:t>F钢结构厂房，车间</w:t>
                  </w:r>
                  <w:r>
                    <w:rPr>
                      <w:rFonts w:hint="eastAsia" w:eastAsia="宋体"/>
                      <w:b w:val="0"/>
                      <w:bCs/>
                      <w:szCs w:val="21"/>
                      <w:lang w:val="en-US" w:eastAsia="zh-CN"/>
                    </w:rPr>
                    <w:t>总</w:t>
                  </w:r>
                  <w:r>
                    <w:rPr>
                      <w:rFonts w:hint="default" w:eastAsia="宋体"/>
                      <w:b w:val="0"/>
                      <w:bCs/>
                      <w:szCs w:val="21"/>
                      <w:lang w:val="en-US" w:eastAsia="zh-CN"/>
                    </w:rPr>
                    <w:t>建筑面积</w:t>
                  </w:r>
                  <w:r>
                    <w:rPr>
                      <w:rFonts w:hint="eastAsia"/>
                      <w:b w:val="0"/>
                      <w:bCs/>
                      <w:szCs w:val="21"/>
                      <w:lang w:val="en-US" w:eastAsia="zh-CN"/>
                    </w:rPr>
                    <w:t>2410</w:t>
                  </w:r>
                  <w:r>
                    <w:rPr>
                      <w:rFonts w:hint="default" w:eastAsia="宋体"/>
                      <w:b w:val="0"/>
                      <w:bCs/>
                      <w:szCs w:val="21"/>
                      <w:lang w:val="en-US" w:eastAsia="zh-CN"/>
                    </w:rPr>
                    <w:t>m</w:t>
                  </w:r>
                  <w:r>
                    <w:rPr>
                      <w:rFonts w:hint="default" w:eastAsia="宋体"/>
                      <w:b w:val="0"/>
                      <w:bCs/>
                      <w:szCs w:val="21"/>
                      <w:vertAlign w:val="superscript"/>
                      <w:lang w:val="en-US" w:eastAsia="zh-CN"/>
                    </w:rPr>
                    <w:t>2</w:t>
                  </w:r>
                  <w:r>
                    <w:rPr>
                      <w:rFonts w:hint="default" w:eastAsia="宋体"/>
                      <w:b w:val="0"/>
                      <w:bCs/>
                      <w:szCs w:val="21"/>
                      <w:lang w:val="en-US" w:eastAsia="zh-CN"/>
                    </w:rPr>
                    <w:t>，</w:t>
                  </w:r>
                  <w:r>
                    <w:rPr>
                      <w:rFonts w:hint="eastAsia" w:eastAsia="宋体"/>
                      <w:b w:val="0"/>
                      <w:bCs/>
                      <w:szCs w:val="21"/>
                      <w:lang w:val="en-US" w:eastAsia="zh-CN"/>
                    </w:rPr>
                    <w:t>H=</w:t>
                  </w:r>
                  <w:r>
                    <w:rPr>
                      <w:rFonts w:hint="eastAsia"/>
                      <w:b w:val="0"/>
                      <w:bCs/>
                      <w:szCs w:val="21"/>
                      <w:lang w:val="en-US" w:eastAsia="zh-CN"/>
                    </w:rPr>
                    <w:t>25</w:t>
                  </w:r>
                  <w:r>
                    <w:rPr>
                      <w:rFonts w:hint="default" w:eastAsia="宋体"/>
                      <w:b w:val="0"/>
                      <w:bCs/>
                      <w:szCs w:val="21"/>
                      <w:lang w:val="en-US" w:eastAsia="zh-CN"/>
                    </w:rPr>
                    <w:t>m。</w:t>
                  </w:r>
                  <w:r>
                    <w:rPr>
                      <w:rFonts w:hint="eastAsia" w:eastAsia="宋体"/>
                      <w:b w:val="0"/>
                      <w:bCs/>
                      <w:szCs w:val="21"/>
                      <w:lang w:val="en-US" w:eastAsia="zh-CN"/>
                    </w:rPr>
                    <w:t>主要</w:t>
                  </w:r>
                  <w:r>
                    <w:rPr>
                      <w:rFonts w:hint="eastAsia"/>
                      <w:b w:val="0"/>
                      <w:bCs/>
                      <w:szCs w:val="21"/>
                      <w:lang w:val="en-US" w:eastAsia="zh-CN"/>
                    </w:rPr>
                    <w:t>建设普通沥青混凝土生产线，主要生产设备为1套日工4000型全自动间歇式环保型沥青混凝土搅拌设备。</w:t>
                  </w:r>
                </w:p>
              </w:tc>
              <w:tc>
                <w:tcPr>
                  <w:tcW w:w="1177" w:type="dxa"/>
                  <w:noWrap w:val="0"/>
                  <w:vAlign w:val="center"/>
                </w:tcPr>
                <w:p w14:paraId="52F77BE6">
                  <w:pPr>
                    <w:spacing w:line="240" w:lineRule="exact"/>
                    <w:jc w:val="center"/>
                    <w:rPr>
                      <w:szCs w:val="21"/>
                    </w:rPr>
                  </w:pPr>
                  <w:r>
                    <w:rPr>
                      <w:szCs w:val="21"/>
                    </w:rPr>
                    <w:t>噪声</w:t>
                  </w:r>
                  <w:r>
                    <w:rPr>
                      <w:rFonts w:hint="eastAsia"/>
                      <w:szCs w:val="21"/>
                    </w:rPr>
                    <w:t>、废气</w:t>
                  </w:r>
                </w:p>
              </w:tc>
            </w:tr>
            <w:tr w14:paraId="28C1A6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3" w:type="dxa"/>
                  <w:vMerge w:val="restart"/>
                  <w:noWrap w:val="0"/>
                  <w:vAlign w:val="center"/>
                </w:tcPr>
                <w:p w14:paraId="10EFD86E">
                  <w:pPr>
                    <w:spacing w:line="240" w:lineRule="exact"/>
                    <w:jc w:val="center"/>
                    <w:rPr>
                      <w:szCs w:val="21"/>
                    </w:rPr>
                  </w:pPr>
                  <w:r>
                    <w:rPr>
                      <w:szCs w:val="21"/>
                    </w:rPr>
                    <w:t>办公生活设施</w:t>
                  </w:r>
                </w:p>
              </w:tc>
              <w:tc>
                <w:tcPr>
                  <w:tcW w:w="1073" w:type="dxa"/>
                  <w:noWrap w:val="0"/>
                  <w:vAlign w:val="center"/>
                </w:tcPr>
                <w:p w14:paraId="2AF68EAD">
                  <w:pPr>
                    <w:spacing w:line="240" w:lineRule="exact"/>
                    <w:jc w:val="center"/>
                    <w:rPr>
                      <w:rFonts w:hint="eastAsia"/>
                      <w:szCs w:val="21"/>
                    </w:rPr>
                  </w:pPr>
                  <w:r>
                    <w:rPr>
                      <w:rFonts w:hint="eastAsia"/>
                      <w:szCs w:val="21"/>
                      <w:lang w:val="en-US" w:eastAsia="zh-CN"/>
                    </w:rPr>
                    <w:t>办公生活区</w:t>
                  </w:r>
                </w:p>
              </w:tc>
              <w:tc>
                <w:tcPr>
                  <w:tcW w:w="5050" w:type="dxa"/>
                  <w:noWrap w:val="0"/>
                  <w:vAlign w:val="center"/>
                </w:tcPr>
                <w:p w14:paraId="39C50DB0">
                  <w:pPr>
                    <w:spacing w:line="240" w:lineRule="exact"/>
                    <w:jc w:val="center"/>
                    <w:rPr>
                      <w:szCs w:val="21"/>
                    </w:rPr>
                  </w:pPr>
                  <w:r>
                    <w:rPr>
                      <w:rFonts w:hint="eastAsia"/>
                      <w:szCs w:val="21"/>
                      <w:lang w:val="en-US" w:eastAsia="zh-CN"/>
                    </w:rPr>
                    <w:t>2F板房结构，H=6m，占地面积约500m</w:t>
                  </w:r>
                  <w:r>
                    <w:rPr>
                      <w:rFonts w:hint="eastAsia"/>
                      <w:szCs w:val="21"/>
                      <w:vertAlign w:val="superscript"/>
                      <w:lang w:val="en-US" w:eastAsia="zh-CN"/>
                    </w:rPr>
                    <w:t>2</w:t>
                  </w:r>
                  <w:r>
                    <w:rPr>
                      <w:rFonts w:hint="eastAsia"/>
                      <w:szCs w:val="21"/>
                      <w:lang w:val="en-US" w:eastAsia="zh-CN"/>
                    </w:rPr>
                    <w:t>，位于厂区西北侧，设置办公室、生产检测中心、员工食堂、员工休息室。</w:t>
                  </w:r>
                </w:p>
              </w:tc>
              <w:tc>
                <w:tcPr>
                  <w:tcW w:w="1177" w:type="dxa"/>
                  <w:vMerge w:val="restart"/>
                  <w:noWrap w:val="0"/>
                  <w:vAlign w:val="center"/>
                </w:tcPr>
                <w:p w14:paraId="532A266F">
                  <w:pPr>
                    <w:spacing w:line="240" w:lineRule="exact"/>
                    <w:jc w:val="center"/>
                    <w:rPr>
                      <w:rFonts w:hint="default" w:eastAsia="宋体"/>
                      <w:szCs w:val="21"/>
                      <w:lang w:val="en-US" w:eastAsia="zh-CN"/>
                    </w:rPr>
                  </w:pPr>
                  <w:r>
                    <w:rPr>
                      <w:rFonts w:hint="eastAsia"/>
                      <w:szCs w:val="21"/>
                      <w:lang w:val="en-US" w:eastAsia="zh-CN"/>
                    </w:rPr>
                    <w:t>废水、废气、固废</w:t>
                  </w:r>
                </w:p>
              </w:tc>
            </w:tr>
            <w:tr w14:paraId="6109DF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3" w:type="dxa"/>
                  <w:vMerge w:val="continue"/>
                  <w:noWrap w:val="0"/>
                  <w:vAlign w:val="center"/>
                </w:tcPr>
                <w:p w14:paraId="26CC84D8">
                  <w:pPr>
                    <w:spacing w:line="240" w:lineRule="exact"/>
                    <w:jc w:val="center"/>
                    <w:rPr>
                      <w:szCs w:val="21"/>
                    </w:rPr>
                  </w:pPr>
                </w:p>
              </w:tc>
              <w:tc>
                <w:tcPr>
                  <w:tcW w:w="1073" w:type="dxa"/>
                  <w:noWrap w:val="0"/>
                  <w:vAlign w:val="center"/>
                </w:tcPr>
                <w:p w14:paraId="486DE8E9">
                  <w:pPr>
                    <w:spacing w:line="240" w:lineRule="exact"/>
                    <w:jc w:val="center"/>
                    <w:rPr>
                      <w:rFonts w:hint="eastAsia"/>
                      <w:szCs w:val="21"/>
                    </w:rPr>
                  </w:pPr>
                  <w:r>
                    <w:rPr>
                      <w:rFonts w:hint="eastAsia"/>
                      <w:szCs w:val="21"/>
                      <w:lang w:val="en-US" w:eastAsia="zh-CN"/>
                    </w:rPr>
                    <w:t>地磅房</w:t>
                  </w:r>
                </w:p>
              </w:tc>
              <w:tc>
                <w:tcPr>
                  <w:tcW w:w="5050" w:type="dxa"/>
                  <w:noWrap w:val="0"/>
                  <w:vAlign w:val="center"/>
                </w:tcPr>
                <w:p w14:paraId="5918E565">
                  <w:pPr>
                    <w:spacing w:line="240" w:lineRule="exact"/>
                    <w:jc w:val="center"/>
                    <w:rPr>
                      <w:szCs w:val="21"/>
                    </w:rPr>
                  </w:pPr>
                  <w:r>
                    <w:rPr>
                      <w:rFonts w:hint="eastAsia"/>
                      <w:szCs w:val="21"/>
                      <w:lang w:val="en-US" w:eastAsia="zh-CN"/>
                    </w:rPr>
                    <w:t>1F板房结构，H=3m，位于厂区西南侧，面积约10m</w:t>
                  </w:r>
                  <w:r>
                    <w:rPr>
                      <w:rFonts w:hint="eastAsia"/>
                      <w:szCs w:val="21"/>
                      <w:vertAlign w:val="superscript"/>
                      <w:lang w:val="en-US" w:eastAsia="zh-CN"/>
                    </w:rPr>
                    <w:t>2</w:t>
                  </w:r>
                  <w:r>
                    <w:rPr>
                      <w:rFonts w:hint="eastAsia"/>
                      <w:szCs w:val="21"/>
                      <w:lang w:val="en-US" w:eastAsia="zh-CN"/>
                    </w:rPr>
                    <w:t>。</w:t>
                  </w:r>
                </w:p>
              </w:tc>
              <w:tc>
                <w:tcPr>
                  <w:tcW w:w="1177" w:type="dxa"/>
                  <w:vMerge w:val="continue"/>
                  <w:noWrap w:val="0"/>
                  <w:vAlign w:val="center"/>
                </w:tcPr>
                <w:p w14:paraId="41341399">
                  <w:pPr>
                    <w:spacing w:line="240" w:lineRule="exact"/>
                    <w:jc w:val="center"/>
                    <w:rPr>
                      <w:szCs w:val="21"/>
                    </w:rPr>
                  </w:pPr>
                </w:p>
              </w:tc>
            </w:tr>
            <w:tr w14:paraId="4F2767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3" w:type="dxa"/>
                  <w:vMerge w:val="continue"/>
                  <w:noWrap w:val="0"/>
                  <w:vAlign w:val="center"/>
                </w:tcPr>
                <w:p w14:paraId="5F272613">
                  <w:pPr>
                    <w:spacing w:line="240" w:lineRule="exact"/>
                    <w:jc w:val="center"/>
                    <w:rPr>
                      <w:szCs w:val="21"/>
                    </w:rPr>
                  </w:pPr>
                </w:p>
              </w:tc>
              <w:tc>
                <w:tcPr>
                  <w:tcW w:w="1073" w:type="dxa"/>
                  <w:noWrap w:val="0"/>
                  <w:vAlign w:val="center"/>
                </w:tcPr>
                <w:p w14:paraId="2ECABC6F">
                  <w:pPr>
                    <w:spacing w:line="240" w:lineRule="exact"/>
                    <w:jc w:val="center"/>
                    <w:rPr>
                      <w:szCs w:val="21"/>
                    </w:rPr>
                  </w:pPr>
                  <w:r>
                    <w:rPr>
                      <w:rFonts w:hint="eastAsia"/>
                      <w:szCs w:val="21"/>
                      <w:lang w:val="en-US" w:eastAsia="zh-CN"/>
                    </w:rPr>
                    <w:t>门卫室</w:t>
                  </w:r>
                </w:p>
              </w:tc>
              <w:tc>
                <w:tcPr>
                  <w:tcW w:w="5050" w:type="dxa"/>
                  <w:noWrap w:val="0"/>
                  <w:vAlign w:val="center"/>
                </w:tcPr>
                <w:p w14:paraId="7D3E9108">
                  <w:pPr>
                    <w:spacing w:line="240" w:lineRule="exact"/>
                    <w:jc w:val="center"/>
                    <w:rPr>
                      <w:rFonts w:hint="eastAsia"/>
                      <w:szCs w:val="21"/>
                    </w:rPr>
                  </w:pPr>
                  <w:r>
                    <w:rPr>
                      <w:rFonts w:hint="eastAsia"/>
                      <w:szCs w:val="21"/>
                      <w:lang w:val="en-US" w:eastAsia="zh-CN"/>
                    </w:rPr>
                    <w:t>1F板房结构，H=3m，位于厂区南侧，面积约10m</w:t>
                  </w:r>
                  <w:r>
                    <w:rPr>
                      <w:rFonts w:hint="eastAsia"/>
                      <w:szCs w:val="21"/>
                      <w:vertAlign w:val="superscript"/>
                      <w:lang w:val="en-US" w:eastAsia="zh-CN"/>
                    </w:rPr>
                    <w:t>2</w:t>
                  </w:r>
                  <w:r>
                    <w:rPr>
                      <w:rFonts w:hint="eastAsia"/>
                      <w:szCs w:val="21"/>
                      <w:lang w:val="en-US" w:eastAsia="zh-CN"/>
                    </w:rPr>
                    <w:t>。</w:t>
                  </w:r>
                </w:p>
              </w:tc>
              <w:tc>
                <w:tcPr>
                  <w:tcW w:w="1177" w:type="dxa"/>
                  <w:vMerge w:val="continue"/>
                  <w:noWrap w:val="0"/>
                  <w:vAlign w:val="center"/>
                </w:tcPr>
                <w:p w14:paraId="13D670F2">
                  <w:pPr>
                    <w:spacing w:line="240" w:lineRule="exact"/>
                    <w:jc w:val="center"/>
                    <w:rPr>
                      <w:szCs w:val="21"/>
                    </w:rPr>
                  </w:pPr>
                </w:p>
              </w:tc>
            </w:tr>
            <w:tr w14:paraId="0DA944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3" w:type="dxa"/>
                  <w:vMerge w:val="restart"/>
                  <w:noWrap w:val="0"/>
                  <w:vAlign w:val="center"/>
                </w:tcPr>
                <w:p w14:paraId="61B8DE94">
                  <w:pPr>
                    <w:spacing w:line="240" w:lineRule="exact"/>
                    <w:jc w:val="center"/>
                    <w:rPr>
                      <w:szCs w:val="21"/>
                    </w:rPr>
                  </w:pPr>
                  <w:r>
                    <w:rPr>
                      <w:rFonts w:hint="eastAsia"/>
                      <w:szCs w:val="21"/>
                    </w:rPr>
                    <w:t>公辅工程</w:t>
                  </w:r>
                </w:p>
              </w:tc>
              <w:tc>
                <w:tcPr>
                  <w:tcW w:w="1073" w:type="dxa"/>
                  <w:noWrap w:val="0"/>
                  <w:vAlign w:val="center"/>
                </w:tcPr>
                <w:p w14:paraId="48B6646E">
                  <w:pPr>
                    <w:spacing w:line="240" w:lineRule="exact"/>
                    <w:jc w:val="center"/>
                    <w:rPr>
                      <w:szCs w:val="21"/>
                    </w:rPr>
                  </w:pPr>
                  <w:r>
                    <w:rPr>
                      <w:szCs w:val="21"/>
                    </w:rPr>
                    <w:t>供水工程</w:t>
                  </w:r>
                </w:p>
              </w:tc>
              <w:tc>
                <w:tcPr>
                  <w:tcW w:w="5050" w:type="dxa"/>
                  <w:noWrap w:val="0"/>
                  <w:vAlign w:val="center"/>
                </w:tcPr>
                <w:p w14:paraId="05B64BEC">
                  <w:pPr>
                    <w:spacing w:line="240" w:lineRule="exact"/>
                    <w:jc w:val="center"/>
                    <w:rPr>
                      <w:szCs w:val="21"/>
                    </w:rPr>
                  </w:pPr>
                  <w:r>
                    <w:rPr>
                      <w:rFonts w:hint="eastAsia"/>
                      <w:szCs w:val="21"/>
                      <w:lang w:val="en-US" w:eastAsia="zh-CN"/>
                    </w:rPr>
                    <w:t>本项目生产用水、</w:t>
                  </w:r>
                  <w:r>
                    <w:rPr>
                      <w:szCs w:val="21"/>
                    </w:rPr>
                    <w:t>生活用水由市政</w:t>
                  </w:r>
                  <w:r>
                    <w:rPr>
                      <w:rFonts w:hint="eastAsia"/>
                      <w:szCs w:val="21"/>
                    </w:rPr>
                    <w:t>自来水</w:t>
                  </w:r>
                  <w:r>
                    <w:rPr>
                      <w:szCs w:val="21"/>
                    </w:rPr>
                    <w:t>管网提供</w:t>
                  </w:r>
                  <w:r>
                    <w:rPr>
                      <w:rFonts w:hint="eastAsia"/>
                      <w:szCs w:val="21"/>
                    </w:rPr>
                    <w:t>。</w:t>
                  </w:r>
                </w:p>
              </w:tc>
              <w:tc>
                <w:tcPr>
                  <w:tcW w:w="1177" w:type="dxa"/>
                  <w:noWrap w:val="0"/>
                  <w:vAlign w:val="center"/>
                </w:tcPr>
                <w:p w14:paraId="12A08B10">
                  <w:pPr>
                    <w:spacing w:line="240" w:lineRule="exact"/>
                    <w:jc w:val="center"/>
                    <w:rPr>
                      <w:szCs w:val="21"/>
                    </w:rPr>
                  </w:pPr>
                  <w:r>
                    <w:rPr>
                      <w:szCs w:val="21"/>
                    </w:rPr>
                    <w:t>/</w:t>
                  </w:r>
                </w:p>
              </w:tc>
            </w:tr>
            <w:tr w14:paraId="74756C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90" w:hRule="atLeast"/>
                <w:jc w:val="center"/>
              </w:trPr>
              <w:tc>
                <w:tcPr>
                  <w:tcW w:w="713" w:type="dxa"/>
                  <w:vMerge w:val="continue"/>
                  <w:noWrap w:val="0"/>
                  <w:vAlign w:val="center"/>
                </w:tcPr>
                <w:p w14:paraId="528757EE">
                  <w:pPr>
                    <w:spacing w:line="240" w:lineRule="exact"/>
                    <w:jc w:val="center"/>
                    <w:rPr>
                      <w:szCs w:val="21"/>
                    </w:rPr>
                  </w:pPr>
                </w:p>
              </w:tc>
              <w:tc>
                <w:tcPr>
                  <w:tcW w:w="1073" w:type="dxa"/>
                  <w:noWrap w:val="0"/>
                  <w:vAlign w:val="center"/>
                </w:tcPr>
                <w:p w14:paraId="300975EC">
                  <w:pPr>
                    <w:spacing w:line="240" w:lineRule="exact"/>
                    <w:jc w:val="center"/>
                    <w:rPr>
                      <w:szCs w:val="21"/>
                    </w:rPr>
                  </w:pPr>
                  <w:r>
                    <w:rPr>
                      <w:rFonts w:hint="eastAsia"/>
                      <w:szCs w:val="21"/>
                      <w:lang w:val="en-US" w:eastAsia="zh-CN"/>
                    </w:rPr>
                    <w:t>排水工程</w:t>
                  </w:r>
                </w:p>
              </w:tc>
              <w:tc>
                <w:tcPr>
                  <w:tcW w:w="5050" w:type="dxa"/>
                  <w:noWrap w:val="0"/>
                  <w:vAlign w:val="center"/>
                </w:tcPr>
                <w:p w14:paraId="54413656">
                  <w:pPr>
                    <w:spacing w:line="240" w:lineRule="exact"/>
                    <w:jc w:val="center"/>
                    <w:rPr>
                      <w:szCs w:val="21"/>
                    </w:rPr>
                  </w:pPr>
                  <w:r>
                    <w:rPr>
                      <w:rFonts w:hint="eastAsia"/>
                      <w:szCs w:val="21"/>
                      <w:lang w:val="en-US" w:eastAsia="zh-CN"/>
                    </w:rPr>
                    <w:t>排水雨污分流：雨水由区域雨水管网收集，生活污水经化粪池处理后用作农肥不外排，车辆清洗废水及实验室设备清洗废水经三级沉淀池处理后回用于车辆清洗不外排。</w:t>
                  </w:r>
                </w:p>
              </w:tc>
              <w:tc>
                <w:tcPr>
                  <w:tcW w:w="1177" w:type="dxa"/>
                  <w:noWrap w:val="0"/>
                  <w:vAlign w:val="center"/>
                </w:tcPr>
                <w:p w14:paraId="5492D8AF">
                  <w:pPr>
                    <w:spacing w:line="240" w:lineRule="exact"/>
                    <w:jc w:val="center"/>
                    <w:rPr>
                      <w:rFonts w:hint="eastAsia" w:eastAsia="宋体"/>
                      <w:szCs w:val="21"/>
                      <w:lang w:eastAsia="zh-CN"/>
                    </w:rPr>
                  </w:pPr>
                  <w:r>
                    <w:rPr>
                      <w:rFonts w:hint="eastAsia"/>
                      <w:szCs w:val="21"/>
                      <w:lang w:val="en-US" w:eastAsia="zh-CN"/>
                    </w:rPr>
                    <w:t>/</w:t>
                  </w:r>
                </w:p>
              </w:tc>
            </w:tr>
            <w:tr w14:paraId="74828A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3" w:type="dxa"/>
                  <w:vMerge w:val="continue"/>
                  <w:noWrap w:val="0"/>
                  <w:vAlign w:val="center"/>
                </w:tcPr>
                <w:p w14:paraId="19FF8FAF">
                  <w:pPr>
                    <w:spacing w:line="240" w:lineRule="exact"/>
                    <w:jc w:val="center"/>
                    <w:rPr>
                      <w:szCs w:val="21"/>
                    </w:rPr>
                  </w:pPr>
                </w:p>
              </w:tc>
              <w:tc>
                <w:tcPr>
                  <w:tcW w:w="1073" w:type="dxa"/>
                  <w:noWrap w:val="0"/>
                  <w:vAlign w:val="center"/>
                </w:tcPr>
                <w:p w14:paraId="5CA4FBF6">
                  <w:pPr>
                    <w:spacing w:line="240" w:lineRule="exact"/>
                    <w:jc w:val="center"/>
                    <w:rPr>
                      <w:szCs w:val="21"/>
                    </w:rPr>
                  </w:pPr>
                  <w:r>
                    <w:rPr>
                      <w:szCs w:val="21"/>
                    </w:rPr>
                    <w:t>供电工程</w:t>
                  </w:r>
                </w:p>
              </w:tc>
              <w:tc>
                <w:tcPr>
                  <w:tcW w:w="5050" w:type="dxa"/>
                  <w:noWrap w:val="0"/>
                  <w:vAlign w:val="center"/>
                </w:tcPr>
                <w:p w14:paraId="2AE4257A">
                  <w:pPr>
                    <w:spacing w:line="240" w:lineRule="exact"/>
                    <w:jc w:val="center"/>
                    <w:rPr>
                      <w:szCs w:val="21"/>
                    </w:rPr>
                  </w:pPr>
                  <w:r>
                    <w:rPr>
                      <w:szCs w:val="21"/>
                    </w:rPr>
                    <w:t>厂区内</w:t>
                  </w:r>
                  <w:r>
                    <w:rPr>
                      <w:rFonts w:hint="eastAsia"/>
                      <w:szCs w:val="21"/>
                      <w:lang w:val="en-US" w:eastAsia="zh-CN"/>
                    </w:rPr>
                    <w:t>设置</w:t>
                  </w:r>
                  <w:r>
                    <w:rPr>
                      <w:rFonts w:hint="eastAsia"/>
                      <w:szCs w:val="21"/>
                    </w:rPr>
                    <w:t>1间配电房</w:t>
                  </w:r>
                  <w:r>
                    <w:rPr>
                      <w:rFonts w:hint="eastAsia"/>
                      <w:szCs w:val="21"/>
                      <w:lang w:eastAsia="zh-CN"/>
                    </w:rPr>
                    <w:t>（</w:t>
                  </w:r>
                  <w:r>
                    <w:rPr>
                      <w:rFonts w:hint="eastAsia"/>
                      <w:szCs w:val="21"/>
                      <w:lang w:val="en-US" w:eastAsia="zh-CN"/>
                    </w:rPr>
                    <w:t>建筑面积23m</w:t>
                  </w:r>
                  <w:r>
                    <w:rPr>
                      <w:rFonts w:hint="eastAsia"/>
                      <w:szCs w:val="21"/>
                      <w:vertAlign w:val="superscript"/>
                      <w:lang w:val="en-US" w:eastAsia="zh-CN"/>
                    </w:rPr>
                    <w:t>2</w:t>
                  </w:r>
                  <w:r>
                    <w:rPr>
                      <w:rFonts w:hint="eastAsia"/>
                      <w:szCs w:val="21"/>
                      <w:lang w:eastAsia="zh-CN"/>
                    </w:rPr>
                    <w:t>）</w:t>
                  </w:r>
                  <w:r>
                    <w:rPr>
                      <w:szCs w:val="21"/>
                    </w:rPr>
                    <w:t>，由当地市政电网引入</w:t>
                  </w:r>
                  <w:r>
                    <w:rPr>
                      <w:rFonts w:hint="eastAsia"/>
                      <w:szCs w:val="21"/>
                      <w:lang w:eastAsia="zh-CN"/>
                    </w:rPr>
                    <w:t>。</w:t>
                  </w:r>
                </w:p>
              </w:tc>
              <w:tc>
                <w:tcPr>
                  <w:tcW w:w="1177" w:type="dxa"/>
                  <w:noWrap w:val="0"/>
                  <w:vAlign w:val="center"/>
                </w:tcPr>
                <w:p w14:paraId="22232AD6">
                  <w:pPr>
                    <w:spacing w:line="240" w:lineRule="exact"/>
                    <w:jc w:val="center"/>
                    <w:rPr>
                      <w:rFonts w:hint="eastAsia"/>
                      <w:szCs w:val="21"/>
                    </w:rPr>
                  </w:pPr>
                  <w:r>
                    <w:rPr>
                      <w:rFonts w:hint="eastAsia"/>
                      <w:szCs w:val="21"/>
                    </w:rPr>
                    <w:t>/</w:t>
                  </w:r>
                </w:p>
              </w:tc>
            </w:tr>
            <w:tr w14:paraId="43DCAE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3" w:type="dxa"/>
                  <w:vMerge w:val="continue"/>
                  <w:noWrap w:val="0"/>
                  <w:vAlign w:val="center"/>
                </w:tcPr>
                <w:p w14:paraId="3463326E">
                  <w:pPr>
                    <w:spacing w:line="240" w:lineRule="exact"/>
                    <w:jc w:val="center"/>
                    <w:rPr>
                      <w:szCs w:val="21"/>
                    </w:rPr>
                  </w:pPr>
                </w:p>
              </w:tc>
              <w:tc>
                <w:tcPr>
                  <w:tcW w:w="1073" w:type="dxa"/>
                  <w:noWrap w:val="0"/>
                  <w:vAlign w:val="center"/>
                </w:tcPr>
                <w:p w14:paraId="3C5CFCB4">
                  <w:pPr>
                    <w:spacing w:line="240" w:lineRule="exact"/>
                    <w:jc w:val="center"/>
                    <w:rPr>
                      <w:szCs w:val="21"/>
                    </w:rPr>
                  </w:pPr>
                  <w:r>
                    <w:rPr>
                      <w:rFonts w:hint="eastAsia"/>
                      <w:szCs w:val="21"/>
                    </w:rPr>
                    <w:t>导热油炉</w:t>
                  </w:r>
                </w:p>
              </w:tc>
              <w:tc>
                <w:tcPr>
                  <w:tcW w:w="5050" w:type="dxa"/>
                  <w:noWrap w:val="0"/>
                  <w:vAlign w:val="center"/>
                </w:tcPr>
                <w:p w14:paraId="1BC5155D">
                  <w:pPr>
                    <w:spacing w:line="240" w:lineRule="exact"/>
                    <w:jc w:val="center"/>
                    <w:rPr>
                      <w:szCs w:val="21"/>
                    </w:rPr>
                  </w:pPr>
                  <w:r>
                    <w:rPr>
                      <w:rFonts w:hint="eastAsia"/>
                      <w:szCs w:val="21"/>
                      <w:lang w:val="en-US" w:eastAsia="zh-CN"/>
                    </w:rPr>
                    <w:t>设置1台导热油炉，位于沥青罐区，导热油炉采用天然气加热保持沥青罐恒温。</w:t>
                  </w:r>
                </w:p>
              </w:tc>
              <w:tc>
                <w:tcPr>
                  <w:tcW w:w="1177" w:type="dxa"/>
                  <w:noWrap w:val="0"/>
                  <w:vAlign w:val="center"/>
                </w:tcPr>
                <w:p w14:paraId="2D3055FD">
                  <w:pPr>
                    <w:spacing w:line="240" w:lineRule="exact"/>
                    <w:jc w:val="center"/>
                    <w:rPr>
                      <w:rFonts w:hint="default" w:eastAsia="宋体"/>
                      <w:szCs w:val="21"/>
                      <w:lang w:val="en-US" w:eastAsia="zh-CN"/>
                    </w:rPr>
                  </w:pPr>
                  <w:r>
                    <w:rPr>
                      <w:rFonts w:hint="eastAsia"/>
                      <w:szCs w:val="21"/>
                      <w:lang w:val="en-US" w:eastAsia="zh-CN"/>
                    </w:rPr>
                    <w:t>废气</w:t>
                  </w:r>
                </w:p>
              </w:tc>
            </w:tr>
            <w:tr w14:paraId="5AB5EA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3" w:type="dxa"/>
                  <w:vMerge w:val="continue"/>
                  <w:noWrap w:val="0"/>
                  <w:vAlign w:val="center"/>
                </w:tcPr>
                <w:p w14:paraId="1A1D41C6">
                  <w:pPr>
                    <w:spacing w:line="240" w:lineRule="exact"/>
                    <w:jc w:val="center"/>
                    <w:rPr>
                      <w:szCs w:val="21"/>
                    </w:rPr>
                  </w:pPr>
                </w:p>
              </w:tc>
              <w:tc>
                <w:tcPr>
                  <w:tcW w:w="1073" w:type="dxa"/>
                  <w:noWrap w:val="0"/>
                  <w:vAlign w:val="center"/>
                </w:tcPr>
                <w:p w14:paraId="526AB785">
                  <w:pPr>
                    <w:spacing w:line="240" w:lineRule="exact"/>
                    <w:jc w:val="center"/>
                    <w:rPr>
                      <w:szCs w:val="21"/>
                    </w:rPr>
                  </w:pPr>
                  <w:r>
                    <w:rPr>
                      <w:rFonts w:hint="eastAsia"/>
                      <w:szCs w:val="21"/>
                    </w:rPr>
                    <w:t>骨料烘干加热燃烧器</w:t>
                  </w:r>
                </w:p>
              </w:tc>
              <w:tc>
                <w:tcPr>
                  <w:tcW w:w="5050" w:type="dxa"/>
                  <w:noWrap w:val="0"/>
                  <w:vAlign w:val="center"/>
                </w:tcPr>
                <w:p w14:paraId="0B18114E">
                  <w:pPr>
                    <w:spacing w:line="240" w:lineRule="exact"/>
                    <w:jc w:val="center"/>
                    <w:rPr>
                      <w:szCs w:val="21"/>
                    </w:rPr>
                  </w:pPr>
                  <w:r>
                    <w:rPr>
                      <w:rFonts w:hint="eastAsia"/>
                      <w:szCs w:val="21"/>
                      <w:lang w:val="en-US" w:eastAsia="zh-CN"/>
                    </w:rPr>
                    <w:t>设置1台骨料烘干加热燃烧器，使用天然气作为燃料</w:t>
                  </w:r>
                </w:p>
              </w:tc>
              <w:tc>
                <w:tcPr>
                  <w:tcW w:w="1177" w:type="dxa"/>
                  <w:noWrap w:val="0"/>
                  <w:vAlign w:val="center"/>
                </w:tcPr>
                <w:p w14:paraId="4AFAD8E4">
                  <w:pPr>
                    <w:spacing w:line="240" w:lineRule="exact"/>
                    <w:jc w:val="center"/>
                    <w:rPr>
                      <w:rFonts w:hint="eastAsia"/>
                      <w:szCs w:val="21"/>
                    </w:rPr>
                  </w:pPr>
                  <w:r>
                    <w:rPr>
                      <w:rFonts w:hint="eastAsia"/>
                      <w:szCs w:val="21"/>
                      <w:lang w:val="en-US" w:eastAsia="zh-CN"/>
                    </w:rPr>
                    <w:t>废气</w:t>
                  </w:r>
                </w:p>
              </w:tc>
            </w:tr>
            <w:tr w14:paraId="5AF645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3" w:type="dxa"/>
                  <w:vMerge w:val="continue"/>
                  <w:noWrap w:val="0"/>
                  <w:vAlign w:val="center"/>
                </w:tcPr>
                <w:p w14:paraId="23191286">
                  <w:pPr>
                    <w:spacing w:line="240" w:lineRule="exact"/>
                    <w:jc w:val="center"/>
                    <w:rPr>
                      <w:szCs w:val="21"/>
                    </w:rPr>
                  </w:pPr>
                </w:p>
              </w:tc>
              <w:tc>
                <w:tcPr>
                  <w:tcW w:w="1073" w:type="dxa"/>
                  <w:noWrap w:val="0"/>
                  <w:vAlign w:val="center"/>
                </w:tcPr>
                <w:p w14:paraId="41E2F0B7">
                  <w:pPr>
                    <w:spacing w:line="240" w:lineRule="exact"/>
                    <w:jc w:val="center"/>
                    <w:rPr>
                      <w:szCs w:val="21"/>
                    </w:rPr>
                  </w:pPr>
                  <w:r>
                    <w:rPr>
                      <w:rFonts w:hint="eastAsia" w:eastAsia="宋体"/>
                      <w:szCs w:val="21"/>
                      <w:lang w:val="en-US" w:eastAsia="zh-CN"/>
                    </w:rPr>
                    <w:t>生产检测中心</w:t>
                  </w:r>
                </w:p>
              </w:tc>
              <w:tc>
                <w:tcPr>
                  <w:tcW w:w="5050" w:type="dxa"/>
                  <w:noWrap w:val="0"/>
                  <w:vAlign w:val="center"/>
                </w:tcPr>
                <w:p w14:paraId="6B0336F8">
                  <w:pPr>
                    <w:spacing w:line="240" w:lineRule="exact"/>
                    <w:jc w:val="center"/>
                    <w:rPr>
                      <w:rFonts w:hint="eastAsia"/>
                      <w:szCs w:val="21"/>
                    </w:rPr>
                  </w:pPr>
                  <w:r>
                    <w:rPr>
                      <w:rFonts w:hint="eastAsia"/>
                      <w:szCs w:val="21"/>
                      <w:lang w:val="en-US" w:eastAsia="zh-CN"/>
                    </w:rPr>
                    <w:t>位于厂区西北侧办公生活区，主要用于马歇尔试验、抗车辙试验、低温弯曲试验等试验，均用仪器检测。</w:t>
                  </w:r>
                </w:p>
              </w:tc>
              <w:tc>
                <w:tcPr>
                  <w:tcW w:w="1177" w:type="dxa"/>
                  <w:noWrap w:val="0"/>
                  <w:vAlign w:val="center"/>
                </w:tcPr>
                <w:p w14:paraId="7C8A71C3">
                  <w:pPr>
                    <w:spacing w:line="240" w:lineRule="exact"/>
                    <w:jc w:val="center"/>
                    <w:rPr>
                      <w:rFonts w:hint="default" w:eastAsia="宋体"/>
                      <w:szCs w:val="21"/>
                      <w:lang w:val="en-US" w:eastAsia="zh-CN"/>
                    </w:rPr>
                  </w:pPr>
                  <w:r>
                    <w:rPr>
                      <w:rFonts w:hint="eastAsia"/>
                      <w:szCs w:val="21"/>
                      <w:lang w:val="en-US" w:eastAsia="zh-CN"/>
                    </w:rPr>
                    <w:t>废水、固废、废气</w:t>
                  </w:r>
                </w:p>
              </w:tc>
            </w:tr>
            <w:tr w14:paraId="075A87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3" w:type="dxa"/>
                  <w:vMerge w:val="restart"/>
                  <w:noWrap w:val="0"/>
                  <w:vAlign w:val="center"/>
                </w:tcPr>
                <w:p w14:paraId="0C405478">
                  <w:pPr>
                    <w:spacing w:line="240" w:lineRule="exact"/>
                    <w:jc w:val="center"/>
                    <w:rPr>
                      <w:szCs w:val="21"/>
                    </w:rPr>
                  </w:pPr>
                  <w:r>
                    <w:rPr>
                      <w:szCs w:val="21"/>
                    </w:rPr>
                    <w:t>仓储工程</w:t>
                  </w:r>
                </w:p>
              </w:tc>
              <w:tc>
                <w:tcPr>
                  <w:tcW w:w="1073" w:type="dxa"/>
                  <w:shd w:val="clear" w:color="auto" w:fill="auto"/>
                  <w:noWrap w:val="0"/>
                  <w:vAlign w:val="center"/>
                </w:tcPr>
                <w:p w14:paraId="4FCE51FC">
                  <w:pPr>
                    <w:pStyle w:val="80"/>
                    <w:tabs>
                      <w:tab w:val="clear" w:pos="0"/>
                    </w:tabs>
                    <w:spacing w:line="240" w:lineRule="exact"/>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砂石骨料仓</w:t>
                  </w:r>
                </w:p>
              </w:tc>
              <w:tc>
                <w:tcPr>
                  <w:tcW w:w="5050" w:type="dxa"/>
                  <w:shd w:val="clear" w:color="auto" w:fill="auto"/>
                  <w:noWrap w:val="0"/>
                  <w:vAlign w:val="center"/>
                </w:tcPr>
                <w:p w14:paraId="5A6A103C">
                  <w:pPr>
                    <w:spacing w:line="240" w:lineRule="exact"/>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设置8个砂石</w:t>
                  </w:r>
                  <w:r>
                    <w:rPr>
                      <w:rFonts w:hint="eastAsia" w:eastAsia="宋体"/>
                      <w:sz w:val="21"/>
                      <w:szCs w:val="21"/>
                      <w:lang w:val="en-US" w:eastAsia="zh-CN"/>
                    </w:rPr>
                    <w:t>骨料仓</w:t>
                  </w:r>
                  <w:r>
                    <w:rPr>
                      <w:rFonts w:hint="default" w:eastAsia="宋体"/>
                      <w:szCs w:val="21"/>
                      <w:lang w:val="en-US" w:eastAsia="zh-CN"/>
                    </w:rPr>
                    <w:t>，总建筑面积</w:t>
                  </w:r>
                  <w:r>
                    <w:rPr>
                      <w:rFonts w:hint="eastAsia"/>
                      <w:szCs w:val="21"/>
                      <w:lang w:val="en-US" w:eastAsia="zh-CN"/>
                    </w:rPr>
                    <w:t>3600</w:t>
                  </w:r>
                  <w:r>
                    <w:rPr>
                      <w:rFonts w:hint="default" w:eastAsia="宋体"/>
                      <w:szCs w:val="21"/>
                      <w:lang w:val="en-US" w:eastAsia="zh-CN"/>
                    </w:rPr>
                    <w:t>m</w:t>
                  </w:r>
                  <w:r>
                    <w:rPr>
                      <w:rFonts w:hint="default" w:eastAsia="宋体"/>
                      <w:szCs w:val="21"/>
                      <w:vertAlign w:val="superscript"/>
                      <w:lang w:val="en-US" w:eastAsia="zh-CN"/>
                    </w:rPr>
                    <w:t>2</w:t>
                  </w:r>
                  <w:r>
                    <w:rPr>
                      <w:rFonts w:hint="default" w:eastAsia="宋体"/>
                      <w:szCs w:val="21"/>
                      <w:lang w:val="en-US" w:eastAsia="zh-CN"/>
                    </w:rPr>
                    <w:t>，H=</w:t>
                  </w:r>
                  <w:r>
                    <w:rPr>
                      <w:rFonts w:hint="eastAsia"/>
                      <w:szCs w:val="21"/>
                      <w:lang w:val="en-US" w:eastAsia="zh-CN"/>
                    </w:rPr>
                    <w:t>12</w:t>
                  </w:r>
                  <w:r>
                    <w:rPr>
                      <w:rFonts w:hint="default" w:eastAsia="宋体"/>
                      <w:szCs w:val="21"/>
                      <w:lang w:val="en-US" w:eastAsia="zh-CN"/>
                    </w:rPr>
                    <w:t>m</w:t>
                  </w:r>
                  <w:r>
                    <w:rPr>
                      <w:rFonts w:hint="eastAsia"/>
                      <w:szCs w:val="21"/>
                      <w:lang w:val="en-US" w:eastAsia="zh-CN"/>
                    </w:rPr>
                    <w:t>，位于厂区东侧、北侧，采用钢结构搭建，三面围挡及顶棚，物料进出一侧设置防风软帘，</w:t>
                  </w:r>
                  <w:r>
                    <w:rPr>
                      <w:rFonts w:hint="default" w:eastAsia="宋体"/>
                      <w:szCs w:val="21"/>
                      <w:lang w:val="en-US" w:eastAsia="zh-CN"/>
                    </w:rPr>
                    <w:t>主要</w:t>
                  </w:r>
                  <w:r>
                    <w:rPr>
                      <w:rFonts w:hint="eastAsia" w:eastAsia="宋体"/>
                      <w:szCs w:val="21"/>
                      <w:lang w:val="en-US" w:eastAsia="zh-CN"/>
                    </w:rPr>
                    <w:t>用于</w:t>
                  </w:r>
                  <w:r>
                    <w:rPr>
                      <w:rFonts w:hint="eastAsia"/>
                      <w:szCs w:val="21"/>
                      <w:lang w:val="en-US" w:eastAsia="zh-CN"/>
                    </w:rPr>
                    <w:t>砂石骨料储存</w:t>
                  </w:r>
                  <w:r>
                    <w:rPr>
                      <w:rFonts w:hint="eastAsia" w:eastAsia="宋体"/>
                      <w:szCs w:val="21"/>
                      <w:lang w:val="en-US" w:eastAsia="zh-CN"/>
                    </w:rPr>
                    <w:t>。</w:t>
                  </w:r>
                </w:p>
              </w:tc>
              <w:tc>
                <w:tcPr>
                  <w:tcW w:w="1177" w:type="dxa"/>
                  <w:noWrap w:val="0"/>
                  <w:vAlign w:val="center"/>
                </w:tcPr>
                <w:p w14:paraId="10D0C937">
                  <w:pPr>
                    <w:spacing w:line="240" w:lineRule="exact"/>
                    <w:jc w:val="center"/>
                    <w:rPr>
                      <w:rFonts w:hint="eastAsia" w:eastAsia="宋体"/>
                      <w:szCs w:val="21"/>
                      <w:lang w:eastAsia="zh-CN"/>
                    </w:rPr>
                  </w:pPr>
                  <w:r>
                    <w:rPr>
                      <w:rFonts w:hint="eastAsia"/>
                      <w:szCs w:val="21"/>
                      <w:lang w:val="en-US" w:eastAsia="zh-CN"/>
                    </w:rPr>
                    <w:t>/</w:t>
                  </w:r>
                </w:p>
              </w:tc>
            </w:tr>
            <w:tr w14:paraId="528646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3" w:type="dxa"/>
                  <w:vMerge w:val="continue"/>
                  <w:noWrap w:val="0"/>
                  <w:vAlign w:val="center"/>
                </w:tcPr>
                <w:p w14:paraId="13BFEB0D">
                  <w:pPr>
                    <w:spacing w:line="240" w:lineRule="exact"/>
                    <w:jc w:val="center"/>
                    <w:rPr>
                      <w:szCs w:val="21"/>
                    </w:rPr>
                  </w:pPr>
                </w:p>
              </w:tc>
              <w:tc>
                <w:tcPr>
                  <w:tcW w:w="1073" w:type="dxa"/>
                  <w:shd w:val="clear" w:color="auto" w:fill="auto"/>
                  <w:noWrap w:val="0"/>
                  <w:vAlign w:val="center"/>
                </w:tcPr>
                <w:p w14:paraId="581FC6DF">
                  <w:pPr>
                    <w:pStyle w:val="80"/>
                    <w:tabs>
                      <w:tab w:val="clear" w:pos="0"/>
                    </w:tabs>
                    <w:spacing w:line="240" w:lineRule="exact"/>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粉料筒仓</w:t>
                  </w:r>
                </w:p>
              </w:tc>
              <w:tc>
                <w:tcPr>
                  <w:tcW w:w="5050" w:type="dxa"/>
                  <w:shd w:val="clear" w:color="auto" w:fill="auto"/>
                  <w:noWrap w:val="0"/>
                  <w:vAlign w:val="center"/>
                </w:tcPr>
                <w:p w14:paraId="6BCE52C1">
                  <w:pPr>
                    <w:spacing w:line="240" w:lineRule="exact"/>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设置2个</w:t>
                  </w:r>
                  <w:r>
                    <w:rPr>
                      <w:rFonts w:hint="eastAsia"/>
                      <w:sz w:val="21"/>
                      <w:szCs w:val="21"/>
                      <w:lang w:val="en-US" w:eastAsia="zh-CN"/>
                    </w:rPr>
                    <w:t>粉料</w:t>
                  </w:r>
                  <w:r>
                    <w:rPr>
                      <w:rFonts w:hint="eastAsia" w:eastAsia="宋体"/>
                      <w:sz w:val="21"/>
                      <w:szCs w:val="21"/>
                      <w:lang w:val="en-US" w:eastAsia="zh-CN"/>
                    </w:rPr>
                    <w:t>筒仓</w:t>
                  </w:r>
                  <w:r>
                    <w:rPr>
                      <w:rFonts w:hint="eastAsia"/>
                      <w:sz w:val="21"/>
                      <w:szCs w:val="21"/>
                      <w:lang w:val="en-US" w:eastAsia="zh-CN"/>
                    </w:rPr>
                    <w:t>，单个容量80t，位于沥青混凝土搅拌楼内，主要用于粉料储存。</w:t>
                  </w:r>
                </w:p>
              </w:tc>
              <w:tc>
                <w:tcPr>
                  <w:tcW w:w="1177" w:type="dxa"/>
                  <w:noWrap w:val="0"/>
                  <w:vAlign w:val="center"/>
                </w:tcPr>
                <w:p w14:paraId="4061840A">
                  <w:pPr>
                    <w:spacing w:line="240" w:lineRule="exact"/>
                    <w:jc w:val="center"/>
                    <w:rPr>
                      <w:rFonts w:hint="eastAsia" w:eastAsia="宋体"/>
                      <w:szCs w:val="21"/>
                      <w:lang w:val="en-US" w:eastAsia="zh-CN"/>
                    </w:rPr>
                  </w:pPr>
                  <w:r>
                    <w:rPr>
                      <w:rFonts w:hint="eastAsia"/>
                      <w:szCs w:val="21"/>
                      <w:lang w:val="en-US" w:eastAsia="zh-CN"/>
                    </w:rPr>
                    <w:t>/</w:t>
                  </w:r>
                </w:p>
              </w:tc>
            </w:tr>
            <w:tr w14:paraId="1427F4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3" w:type="dxa"/>
                  <w:vMerge w:val="continue"/>
                  <w:noWrap w:val="0"/>
                  <w:vAlign w:val="center"/>
                </w:tcPr>
                <w:p w14:paraId="2DDA1F48">
                  <w:pPr>
                    <w:spacing w:line="240" w:lineRule="exact"/>
                    <w:jc w:val="center"/>
                    <w:rPr>
                      <w:szCs w:val="21"/>
                    </w:rPr>
                  </w:pPr>
                </w:p>
              </w:tc>
              <w:tc>
                <w:tcPr>
                  <w:tcW w:w="1073" w:type="dxa"/>
                  <w:shd w:val="clear" w:color="auto" w:fill="auto"/>
                  <w:noWrap w:val="0"/>
                  <w:vAlign w:val="center"/>
                </w:tcPr>
                <w:p w14:paraId="6C1228E3">
                  <w:pPr>
                    <w:pStyle w:val="80"/>
                    <w:tabs>
                      <w:tab w:val="clear" w:pos="0"/>
                    </w:tabs>
                    <w:spacing w:line="240" w:lineRule="exact"/>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沥青罐</w:t>
                  </w:r>
                </w:p>
              </w:tc>
              <w:tc>
                <w:tcPr>
                  <w:tcW w:w="5050" w:type="dxa"/>
                  <w:shd w:val="clear" w:color="auto" w:fill="auto"/>
                  <w:noWrap w:val="0"/>
                  <w:vAlign w:val="center"/>
                </w:tcPr>
                <w:p w14:paraId="4AF07B7D">
                  <w:pPr>
                    <w:spacing w:line="240" w:lineRule="exact"/>
                    <w:jc w:val="center"/>
                    <w:rPr>
                      <w:rFonts w:hint="eastAsia" w:ascii="Times New Roman" w:hAnsi="Times New Roman" w:eastAsia="宋体" w:cs="Times New Roman"/>
                      <w:kern w:val="2"/>
                      <w:sz w:val="21"/>
                      <w:szCs w:val="21"/>
                      <w:lang w:val="en-US" w:eastAsia="zh-CN" w:bidi="ar-SA"/>
                    </w:rPr>
                  </w:pPr>
                  <w:r>
                    <w:rPr>
                      <w:rFonts w:hint="default" w:eastAsia="宋体"/>
                      <w:szCs w:val="21"/>
                      <w:lang w:val="en-US" w:eastAsia="zh-CN"/>
                    </w:rPr>
                    <w:t>设置4个沥青罐（</w:t>
                  </w:r>
                  <w:r>
                    <w:rPr>
                      <w:rFonts w:hint="eastAsia"/>
                      <w:szCs w:val="21"/>
                      <w:lang w:val="en-US" w:eastAsia="zh-CN"/>
                    </w:rPr>
                    <w:t>单个容量为</w:t>
                  </w:r>
                  <w:r>
                    <w:rPr>
                      <w:rFonts w:hint="default" w:eastAsia="宋体"/>
                      <w:szCs w:val="21"/>
                      <w:lang w:val="en-US" w:eastAsia="zh-CN"/>
                    </w:rPr>
                    <w:t>50</w:t>
                  </w:r>
                  <w:r>
                    <w:rPr>
                      <w:rFonts w:hint="eastAsia"/>
                      <w:szCs w:val="21"/>
                      <w:lang w:val="en-US" w:eastAsia="zh-CN"/>
                    </w:rPr>
                    <w:t>m</w:t>
                  </w:r>
                  <w:r>
                    <w:rPr>
                      <w:rFonts w:hint="eastAsia"/>
                      <w:szCs w:val="21"/>
                      <w:vertAlign w:val="superscript"/>
                      <w:lang w:val="en-US" w:eastAsia="zh-CN"/>
                    </w:rPr>
                    <w:t>3</w:t>
                  </w:r>
                  <w:r>
                    <w:rPr>
                      <w:rFonts w:hint="default" w:eastAsia="宋体"/>
                      <w:szCs w:val="21"/>
                      <w:lang w:val="en-US" w:eastAsia="zh-CN"/>
                    </w:rPr>
                    <w:t>），</w:t>
                  </w:r>
                  <w:r>
                    <w:rPr>
                      <w:rFonts w:hint="eastAsia"/>
                      <w:szCs w:val="21"/>
                      <w:lang w:val="en-US" w:eastAsia="zh-CN"/>
                    </w:rPr>
                    <w:t>位于</w:t>
                  </w:r>
                  <w:r>
                    <w:rPr>
                      <w:rFonts w:hint="eastAsia"/>
                      <w:sz w:val="21"/>
                      <w:szCs w:val="21"/>
                      <w:lang w:val="en-US" w:eastAsia="zh-CN"/>
                    </w:rPr>
                    <w:t>沥青混凝土搅拌楼内，</w:t>
                  </w:r>
                  <w:r>
                    <w:rPr>
                      <w:rFonts w:hint="default" w:eastAsia="宋体"/>
                      <w:szCs w:val="21"/>
                      <w:lang w:val="en-US" w:eastAsia="zh-CN"/>
                    </w:rPr>
                    <w:t>储罐外布设有导热油管道，确保沥青储罐内的沥青料温度维持于</w:t>
                  </w:r>
                  <w:r>
                    <w:rPr>
                      <w:rFonts w:hint="eastAsia"/>
                      <w:szCs w:val="21"/>
                      <w:lang w:val="en-US" w:eastAsia="zh-CN"/>
                    </w:rPr>
                    <w:t>150-180</w:t>
                  </w:r>
                  <w:r>
                    <w:rPr>
                      <w:rFonts w:hint="default" w:eastAsia="宋体"/>
                      <w:szCs w:val="21"/>
                      <w:lang w:val="en-US" w:eastAsia="zh-CN"/>
                    </w:rPr>
                    <w:t>℃左右。</w:t>
                  </w:r>
                </w:p>
              </w:tc>
              <w:tc>
                <w:tcPr>
                  <w:tcW w:w="1177" w:type="dxa"/>
                  <w:noWrap w:val="0"/>
                  <w:vAlign w:val="center"/>
                </w:tcPr>
                <w:p w14:paraId="5FBF789C">
                  <w:pPr>
                    <w:spacing w:line="240" w:lineRule="exact"/>
                    <w:jc w:val="center"/>
                    <w:rPr>
                      <w:rFonts w:hint="eastAsia" w:eastAsia="宋体"/>
                      <w:szCs w:val="21"/>
                      <w:lang w:val="en-US" w:eastAsia="zh-CN"/>
                    </w:rPr>
                  </w:pPr>
                  <w:r>
                    <w:rPr>
                      <w:rFonts w:hint="eastAsia"/>
                      <w:szCs w:val="21"/>
                      <w:lang w:val="en-US" w:eastAsia="zh-CN"/>
                    </w:rPr>
                    <w:t>/</w:t>
                  </w:r>
                </w:p>
              </w:tc>
            </w:tr>
            <w:tr w14:paraId="30F04E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3" w:type="dxa"/>
                  <w:vMerge w:val="restart"/>
                  <w:noWrap w:val="0"/>
                  <w:vAlign w:val="center"/>
                </w:tcPr>
                <w:p w14:paraId="48E84DD2">
                  <w:pPr>
                    <w:pStyle w:val="80"/>
                    <w:tabs>
                      <w:tab w:val="clear" w:pos="0"/>
                    </w:tabs>
                    <w:spacing w:line="240" w:lineRule="exact"/>
                    <w:jc w:val="center"/>
                    <w:rPr>
                      <w:rFonts w:eastAsia="宋体"/>
                      <w:sz w:val="21"/>
                      <w:szCs w:val="21"/>
                    </w:rPr>
                  </w:pPr>
                  <w:r>
                    <w:rPr>
                      <w:rFonts w:eastAsia="宋体"/>
                      <w:sz w:val="21"/>
                      <w:szCs w:val="21"/>
                    </w:rPr>
                    <w:t>环保工程</w:t>
                  </w:r>
                </w:p>
              </w:tc>
              <w:tc>
                <w:tcPr>
                  <w:tcW w:w="1073" w:type="dxa"/>
                  <w:vMerge w:val="restart"/>
                  <w:noWrap w:val="0"/>
                  <w:vAlign w:val="center"/>
                </w:tcPr>
                <w:p w14:paraId="203E9698">
                  <w:pPr>
                    <w:pStyle w:val="80"/>
                    <w:tabs>
                      <w:tab w:val="clear" w:pos="0"/>
                    </w:tabs>
                    <w:spacing w:line="240" w:lineRule="exact"/>
                    <w:jc w:val="center"/>
                    <w:rPr>
                      <w:rFonts w:hint="eastAsia" w:eastAsia="宋体"/>
                      <w:sz w:val="21"/>
                      <w:szCs w:val="21"/>
                    </w:rPr>
                  </w:pPr>
                  <w:r>
                    <w:rPr>
                      <w:rFonts w:hint="eastAsia" w:eastAsia="宋体"/>
                      <w:sz w:val="21"/>
                      <w:szCs w:val="21"/>
                    </w:rPr>
                    <w:t>废水处理</w:t>
                  </w:r>
                </w:p>
              </w:tc>
              <w:tc>
                <w:tcPr>
                  <w:tcW w:w="5050" w:type="dxa"/>
                  <w:noWrap w:val="0"/>
                  <w:vAlign w:val="center"/>
                </w:tcPr>
                <w:p w14:paraId="625CFE64">
                  <w:pPr>
                    <w:spacing w:line="240" w:lineRule="exact"/>
                    <w:jc w:val="center"/>
                    <w:rPr>
                      <w:rFonts w:hint="eastAsia"/>
                      <w:szCs w:val="21"/>
                    </w:rPr>
                  </w:pPr>
                  <w:r>
                    <w:rPr>
                      <w:rFonts w:hint="default" w:ascii="Times New Roman" w:hAnsi="Times New Roman" w:eastAsia="宋体" w:cs="Times New Roman"/>
                      <w:b/>
                      <w:bCs/>
                      <w:sz w:val="21"/>
                      <w:szCs w:val="21"/>
                    </w:rPr>
                    <w:t>生活污水：</w:t>
                  </w:r>
                  <w:r>
                    <w:rPr>
                      <w:rFonts w:hint="eastAsia" w:ascii="Times New Roman" w:hAnsi="Times New Roman" w:eastAsia="宋体" w:cs="Times New Roman"/>
                      <w:b w:val="0"/>
                      <w:bCs w:val="0"/>
                      <w:sz w:val="21"/>
                      <w:szCs w:val="21"/>
                      <w:lang w:val="en-US" w:eastAsia="zh-CN"/>
                    </w:rPr>
                    <w:t>生活污水经</w:t>
                  </w:r>
                  <w:r>
                    <w:rPr>
                      <w:rFonts w:hint="eastAsia" w:cs="Times New Roman"/>
                      <w:b w:val="0"/>
                      <w:bCs w:val="0"/>
                      <w:sz w:val="21"/>
                      <w:szCs w:val="21"/>
                      <w:lang w:val="en-US" w:eastAsia="zh-CN"/>
                    </w:rPr>
                    <w:t>化粪池</w:t>
                  </w:r>
                  <w:r>
                    <w:rPr>
                      <w:rFonts w:hint="eastAsia" w:ascii="Times New Roman" w:hAnsi="Times New Roman" w:eastAsia="宋体" w:cs="Times New Roman"/>
                      <w:b w:val="0"/>
                      <w:bCs w:val="0"/>
                      <w:sz w:val="21"/>
                      <w:szCs w:val="21"/>
                      <w:lang w:val="en-US" w:eastAsia="zh-CN"/>
                    </w:rPr>
                    <w:t>（有效容积</w:t>
                  </w:r>
                  <w:r>
                    <w:rPr>
                      <w:rFonts w:hint="eastAsia" w:cs="Times New Roman"/>
                      <w:b w:val="0"/>
                      <w:bCs w:val="0"/>
                      <w:sz w:val="21"/>
                      <w:szCs w:val="21"/>
                      <w:lang w:val="en-US" w:eastAsia="zh-CN"/>
                    </w:rPr>
                    <w:t>2</w:t>
                  </w:r>
                  <w:r>
                    <w:rPr>
                      <w:rFonts w:hint="eastAsia" w:ascii="Times New Roman" w:hAnsi="Times New Roman" w:eastAsia="宋体" w:cs="Times New Roman"/>
                      <w:b w:val="0"/>
                      <w:bCs w:val="0"/>
                      <w:sz w:val="21"/>
                      <w:szCs w:val="21"/>
                      <w:lang w:val="en-US" w:eastAsia="zh-CN"/>
                    </w:rPr>
                    <w:t>0m</w:t>
                  </w:r>
                  <w:r>
                    <w:rPr>
                      <w:rFonts w:hint="eastAsia" w:ascii="Times New Roman" w:hAnsi="Times New Roman" w:eastAsia="宋体" w:cs="Times New Roman"/>
                      <w:b w:val="0"/>
                      <w:bCs w:val="0"/>
                      <w:sz w:val="21"/>
                      <w:szCs w:val="21"/>
                      <w:vertAlign w:val="superscript"/>
                      <w:lang w:val="en-US" w:eastAsia="zh-CN"/>
                    </w:rPr>
                    <w:t>3</w:t>
                  </w:r>
                  <w:r>
                    <w:rPr>
                      <w:rFonts w:hint="eastAsia" w:ascii="Times New Roman" w:hAnsi="Times New Roman" w:eastAsia="宋体" w:cs="Times New Roman"/>
                      <w:b w:val="0"/>
                      <w:bCs w:val="0"/>
                      <w:sz w:val="21"/>
                      <w:szCs w:val="21"/>
                      <w:lang w:val="en-US" w:eastAsia="zh-CN"/>
                    </w:rPr>
                    <w:t>）</w:t>
                  </w:r>
                  <w:r>
                    <w:rPr>
                      <w:rFonts w:hint="eastAsia" w:cs="Times New Roman"/>
                      <w:b w:val="0"/>
                      <w:bCs w:val="0"/>
                      <w:sz w:val="21"/>
                      <w:szCs w:val="21"/>
                      <w:lang w:val="en-US" w:eastAsia="zh-CN"/>
                    </w:rPr>
                    <w:t>处理后用作农肥不外排。</w:t>
                  </w:r>
                </w:p>
              </w:tc>
              <w:tc>
                <w:tcPr>
                  <w:tcW w:w="1177" w:type="dxa"/>
                  <w:noWrap w:val="0"/>
                  <w:vAlign w:val="center"/>
                </w:tcPr>
                <w:p w14:paraId="6A791DAA">
                  <w:pPr>
                    <w:spacing w:line="240" w:lineRule="exact"/>
                    <w:jc w:val="center"/>
                    <w:rPr>
                      <w:rFonts w:hint="eastAsia"/>
                      <w:szCs w:val="21"/>
                    </w:rPr>
                  </w:pPr>
                  <w:r>
                    <w:rPr>
                      <w:rFonts w:hint="eastAsia"/>
                      <w:szCs w:val="21"/>
                    </w:rPr>
                    <w:t>/</w:t>
                  </w:r>
                </w:p>
              </w:tc>
            </w:tr>
            <w:tr w14:paraId="4E2E63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3" w:type="dxa"/>
                  <w:vMerge w:val="continue"/>
                  <w:noWrap w:val="0"/>
                  <w:vAlign w:val="center"/>
                </w:tcPr>
                <w:p w14:paraId="6CCA4B72">
                  <w:pPr>
                    <w:pStyle w:val="80"/>
                    <w:tabs>
                      <w:tab w:val="clear" w:pos="0"/>
                    </w:tabs>
                    <w:spacing w:line="240" w:lineRule="exact"/>
                    <w:jc w:val="center"/>
                    <w:rPr>
                      <w:rFonts w:eastAsia="宋体"/>
                      <w:sz w:val="21"/>
                      <w:szCs w:val="21"/>
                    </w:rPr>
                  </w:pPr>
                </w:p>
              </w:tc>
              <w:tc>
                <w:tcPr>
                  <w:tcW w:w="1073" w:type="dxa"/>
                  <w:vMerge w:val="continue"/>
                  <w:noWrap w:val="0"/>
                  <w:vAlign w:val="center"/>
                </w:tcPr>
                <w:p w14:paraId="37E08C47">
                  <w:pPr>
                    <w:pStyle w:val="80"/>
                    <w:tabs>
                      <w:tab w:val="clear" w:pos="0"/>
                    </w:tabs>
                    <w:spacing w:line="240" w:lineRule="exact"/>
                    <w:jc w:val="center"/>
                    <w:rPr>
                      <w:rFonts w:hint="eastAsia" w:eastAsia="宋体"/>
                      <w:sz w:val="21"/>
                      <w:szCs w:val="21"/>
                    </w:rPr>
                  </w:pPr>
                </w:p>
              </w:tc>
              <w:tc>
                <w:tcPr>
                  <w:tcW w:w="5050" w:type="dxa"/>
                  <w:noWrap w:val="0"/>
                  <w:vAlign w:val="center"/>
                </w:tcPr>
                <w:p w14:paraId="593F0A4E">
                  <w:pPr>
                    <w:spacing w:line="240" w:lineRule="exact"/>
                    <w:jc w:val="center"/>
                    <w:rPr>
                      <w:rFonts w:hint="default" w:ascii="Times New Roman" w:hAnsi="Times New Roman" w:eastAsia="宋体" w:cs="Times New Roman"/>
                      <w:b/>
                      <w:bCs/>
                      <w:sz w:val="21"/>
                      <w:szCs w:val="21"/>
                    </w:rPr>
                  </w:pPr>
                  <w:r>
                    <w:rPr>
                      <w:rFonts w:hint="eastAsia"/>
                      <w:b/>
                      <w:bCs/>
                      <w:szCs w:val="21"/>
                      <w:lang w:val="en-US" w:eastAsia="zh-CN"/>
                    </w:rPr>
                    <w:t>生产废水：</w:t>
                  </w:r>
                  <w:r>
                    <w:rPr>
                      <w:rFonts w:hint="eastAsia"/>
                      <w:b w:val="0"/>
                      <w:bCs w:val="0"/>
                      <w:szCs w:val="21"/>
                      <w:lang w:val="en-US" w:eastAsia="zh-CN"/>
                    </w:rPr>
                    <w:t>生产废水主要为车辆清洗废水和实验室设备清洗废水，</w:t>
                  </w:r>
                  <w:r>
                    <w:rPr>
                      <w:rFonts w:hint="eastAsia"/>
                      <w:szCs w:val="21"/>
                      <w:lang w:val="en-US" w:eastAsia="zh-CN"/>
                    </w:rPr>
                    <w:t>经三级沉淀池（有效容积30m</w:t>
                  </w:r>
                  <w:r>
                    <w:rPr>
                      <w:rFonts w:hint="eastAsia"/>
                      <w:szCs w:val="21"/>
                      <w:vertAlign w:val="superscript"/>
                      <w:lang w:val="en-US" w:eastAsia="zh-CN"/>
                    </w:rPr>
                    <w:t>3</w:t>
                  </w:r>
                  <w:r>
                    <w:rPr>
                      <w:rFonts w:hint="eastAsia"/>
                      <w:szCs w:val="21"/>
                      <w:lang w:val="en-US" w:eastAsia="zh-CN"/>
                    </w:rPr>
                    <w:t>）沉淀后循环使用不外排。</w:t>
                  </w:r>
                </w:p>
              </w:tc>
              <w:tc>
                <w:tcPr>
                  <w:tcW w:w="1177" w:type="dxa"/>
                  <w:noWrap w:val="0"/>
                  <w:vAlign w:val="center"/>
                </w:tcPr>
                <w:p w14:paraId="5F92B5BD">
                  <w:pPr>
                    <w:spacing w:line="240" w:lineRule="exact"/>
                    <w:jc w:val="center"/>
                    <w:rPr>
                      <w:rFonts w:hint="eastAsia" w:eastAsia="宋体"/>
                      <w:szCs w:val="21"/>
                      <w:lang w:val="en-US" w:eastAsia="zh-CN"/>
                    </w:rPr>
                  </w:pPr>
                  <w:r>
                    <w:rPr>
                      <w:rFonts w:hint="eastAsia"/>
                      <w:szCs w:val="21"/>
                      <w:lang w:val="en-US" w:eastAsia="zh-CN"/>
                    </w:rPr>
                    <w:t>/</w:t>
                  </w:r>
                </w:p>
              </w:tc>
            </w:tr>
            <w:tr w14:paraId="56413C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3" w:type="dxa"/>
                  <w:vMerge w:val="continue"/>
                  <w:noWrap w:val="0"/>
                  <w:vAlign w:val="center"/>
                </w:tcPr>
                <w:p w14:paraId="0CF8046C">
                  <w:pPr>
                    <w:pStyle w:val="80"/>
                    <w:tabs>
                      <w:tab w:val="clear" w:pos="0"/>
                    </w:tabs>
                    <w:spacing w:line="240" w:lineRule="exact"/>
                    <w:jc w:val="center"/>
                    <w:rPr>
                      <w:rFonts w:eastAsia="宋体"/>
                      <w:sz w:val="21"/>
                      <w:szCs w:val="21"/>
                    </w:rPr>
                  </w:pPr>
                </w:p>
              </w:tc>
              <w:tc>
                <w:tcPr>
                  <w:tcW w:w="1073" w:type="dxa"/>
                  <w:vMerge w:val="restart"/>
                  <w:noWrap w:val="0"/>
                  <w:vAlign w:val="center"/>
                </w:tcPr>
                <w:p w14:paraId="28E84677">
                  <w:pPr>
                    <w:pStyle w:val="80"/>
                    <w:tabs>
                      <w:tab w:val="clear" w:pos="0"/>
                    </w:tabs>
                    <w:spacing w:line="240" w:lineRule="exact"/>
                    <w:jc w:val="center"/>
                    <w:rPr>
                      <w:rFonts w:hint="eastAsia" w:eastAsia="宋体"/>
                      <w:sz w:val="21"/>
                      <w:szCs w:val="21"/>
                      <w:lang w:val="en-US" w:eastAsia="zh-CN"/>
                    </w:rPr>
                  </w:pPr>
                  <w:r>
                    <w:rPr>
                      <w:rFonts w:hint="eastAsia" w:eastAsia="宋体"/>
                      <w:sz w:val="21"/>
                      <w:szCs w:val="21"/>
                      <w:lang w:val="en-US" w:eastAsia="zh-CN"/>
                    </w:rPr>
                    <w:t>废气治理</w:t>
                  </w:r>
                </w:p>
              </w:tc>
              <w:tc>
                <w:tcPr>
                  <w:tcW w:w="5050" w:type="dxa"/>
                  <w:noWrap w:val="0"/>
                  <w:vAlign w:val="center"/>
                </w:tcPr>
                <w:p w14:paraId="4500E4F8">
                  <w:pPr>
                    <w:spacing w:line="240" w:lineRule="exact"/>
                    <w:jc w:val="center"/>
                    <w:rPr>
                      <w:rFonts w:hint="default" w:eastAsia="宋体"/>
                      <w:szCs w:val="21"/>
                      <w:lang w:val="en-US" w:eastAsia="zh-CN"/>
                    </w:rPr>
                  </w:pPr>
                  <w:r>
                    <w:rPr>
                      <w:rFonts w:hint="default" w:ascii="Times New Roman" w:hAnsi="Times New Roman" w:eastAsia="宋体" w:cs="Times New Roman"/>
                      <w:b/>
                      <w:bCs/>
                      <w:sz w:val="21"/>
                      <w:szCs w:val="21"/>
                      <w:highlight w:val="none"/>
                      <w:lang w:val="en-US" w:eastAsia="zh-CN"/>
                    </w:rPr>
                    <w:t>①</w:t>
                  </w:r>
                  <w:r>
                    <w:rPr>
                      <w:rFonts w:hint="eastAsia" w:cs="Times New Roman"/>
                      <w:b/>
                      <w:bCs/>
                      <w:sz w:val="21"/>
                      <w:szCs w:val="21"/>
                      <w:highlight w:val="none"/>
                      <w:lang w:val="en-US" w:eastAsia="zh-CN"/>
                    </w:rPr>
                    <w:t>输送粉尘</w:t>
                  </w:r>
                  <w:r>
                    <w:rPr>
                      <w:rFonts w:hint="default" w:ascii="Times New Roman" w:hAnsi="Times New Roman" w:eastAsia="宋体" w:cs="Times New Roman"/>
                      <w:b/>
                      <w:bCs/>
                      <w:sz w:val="21"/>
                      <w:szCs w:val="21"/>
                      <w:highlight w:val="none"/>
                      <w:lang w:val="en-US" w:eastAsia="zh-CN"/>
                    </w:rPr>
                    <w:t>、烘干粉尘、提升粉尘、筛分粉尘</w:t>
                  </w:r>
                  <w:r>
                    <w:rPr>
                      <w:rFonts w:hint="eastAsia" w:eastAsia="宋体" w:cs="Times New Roman"/>
                      <w:b/>
                      <w:bCs/>
                      <w:sz w:val="21"/>
                      <w:szCs w:val="21"/>
                      <w:highlight w:val="none"/>
                      <w:lang w:val="en-US" w:eastAsia="zh-CN"/>
                    </w:rPr>
                    <w:t>、烘干系统天然气燃烧废气</w:t>
                  </w:r>
                  <w:r>
                    <w:rPr>
                      <w:rFonts w:hint="default" w:ascii="Times New Roman" w:hAnsi="Times New Roman" w:eastAsia="宋体" w:cs="Times New Roman"/>
                      <w:b/>
                      <w:bCs/>
                      <w:sz w:val="21"/>
                      <w:szCs w:val="21"/>
                      <w:highlight w:val="none"/>
                      <w:lang w:val="en-US" w:eastAsia="zh-CN"/>
                    </w:rPr>
                    <w:t>：</w:t>
                  </w:r>
                  <w:r>
                    <w:rPr>
                      <w:rFonts w:hint="default" w:ascii="Times New Roman" w:hAnsi="Times New Roman" w:eastAsia="宋体" w:cs="Times New Roman"/>
                      <w:b w:val="0"/>
                      <w:bCs w:val="0"/>
                      <w:sz w:val="21"/>
                      <w:szCs w:val="21"/>
                      <w:highlight w:val="none"/>
                      <w:lang w:val="en-US" w:eastAsia="zh-CN"/>
                    </w:rPr>
                    <w:t>密闭收集+</w:t>
                  </w:r>
                  <w:r>
                    <w:rPr>
                      <w:rFonts w:hint="eastAsia" w:cs="Times New Roman"/>
                      <w:b w:val="0"/>
                      <w:bCs w:val="0"/>
                      <w:sz w:val="21"/>
                      <w:szCs w:val="21"/>
                      <w:highlight w:val="none"/>
                      <w:lang w:val="en-US" w:eastAsia="zh-CN"/>
                    </w:rPr>
                    <w:t>高温</w:t>
                  </w:r>
                  <w:r>
                    <w:rPr>
                      <w:rFonts w:hint="default" w:ascii="Times New Roman" w:hAnsi="Times New Roman" w:eastAsia="宋体" w:cs="Times New Roman"/>
                      <w:b w:val="0"/>
                      <w:bCs w:val="0"/>
                      <w:sz w:val="21"/>
                      <w:szCs w:val="21"/>
                      <w:highlight w:val="none"/>
                      <w:lang w:val="en-US" w:eastAsia="zh-CN"/>
                    </w:rPr>
                    <w:t>布袋除尘器（TA001）+</w:t>
                  </w:r>
                  <w:r>
                    <w:rPr>
                      <w:rFonts w:hint="eastAsia" w:cs="Times New Roman"/>
                      <w:b w:val="0"/>
                      <w:bCs w:val="0"/>
                      <w:sz w:val="21"/>
                      <w:szCs w:val="21"/>
                      <w:highlight w:val="none"/>
                      <w:lang w:val="en-US" w:eastAsia="zh-CN"/>
                    </w:rPr>
                    <w:t>22</w:t>
                  </w:r>
                  <w:r>
                    <w:rPr>
                      <w:rFonts w:hint="default" w:ascii="Times New Roman" w:hAnsi="Times New Roman" w:eastAsia="宋体" w:cs="Times New Roman"/>
                      <w:b w:val="0"/>
                      <w:bCs w:val="0"/>
                      <w:sz w:val="21"/>
                      <w:szCs w:val="21"/>
                      <w:highlight w:val="none"/>
                      <w:lang w:val="en-US" w:eastAsia="zh-CN"/>
                    </w:rPr>
                    <w:t>m高排气筒（DA001）</w:t>
                  </w:r>
                  <w:r>
                    <w:rPr>
                      <w:rFonts w:hint="eastAsia" w:ascii="Times New Roman" w:hAnsi="Times New Roman" w:eastAsia="宋体" w:cs="Times New Roman"/>
                      <w:b w:val="0"/>
                      <w:bCs w:val="0"/>
                      <w:sz w:val="21"/>
                      <w:szCs w:val="21"/>
                      <w:highlight w:val="none"/>
                      <w:lang w:val="en-US" w:eastAsia="zh-CN"/>
                    </w:rPr>
                    <w:t>。</w:t>
                  </w:r>
                </w:p>
              </w:tc>
              <w:tc>
                <w:tcPr>
                  <w:tcW w:w="1177" w:type="dxa"/>
                  <w:noWrap w:val="0"/>
                  <w:vAlign w:val="center"/>
                </w:tcPr>
                <w:p w14:paraId="40E843A9">
                  <w:pPr>
                    <w:spacing w:line="240" w:lineRule="exact"/>
                    <w:jc w:val="center"/>
                    <w:rPr>
                      <w:rFonts w:hint="eastAsia"/>
                      <w:szCs w:val="21"/>
                    </w:rPr>
                  </w:pPr>
                  <w:r>
                    <w:rPr>
                      <w:rFonts w:hint="eastAsia"/>
                      <w:szCs w:val="21"/>
                    </w:rPr>
                    <w:t>/</w:t>
                  </w:r>
                </w:p>
              </w:tc>
            </w:tr>
            <w:tr w14:paraId="53AA4C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3" w:type="dxa"/>
                  <w:vMerge w:val="continue"/>
                  <w:noWrap w:val="0"/>
                  <w:vAlign w:val="center"/>
                </w:tcPr>
                <w:p w14:paraId="19BAD3DB">
                  <w:pPr>
                    <w:pStyle w:val="80"/>
                    <w:tabs>
                      <w:tab w:val="clear" w:pos="0"/>
                    </w:tabs>
                    <w:spacing w:line="240" w:lineRule="exact"/>
                    <w:jc w:val="center"/>
                    <w:rPr>
                      <w:rFonts w:eastAsia="宋体"/>
                      <w:sz w:val="21"/>
                      <w:szCs w:val="21"/>
                    </w:rPr>
                  </w:pPr>
                </w:p>
              </w:tc>
              <w:tc>
                <w:tcPr>
                  <w:tcW w:w="1073" w:type="dxa"/>
                  <w:vMerge w:val="continue"/>
                  <w:noWrap w:val="0"/>
                  <w:vAlign w:val="center"/>
                </w:tcPr>
                <w:p w14:paraId="707834DF">
                  <w:pPr>
                    <w:pStyle w:val="80"/>
                    <w:tabs>
                      <w:tab w:val="clear" w:pos="0"/>
                    </w:tabs>
                    <w:spacing w:line="240" w:lineRule="exact"/>
                    <w:jc w:val="center"/>
                    <w:rPr>
                      <w:rFonts w:hint="eastAsia" w:eastAsia="宋体"/>
                      <w:sz w:val="21"/>
                      <w:szCs w:val="21"/>
                    </w:rPr>
                  </w:pPr>
                </w:p>
              </w:tc>
              <w:tc>
                <w:tcPr>
                  <w:tcW w:w="5050" w:type="dxa"/>
                  <w:noWrap w:val="0"/>
                  <w:vAlign w:val="center"/>
                </w:tcPr>
                <w:p w14:paraId="783EADB7">
                  <w:pPr>
                    <w:spacing w:line="240" w:lineRule="exact"/>
                    <w:jc w:val="center"/>
                    <w:rPr>
                      <w:rFonts w:hint="default"/>
                      <w:szCs w:val="21"/>
                      <w:lang w:val="en-US" w:eastAsia="zh-CN"/>
                    </w:rPr>
                  </w:pPr>
                  <w:r>
                    <w:rPr>
                      <w:rFonts w:hint="eastAsia" w:eastAsia="宋体" w:cs="Times New Roman"/>
                      <w:b/>
                      <w:bCs/>
                      <w:sz w:val="21"/>
                      <w:szCs w:val="21"/>
                      <w:highlight w:val="none"/>
                      <w:lang w:val="en-US" w:eastAsia="zh-CN"/>
                    </w:rPr>
                    <w:t>②沥青搅拌、加热、卸料废气：</w:t>
                  </w:r>
                  <w:r>
                    <w:rPr>
                      <w:rFonts w:hint="eastAsia" w:eastAsia="宋体" w:cs="Times New Roman"/>
                      <w:b w:val="0"/>
                      <w:bCs w:val="0"/>
                      <w:sz w:val="21"/>
                      <w:szCs w:val="21"/>
                      <w:highlight w:val="none"/>
                      <w:lang w:val="en-US" w:eastAsia="zh-CN"/>
                    </w:rPr>
                    <w:t>密闭收集+</w:t>
                  </w:r>
                  <w:r>
                    <w:rPr>
                      <w:rFonts w:hint="eastAsia" w:cs="Times New Roman"/>
                      <w:b w:val="0"/>
                      <w:bCs w:val="0"/>
                      <w:sz w:val="21"/>
                      <w:szCs w:val="21"/>
                      <w:highlight w:val="none"/>
                      <w:lang w:val="en-US" w:eastAsia="zh-CN"/>
                    </w:rPr>
                    <w:t>烘干系统燃烧器</w:t>
                  </w:r>
                  <w:r>
                    <w:rPr>
                      <w:rFonts w:hint="eastAsia" w:eastAsia="宋体" w:cs="Times New Roman"/>
                      <w:b w:val="0"/>
                      <w:bCs w:val="0"/>
                      <w:sz w:val="21"/>
                      <w:szCs w:val="21"/>
                      <w:highlight w:val="none"/>
                      <w:lang w:val="en-US" w:eastAsia="zh-CN"/>
                    </w:rPr>
                    <w:t>燃烧裂解氧化</w:t>
                  </w:r>
                  <w:r>
                    <w:rPr>
                      <w:rFonts w:hint="eastAsia" w:cs="Times New Roman"/>
                      <w:b w:val="0"/>
                      <w:bCs w:val="0"/>
                      <w:sz w:val="21"/>
                      <w:szCs w:val="21"/>
                      <w:highlight w:val="none"/>
                      <w:lang w:val="en-US" w:eastAsia="zh-CN"/>
                    </w:rPr>
                    <w:t>+布袋除尘器（TA001）+22m高排气筒（DA001）</w:t>
                  </w:r>
                  <w:r>
                    <w:rPr>
                      <w:rFonts w:hint="eastAsia" w:eastAsia="宋体" w:cs="Times New Roman"/>
                      <w:b w:val="0"/>
                      <w:bCs w:val="0"/>
                      <w:sz w:val="21"/>
                      <w:szCs w:val="21"/>
                      <w:highlight w:val="none"/>
                      <w:lang w:val="en-US" w:eastAsia="zh-CN"/>
                    </w:rPr>
                    <w:t>。</w:t>
                  </w:r>
                </w:p>
              </w:tc>
              <w:tc>
                <w:tcPr>
                  <w:tcW w:w="1177" w:type="dxa"/>
                  <w:noWrap w:val="0"/>
                  <w:vAlign w:val="center"/>
                </w:tcPr>
                <w:p w14:paraId="7C692211">
                  <w:pPr>
                    <w:spacing w:line="240" w:lineRule="exact"/>
                    <w:jc w:val="center"/>
                    <w:rPr>
                      <w:szCs w:val="21"/>
                    </w:rPr>
                  </w:pPr>
                  <w:r>
                    <w:rPr>
                      <w:rFonts w:hint="eastAsia"/>
                      <w:szCs w:val="21"/>
                    </w:rPr>
                    <w:t>/</w:t>
                  </w:r>
                </w:p>
              </w:tc>
            </w:tr>
            <w:tr w14:paraId="49E1E2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3" w:type="dxa"/>
                  <w:vMerge w:val="continue"/>
                  <w:noWrap w:val="0"/>
                  <w:vAlign w:val="center"/>
                </w:tcPr>
                <w:p w14:paraId="7AEED19B">
                  <w:pPr>
                    <w:pStyle w:val="80"/>
                    <w:tabs>
                      <w:tab w:val="clear" w:pos="0"/>
                    </w:tabs>
                    <w:spacing w:line="240" w:lineRule="exact"/>
                    <w:jc w:val="center"/>
                    <w:rPr>
                      <w:rFonts w:eastAsia="宋体"/>
                      <w:sz w:val="21"/>
                      <w:szCs w:val="21"/>
                    </w:rPr>
                  </w:pPr>
                </w:p>
              </w:tc>
              <w:tc>
                <w:tcPr>
                  <w:tcW w:w="1073" w:type="dxa"/>
                  <w:vMerge w:val="continue"/>
                  <w:noWrap w:val="0"/>
                  <w:vAlign w:val="center"/>
                </w:tcPr>
                <w:p w14:paraId="65F2FC39">
                  <w:pPr>
                    <w:pStyle w:val="80"/>
                    <w:tabs>
                      <w:tab w:val="clear" w:pos="0"/>
                    </w:tabs>
                    <w:spacing w:line="240" w:lineRule="exact"/>
                    <w:jc w:val="center"/>
                    <w:rPr>
                      <w:rFonts w:hint="eastAsia" w:eastAsia="宋体"/>
                      <w:sz w:val="21"/>
                      <w:szCs w:val="21"/>
                    </w:rPr>
                  </w:pPr>
                </w:p>
              </w:tc>
              <w:tc>
                <w:tcPr>
                  <w:tcW w:w="5050" w:type="dxa"/>
                  <w:noWrap w:val="0"/>
                  <w:vAlign w:val="center"/>
                </w:tcPr>
                <w:p w14:paraId="65C83391">
                  <w:pPr>
                    <w:spacing w:line="240" w:lineRule="exact"/>
                    <w:jc w:val="center"/>
                    <w:rPr>
                      <w:rFonts w:hint="default"/>
                      <w:b/>
                      <w:bCs/>
                      <w:szCs w:val="21"/>
                      <w:lang w:val="en-US" w:eastAsia="zh-CN"/>
                    </w:rPr>
                  </w:pPr>
                  <w:r>
                    <w:rPr>
                      <w:rFonts w:hint="eastAsia" w:eastAsia="宋体"/>
                      <w:b/>
                      <w:bCs/>
                      <w:color w:val="auto"/>
                      <w:kern w:val="2"/>
                      <w:sz w:val="21"/>
                      <w:szCs w:val="21"/>
                      <w:highlight w:val="none"/>
                      <w:lang w:val="en-US" w:eastAsia="zh-CN"/>
                    </w:rPr>
                    <w:t>③导热油炉燃烧废气：</w:t>
                  </w:r>
                  <w:r>
                    <w:rPr>
                      <w:rFonts w:hint="eastAsia"/>
                      <w:color w:val="auto"/>
                      <w:kern w:val="2"/>
                      <w:sz w:val="21"/>
                      <w:szCs w:val="21"/>
                      <w:highlight w:val="none"/>
                      <w:lang w:val="en-US" w:eastAsia="zh-CN"/>
                    </w:rPr>
                    <w:t>经收集后由</w:t>
                  </w:r>
                  <w:r>
                    <w:rPr>
                      <w:rFonts w:hint="eastAsia" w:eastAsia="宋体"/>
                      <w:b w:val="0"/>
                      <w:bCs w:val="0"/>
                      <w:color w:val="auto"/>
                      <w:kern w:val="2"/>
                      <w:sz w:val="21"/>
                      <w:szCs w:val="21"/>
                      <w:highlight w:val="none"/>
                      <w:lang w:val="en-US" w:eastAsia="zh-CN"/>
                    </w:rPr>
                    <w:t>1</w:t>
                  </w:r>
                  <w:r>
                    <w:rPr>
                      <w:rFonts w:hint="eastAsia"/>
                      <w:b w:val="0"/>
                      <w:bCs w:val="0"/>
                      <w:color w:val="auto"/>
                      <w:kern w:val="2"/>
                      <w:sz w:val="21"/>
                      <w:szCs w:val="21"/>
                      <w:highlight w:val="none"/>
                      <w:lang w:val="en-US" w:eastAsia="zh-CN"/>
                    </w:rPr>
                    <w:t>3</w:t>
                  </w:r>
                  <w:r>
                    <w:rPr>
                      <w:rFonts w:hint="eastAsia" w:eastAsia="宋体"/>
                      <w:b w:val="0"/>
                      <w:bCs w:val="0"/>
                      <w:color w:val="auto"/>
                      <w:kern w:val="2"/>
                      <w:sz w:val="21"/>
                      <w:szCs w:val="21"/>
                      <w:highlight w:val="none"/>
                      <w:lang w:val="en-US" w:eastAsia="zh-CN"/>
                    </w:rPr>
                    <w:t>m高排气筒（DA00</w:t>
                  </w:r>
                  <w:r>
                    <w:rPr>
                      <w:rFonts w:hint="eastAsia"/>
                      <w:b w:val="0"/>
                      <w:bCs w:val="0"/>
                      <w:color w:val="auto"/>
                      <w:kern w:val="2"/>
                      <w:sz w:val="21"/>
                      <w:szCs w:val="21"/>
                      <w:highlight w:val="none"/>
                      <w:lang w:val="en-US" w:eastAsia="zh-CN"/>
                    </w:rPr>
                    <w:t>2</w:t>
                  </w:r>
                  <w:r>
                    <w:rPr>
                      <w:rFonts w:hint="eastAsia" w:eastAsia="宋体"/>
                      <w:b w:val="0"/>
                      <w:bCs w:val="0"/>
                      <w:color w:val="auto"/>
                      <w:kern w:val="2"/>
                      <w:sz w:val="21"/>
                      <w:szCs w:val="21"/>
                      <w:highlight w:val="none"/>
                      <w:lang w:val="en-US" w:eastAsia="zh-CN"/>
                    </w:rPr>
                    <w:t>）</w:t>
                  </w:r>
                  <w:r>
                    <w:rPr>
                      <w:rFonts w:hint="eastAsia"/>
                      <w:b w:val="0"/>
                      <w:bCs w:val="0"/>
                      <w:color w:val="auto"/>
                      <w:kern w:val="2"/>
                      <w:sz w:val="21"/>
                      <w:szCs w:val="21"/>
                      <w:highlight w:val="none"/>
                      <w:lang w:val="en-US" w:eastAsia="zh-CN"/>
                    </w:rPr>
                    <w:t>排放</w:t>
                  </w:r>
                  <w:r>
                    <w:rPr>
                      <w:rFonts w:hint="eastAsia" w:eastAsia="宋体"/>
                      <w:b w:val="0"/>
                      <w:bCs w:val="0"/>
                      <w:color w:val="auto"/>
                      <w:kern w:val="2"/>
                      <w:sz w:val="21"/>
                      <w:szCs w:val="21"/>
                      <w:highlight w:val="none"/>
                      <w:lang w:val="en-US" w:eastAsia="zh-CN"/>
                    </w:rPr>
                    <w:t>。</w:t>
                  </w:r>
                </w:p>
              </w:tc>
              <w:tc>
                <w:tcPr>
                  <w:tcW w:w="1177" w:type="dxa"/>
                  <w:noWrap w:val="0"/>
                  <w:vAlign w:val="center"/>
                </w:tcPr>
                <w:p w14:paraId="2EE3E3BC">
                  <w:pPr>
                    <w:spacing w:line="240" w:lineRule="exact"/>
                    <w:jc w:val="center"/>
                    <w:rPr>
                      <w:rFonts w:hint="eastAsia" w:eastAsia="宋体"/>
                      <w:szCs w:val="21"/>
                      <w:lang w:val="en-US" w:eastAsia="zh-CN"/>
                    </w:rPr>
                  </w:pPr>
                  <w:r>
                    <w:rPr>
                      <w:rFonts w:hint="eastAsia"/>
                      <w:szCs w:val="21"/>
                      <w:lang w:val="en-US" w:eastAsia="zh-CN"/>
                    </w:rPr>
                    <w:t>/</w:t>
                  </w:r>
                </w:p>
              </w:tc>
            </w:tr>
            <w:tr w14:paraId="7F8157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3" w:type="dxa"/>
                  <w:vMerge w:val="continue"/>
                  <w:noWrap w:val="0"/>
                  <w:vAlign w:val="center"/>
                </w:tcPr>
                <w:p w14:paraId="67C86245">
                  <w:pPr>
                    <w:pStyle w:val="80"/>
                    <w:tabs>
                      <w:tab w:val="clear" w:pos="0"/>
                    </w:tabs>
                    <w:spacing w:line="240" w:lineRule="exact"/>
                    <w:jc w:val="center"/>
                    <w:rPr>
                      <w:rFonts w:eastAsia="宋体"/>
                      <w:sz w:val="21"/>
                      <w:szCs w:val="21"/>
                    </w:rPr>
                  </w:pPr>
                </w:p>
              </w:tc>
              <w:tc>
                <w:tcPr>
                  <w:tcW w:w="1073" w:type="dxa"/>
                  <w:vMerge w:val="continue"/>
                  <w:noWrap w:val="0"/>
                  <w:vAlign w:val="center"/>
                </w:tcPr>
                <w:p w14:paraId="4EE4EC1D">
                  <w:pPr>
                    <w:pStyle w:val="80"/>
                    <w:tabs>
                      <w:tab w:val="clear" w:pos="0"/>
                    </w:tabs>
                    <w:spacing w:line="240" w:lineRule="exact"/>
                    <w:jc w:val="center"/>
                    <w:rPr>
                      <w:rFonts w:hint="eastAsia" w:eastAsia="宋体"/>
                      <w:sz w:val="21"/>
                      <w:szCs w:val="21"/>
                    </w:rPr>
                  </w:pPr>
                </w:p>
              </w:tc>
              <w:tc>
                <w:tcPr>
                  <w:tcW w:w="5050" w:type="dxa"/>
                  <w:noWrap w:val="0"/>
                  <w:vAlign w:val="center"/>
                </w:tcPr>
                <w:p w14:paraId="0F39E8F3">
                  <w:pPr>
                    <w:spacing w:line="240" w:lineRule="exact"/>
                    <w:jc w:val="center"/>
                    <w:rPr>
                      <w:rFonts w:hint="eastAsia" w:eastAsia="宋体"/>
                      <w:b/>
                      <w:bCs/>
                      <w:color w:val="auto"/>
                      <w:kern w:val="2"/>
                      <w:sz w:val="21"/>
                      <w:szCs w:val="21"/>
                      <w:highlight w:val="none"/>
                      <w:lang w:val="en-US" w:eastAsia="zh-CN"/>
                    </w:rPr>
                  </w:pPr>
                  <w:r>
                    <w:rPr>
                      <w:rFonts w:hint="eastAsia"/>
                      <w:b/>
                      <w:bCs/>
                      <w:color w:val="auto"/>
                      <w:kern w:val="2"/>
                      <w:sz w:val="21"/>
                      <w:szCs w:val="21"/>
                      <w:highlight w:val="none"/>
                      <w:lang w:val="en-US" w:eastAsia="zh-CN"/>
                    </w:rPr>
                    <w:t>④粉料</w:t>
                  </w:r>
                  <w:r>
                    <w:rPr>
                      <w:rFonts w:hint="eastAsia" w:eastAsia="宋体"/>
                      <w:b/>
                      <w:bCs/>
                      <w:color w:val="auto"/>
                      <w:kern w:val="2"/>
                      <w:sz w:val="21"/>
                      <w:szCs w:val="21"/>
                      <w:highlight w:val="none"/>
                      <w:lang w:val="en-US" w:eastAsia="zh-CN"/>
                    </w:rPr>
                    <w:t>筒仓粉尘：</w:t>
                  </w:r>
                  <w:r>
                    <w:rPr>
                      <w:rFonts w:hint="eastAsia" w:eastAsia="宋体"/>
                      <w:b w:val="0"/>
                      <w:bCs w:val="0"/>
                      <w:color w:val="auto"/>
                      <w:kern w:val="2"/>
                      <w:sz w:val="21"/>
                      <w:szCs w:val="21"/>
                      <w:highlight w:val="none"/>
                      <w:lang w:val="en-US" w:eastAsia="zh-CN"/>
                    </w:rPr>
                    <w:t>经筒仓顶部自带的除尘器处理后</w:t>
                  </w:r>
                  <w:r>
                    <w:rPr>
                      <w:rFonts w:hint="eastAsia"/>
                      <w:b w:val="0"/>
                      <w:bCs w:val="0"/>
                      <w:color w:val="auto"/>
                      <w:kern w:val="2"/>
                      <w:sz w:val="21"/>
                      <w:szCs w:val="21"/>
                      <w:highlight w:val="none"/>
                      <w:lang w:val="en-US" w:eastAsia="zh-CN"/>
                    </w:rPr>
                    <w:t>在</w:t>
                  </w:r>
                  <w:r>
                    <w:rPr>
                      <w:rFonts w:hint="eastAsia" w:eastAsia="宋体"/>
                      <w:b w:val="0"/>
                      <w:bCs w:val="0"/>
                      <w:color w:val="auto"/>
                      <w:kern w:val="2"/>
                      <w:sz w:val="21"/>
                      <w:szCs w:val="21"/>
                      <w:highlight w:val="none"/>
                      <w:lang w:val="en-US" w:eastAsia="zh-CN"/>
                    </w:rPr>
                    <w:t>车间呈无组织排放。</w:t>
                  </w:r>
                </w:p>
              </w:tc>
              <w:tc>
                <w:tcPr>
                  <w:tcW w:w="1177" w:type="dxa"/>
                  <w:noWrap w:val="0"/>
                  <w:vAlign w:val="center"/>
                </w:tcPr>
                <w:p w14:paraId="63D27100">
                  <w:pPr>
                    <w:spacing w:line="240" w:lineRule="exact"/>
                    <w:jc w:val="center"/>
                    <w:rPr>
                      <w:rFonts w:hint="default"/>
                      <w:szCs w:val="21"/>
                      <w:lang w:val="en-US" w:eastAsia="zh-CN"/>
                    </w:rPr>
                  </w:pPr>
                  <w:r>
                    <w:rPr>
                      <w:rFonts w:hint="eastAsia"/>
                      <w:szCs w:val="21"/>
                      <w:lang w:val="en-US" w:eastAsia="zh-CN"/>
                    </w:rPr>
                    <w:t>/</w:t>
                  </w:r>
                </w:p>
              </w:tc>
            </w:tr>
            <w:tr w14:paraId="0634F5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3" w:type="dxa"/>
                  <w:vMerge w:val="continue"/>
                  <w:noWrap w:val="0"/>
                  <w:vAlign w:val="center"/>
                </w:tcPr>
                <w:p w14:paraId="6D78216D">
                  <w:pPr>
                    <w:pStyle w:val="80"/>
                    <w:tabs>
                      <w:tab w:val="clear" w:pos="0"/>
                    </w:tabs>
                    <w:spacing w:line="240" w:lineRule="exact"/>
                    <w:jc w:val="center"/>
                    <w:rPr>
                      <w:rFonts w:eastAsia="宋体"/>
                      <w:sz w:val="21"/>
                      <w:szCs w:val="21"/>
                    </w:rPr>
                  </w:pPr>
                </w:p>
              </w:tc>
              <w:tc>
                <w:tcPr>
                  <w:tcW w:w="1073" w:type="dxa"/>
                  <w:vMerge w:val="continue"/>
                  <w:noWrap w:val="0"/>
                  <w:vAlign w:val="center"/>
                </w:tcPr>
                <w:p w14:paraId="58AEFA9D">
                  <w:pPr>
                    <w:pStyle w:val="80"/>
                    <w:tabs>
                      <w:tab w:val="clear" w:pos="0"/>
                    </w:tabs>
                    <w:spacing w:line="240" w:lineRule="exact"/>
                    <w:jc w:val="center"/>
                    <w:rPr>
                      <w:rFonts w:hint="eastAsia" w:eastAsia="宋体"/>
                      <w:sz w:val="21"/>
                      <w:szCs w:val="21"/>
                    </w:rPr>
                  </w:pPr>
                </w:p>
              </w:tc>
              <w:tc>
                <w:tcPr>
                  <w:tcW w:w="5050" w:type="dxa"/>
                  <w:noWrap w:val="0"/>
                  <w:vAlign w:val="center"/>
                </w:tcPr>
                <w:p w14:paraId="0E7661EF">
                  <w:pPr>
                    <w:spacing w:line="240" w:lineRule="exact"/>
                    <w:jc w:val="center"/>
                    <w:rPr>
                      <w:rFonts w:hint="default" w:eastAsia="黑体"/>
                      <w:lang w:val="en-US" w:eastAsia="zh-CN"/>
                    </w:rPr>
                  </w:pPr>
                  <w:r>
                    <w:rPr>
                      <w:rFonts w:hint="eastAsia" w:eastAsia="宋体"/>
                      <w:b/>
                      <w:bCs/>
                      <w:color w:val="auto"/>
                      <w:kern w:val="2"/>
                      <w:sz w:val="21"/>
                      <w:szCs w:val="21"/>
                      <w:lang w:val="en-US" w:eastAsia="zh-CN"/>
                    </w:rPr>
                    <w:t>⑤生产检测中心有机废气：</w:t>
                  </w:r>
                  <w:r>
                    <w:rPr>
                      <w:rFonts w:hint="eastAsia" w:eastAsia="宋体"/>
                      <w:b w:val="0"/>
                      <w:bCs w:val="0"/>
                      <w:color w:val="auto"/>
                      <w:kern w:val="2"/>
                      <w:sz w:val="21"/>
                      <w:szCs w:val="21"/>
                      <w:lang w:val="en-US" w:eastAsia="zh-CN"/>
                    </w:rPr>
                    <w:t>加强通风。</w:t>
                  </w:r>
                </w:p>
              </w:tc>
              <w:tc>
                <w:tcPr>
                  <w:tcW w:w="1177" w:type="dxa"/>
                  <w:noWrap w:val="0"/>
                  <w:vAlign w:val="center"/>
                </w:tcPr>
                <w:p w14:paraId="0F9A8B82">
                  <w:pPr>
                    <w:spacing w:line="240" w:lineRule="exact"/>
                    <w:jc w:val="center"/>
                    <w:rPr>
                      <w:rFonts w:hint="eastAsia"/>
                      <w:szCs w:val="21"/>
                    </w:rPr>
                  </w:pPr>
                  <w:r>
                    <w:rPr>
                      <w:rFonts w:hint="eastAsia"/>
                      <w:szCs w:val="21"/>
                    </w:rPr>
                    <w:t>/</w:t>
                  </w:r>
                </w:p>
              </w:tc>
            </w:tr>
            <w:tr w14:paraId="0B05C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3" w:type="dxa"/>
                  <w:vMerge w:val="continue"/>
                  <w:noWrap w:val="0"/>
                  <w:vAlign w:val="center"/>
                </w:tcPr>
                <w:p w14:paraId="0B7C0E9A">
                  <w:pPr>
                    <w:pStyle w:val="80"/>
                    <w:tabs>
                      <w:tab w:val="clear" w:pos="0"/>
                    </w:tabs>
                    <w:spacing w:line="240" w:lineRule="exact"/>
                    <w:jc w:val="center"/>
                    <w:rPr>
                      <w:rFonts w:eastAsia="宋体"/>
                      <w:sz w:val="21"/>
                      <w:szCs w:val="21"/>
                    </w:rPr>
                  </w:pPr>
                </w:p>
              </w:tc>
              <w:tc>
                <w:tcPr>
                  <w:tcW w:w="1073" w:type="dxa"/>
                  <w:vMerge w:val="continue"/>
                  <w:noWrap w:val="0"/>
                  <w:vAlign w:val="center"/>
                </w:tcPr>
                <w:p w14:paraId="56CEC74A">
                  <w:pPr>
                    <w:pStyle w:val="80"/>
                    <w:tabs>
                      <w:tab w:val="clear" w:pos="0"/>
                    </w:tabs>
                    <w:spacing w:line="240" w:lineRule="exact"/>
                    <w:jc w:val="center"/>
                    <w:rPr>
                      <w:rFonts w:hint="eastAsia" w:eastAsia="宋体"/>
                      <w:sz w:val="21"/>
                      <w:szCs w:val="21"/>
                    </w:rPr>
                  </w:pPr>
                </w:p>
              </w:tc>
              <w:tc>
                <w:tcPr>
                  <w:tcW w:w="5050" w:type="dxa"/>
                  <w:shd w:val="clear" w:color="auto" w:fill="auto"/>
                  <w:noWrap w:val="0"/>
                  <w:vAlign w:val="center"/>
                </w:tcPr>
                <w:p w14:paraId="419BA4D7">
                  <w:pPr>
                    <w:pStyle w:val="3"/>
                    <w:snapToGrid/>
                    <w:spacing w:before="0" w:after="0" w:line="240" w:lineRule="exact"/>
                    <w:ind w:left="0" w:leftChars="0" w:firstLine="0" w:firstLineChars="0"/>
                    <w:jc w:val="center"/>
                    <w:rPr>
                      <w:rFonts w:hint="eastAsia" w:ascii="Times New Roman" w:hAnsi="Times New Roman" w:eastAsia="宋体" w:cs="Times New Roman"/>
                      <w:b/>
                      <w:bCs/>
                      <w:color w:val="auto"/>
                      <w:kern w:val="2"/>
                      <w:sz w:val="21"/>
                      <w:szCs w:val="21"/>
                      <w:lang w:val="en-US" w:eastAsia="zh-CN" w:bidi="ar-SA"/>
                    </w:rPr>
                  </w:pPr>
                  <w:r>
                    <w:rPr>
                      <w:rFonts w:hint="eastAsia" w:eastAsia="宋体" w:cs="Times New Roman"/>
                      <w:b/>
                      <w:bCs/>
                      <w:color w:val="auto"/>
                      <w:kern w:val="2"/>
                      <w:sz w:val="21"/>
                      <w:szCs w:val="21"/>
                      <w:lang w:val="en-US" w:eastAsia="zh-CN" w:bidi="ar-SA"/>
                    </w:rPr>
                    <w:t>⑥骨料上料粉尘：</w:t>
                  </w:r>
                  <w:r>
                    <w:rPr>
                      <w:rFonts w:hint="eastAsia" w:eastAsia="宋体" w:cs="Times New Roman"/>
                      <w:b w:val="0"/>
                      <w:bCs w:val="0"/>
                      <w:color w:val="auto"/>
                      <w:kern w:val="2"/>
                      <w:sz w:val="21"/>
                      <w:szCs w:val="21"/>
                      <w:lang w:val="en-US" w:eastAsia="zh-CN" w:bidi="ar-SA"/>
                    </w:rPr>
                    <w:t>冷料斗半密闭设置，设置顶棚及三面围挡，仅预留物料上料口，上料口设置喷雾降尘装置，原料投入冷料斗后通过密闭皮带机输送至烘干系统。投料粉尘经喷雾降尘后无组织排放。</w:t>
                  </w:r>
                </w:p>
              </w:tc>
              <w:tc>
                <w:tcPr>
                  <w:tcW w:w="1177" w:type="dxa"/>
                  <w:noWrap w:val="0"/>
                  <w:vAlign w:val="center"/>
                </w:tcPr>
                <w:p w14:paraId="26B0B535">
                  <w:pPr>
                    <w:spacing w:line="240" w:lineRule="exact"/>
                    <w:jc w:val="center"/>
                    <w:rPr>
                      <w:rFonts w:hint="eastAsia" w:eastAsia="宋体"/>
                      <w:szCs w:val="21"/>
                      <w:lang w:val="en-US" w:eastAsia="zh-CN"/>
                    </w:rPr>
                  </w:pPr>
                  <w:r>
                    <w:rPr>
                      <w:rFonts w:hint="eastAsia"/>
                      <w:szCs w:val="21"/>
                      <w:lang w:val="en-US" w:eastAsia="zh-CN"/>
                    </w:rPr>
                    <w:t>/</w:t>
                  </w:r>
                </w:p>
              </w:tc>
            </w:tr>
            <w:tr w14:paraId="346E7F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3" w:type="dxa"/>
                  <w:vMerge w:val="continue"/>
                  <w:noWrap w:val="0"/>
                  <w:vAlign w:val="center"/>
                </w:tcPr>
                <w:p w14:paraId="6A61DA60">
                  <w:pPr>
                    <w:pStyle w:val="80"/>
                    <w:tabs>
                      <w:tab w:val="clear" w:pos="0"/>
                    </w:tabs>
                    <w:spacing w:line="240" w:lineRule="exact"/>
                    <w:jc w:val="center"/>
                    <w:rPr>
                      <w:rFonts w:eastAsia="宋体"/>
                      <w:sz w:val="21"/>
                      <w:szCs w:val="21"/>
                    </w:rPr>
                  </w:pPr>
                </w:p>
              </w:tc>
              <w:tc>
                <w:tcPr>
                  <w:tcW w:w="1073" w:type="dxa"/>
                  <w:vMerge w:val="continue"/>
                  <w:noWrap w:val="0"/>
                  <w:vAlign w:val="center"/>
                </w:tcPr>
                <w:p w14:paraId="533341DA">
                  <w:pPr>
                    <w:pStyle w:val="80"/>
                    <w:tabs>
                      <w:tab w:val="clear" w:pos="0"/>
                    </w:tabs>
                    <w:spacing w:line="240" w:lineRule="exact"/>
                    <w:jc w:val="center"/>
                    <w:rPr>
                      <w:rFonts w:hint="eastAsia" w:eastAsia="宋体"/>
                      <w:sz w:val="21"/>
                      <w:szCs w:val="21"/>
                    </w:rPr>
                  </w:pPr>
                </w:p>
              </w:tc>
              <w:tc>
                <w:tcPr>
                  <w:tcW w:w="5050" w:type="dxa"/>
                  <w:shd w:val="clear" w:color="auto" w:fill="auto"/>
                  <w:noWrap w:val="0"/>
                  <w:vAlign w:val="center"/>
                </w:tcPr>
                <w:p w14:paraId="398E6C26">
                  <w:pPr>
                    <w:pStyle w:val="3"/>
                    <w:snapToGrid/>
                    <w:spacing w:before="0" w:after="0" w:line="240" w:lineRule="exact"/>
                    <w:ind w:left="0" w:leftChars="0" w:firstLine="0" w:firstLineChars="0"/>
                    <w:jc w:val="center"/>
                    <w:rPr>
                      <w:rFonts w:hint="eastAsia" w:ascii="Times New Roman" w:hAnsi="Times New Roman" w:eastAsia="宋体" w:cs="Times New Roman"/>
                      <w:b/>
                      <w:bCs/>
                      <w:color w:val="auto"/>
                      <w:kern w:val="2"/>
                      <w:sz w:val="21"/>
                      <w:szCs w:val="21"/>
                      <w:lang w:val="en-US" w:eastAsia="zh-CN" w:bidi="ar-SA"/>
                    </w:rPr>
                  </w:pPr>
                  <w:r>
                    <w:rPr>
                      <w:rFonts w:hint="eastAsia" w:eastAsia="宋体"/>
                      <w:color w:val="auto"/>
                      <w:kern w:val="2"/>
                      <w:sz w:val="21"/>
                      <w:szCs w:val="21"/>
                      <w:lang w:val="en-US" w:eastAsia="zh-CN"/>
                    </w:rPr>
                    <w:t>⑦骨料卸料、骨料仓堆场粉尘：</w:t>
                  </w:r>
                  <w:r>
                    <w:rPr>
                      <w:rFonts w:hint="eastAsia" w:eastAsia="宋体"/>
                      <w:b w:val="0"/>
                      <w:bCs w:val="0"/>
                      <w:color w:val="auto"/>
                      <w:kern w:val="2"/>
                      <w:sz w:val="21"/>
                      <w:szCs w:val="21"/>
                      <w:lang w:val="en-US" w:eastAsia="zh-CN"/>
                    </w:rPr>
                    <w:t>骨料仓为水泥硬化地面，为半封闭结构，上方均设置顶棚，三面围挡，卸料、上料一侧不设围墙，设置防风帘，供运输车辆出入，骨料仓设置有雾化水喷淋系统。</w:t>
                  </w:r>
                </w:p>
              </w:tc>
              <w:tc>
                <w:tcPr>
                  <w:tcW w:w="1177" w:type="dxa"/>
                  <w:noWrap w:val="0"/>
                  <w:vAlign w:val="center"/>
                </w:tcPr>
                <w:p w14:paraId="35ABA678">
                  <w:pPr>
                    <w:spacing w:line="240" w:lineRule="exact"/>
                    <w:jc w:val="center"/>
                    <w:rPr>
                      <w:rFonts w:hint="eastAsia" w:eastAsia="宋体"/>
                      <w:szCs w:val="21"/>
                      <w:lang w:val="en-US" w:eastAsia="zh-CN"/>
                    </w:rPr>
                  </w:pPr>
                  <w:r>
                    <w:rPr>
                      <w:rFonts w:hint="eastAsia"/>
                      <w:szCs w:val="21"/>
                      <w:lang w:val="en-US" w:eastAsia="zh-CN"/>
                    </w:rPr>
                    <w:t>/</w:t>
                  </w:r>
                </w:p>
              </w:tc>
            </w:tr>
            <w:tr w14:paraId="7724C1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3" w:type="dxa"/>
                  <w:vMerge w:val="continue"/>
                  <w:noWrap w:val="0"/>
                  <w:vAlign w:val="center"/>
                </w:tcPr>
                <w:p w14:paraId="552A9BD4">
                  <w:pPr>
                    <w:pStyle w:val="80"/>
                    <w:tabs>
                      <w:tab w:val="clear" w:pos="0"/>
                    </w:tabs>
                    <w:spacing w:line="240" w:lineRule="exact"/>
                    <w:jc w:val="center"/>
                    <w:rPr>
                      <w:rFonts w:eastAsia="宋体"/>
                      <w:sz w:val="21"/>
                      <w:szCs w:val="21"/>
                    </w:rPr>
                  </w:pPr>
                </w:p>
              </w:tc>
              <w:tc>
                <w:tcPr>
                  <w:tcW w:w="1073" w:type="dxa"/>
                  <w:vMerge w:val="continue"/>
                  <w:noWrap w:val="0"/>
                  <w:vAlign w:val="center"/>
                </w:tcPr>
                <w:p w14:paraId="07D63BA3">
                  <w:pPr>
                    <w:pStyle w:val="80"/>
                    <w:tabs>
                      <w:tab w:val="clear" w:pos="0"/>
                    </w:tabs>
                    <w:spacing w:line="240" w:lineRule="exact"/>
                    <w:jc w:val="center"/>
                    <w:rPr>
                      <w:rFonts w:hint="eastAsia" w:eastAsia="宋体"/>
                      <w:sz w:val="21"/>
                      <w:szCs w:val="21"/>
                    </w:rPr>
                  </w:pPr>
                </w:p>
              </w:tc>
              <w:tc>
                <w:tcPr>
                  <w:tcW w:w="5050" w:type="dxa"/>
                  <w:shd w:val="clear" w:color="auto" w:fill="auto"/>
                  <w:noWrap w:val="0"/>
                  <w:vAlign w:val="center"/>
                </w:tcPr>
                <w:p w14:paraId="2DD67940">
                  <w:pPr>
                    <w:pStyle w:val="3"/>
                    <w:snapToGrid/>
                    <w:spacing w:before="0" w:after="0" w:line="240" w:lineRule="exact"/>
                    <w:ind w:left="0" w:leftChars="0" w:firstLine="0" w:firstLineChars="0"/>
                    <w:jc w:val="center"/>
                    <w:rPr>
                      <w:rFonts w:hint="default" w:eastAsia="宋体"/>
                      <w:color w:val="auto"/>
                      <w:kern w:val="2"/>
                      <w:sz w:val="21"/>
                      <w:szCs w:val="21"/>
                      <w:lang w:val="en-US" w:eastAsia="zh-CN"/>
                    </w:rPr>
                  </w:pPr>
                  <w:r>
                    <w:rPr>
                      <w:rFonts w:hint="eastAsia" w:eastAsia="宋体"/>
                      <w:color w:val="auto"/>
                      <w:kern w:val="2"/>
                      <w:sz w:val="21"/>
                      <w:szCs w:val="21"/>
                      <w:lang w:val="en-US" w:eastAsia="zh-CN"/>
                    </w:rPr>
                    <w:t>⑧车辆运输扬尘：</w:t>
                  </w:r>
                  <w:r>
                    <w:rPr>
                      <w:rFonts w:hint="eastAsia" w:eastAsia="宋体"/>
                      <w:b w:val="0"/>
                      <w:bCs w:val="0"/>
                      <w:color w:val="auto"/>
                      <w:kern w:val="2"/>
                      <w:sz w:val="21"/>
                      <w:szCs w:val="21"/>
                      <w:lang w:val="en-US" w:eastAsia="zh-CN"/>
                    </w:rPr>
                    <w:t>厂区地面硬化、定期清扫、厂区进出口设置车辆清洗平台、设置炮雾机对厂区道路进行雾化水喷淋降尘，车辆运输过程均采用篷布遮挡。</w:t>
                  </w:r>
                </w:p>
              </w:tc>
              <w:tc>
                <w:tcPr>
                  <w:tcW w:w="1177" w:type="dxa"/>
                  <w:noWrap w:val="0"/>
                  <w:vAlign w:val="center"/>
                </w:tcPr>
                <w:p w14:paraId="5F2DBC9D">
                  <w:pPr>
                    <w:spacing w:line="240" w:lineRule="exact"/>
                    <w:jc w:val="center"/>
                    <w:rPr>
                      <w:rFonts w:hint="default"/>
                      <w:szCs w:val="21"/>
                      <w:lang w:val="en-US" w:eastAsia="zh-CN"/>
                    </w:rPr>
                  </w:pPr>
                  <w:r>
                    <w:rPr>
                      <w:rFonts w:hint="eastAsia"/>
                      <w:szCs w:val="21"/>
                      <w:lang w:val="en-US" w:eastAsia="zh-CN"/>
                    </w:rPr>
                    <w:t>/</w:t>
                  </w:r>
                </w:p>
              </w:tc>
            </w:tr>
            <w:tr w14:paraId="130B0F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3" w:type="dxa"/>
                  <w:vMerge w:val="continue"/>
                  <w:noWrap w:val="0"/>
                  <w:vAlign w:val="center"/>
                </w:tcPr>
                <w:p w14:paraId="38BA927F">
                  <w:pPr>
                    <w:pStyle w:val="80"/>
                    <w:tabs>
                      <w:tab w:val="clear" w:pos="0"/>
                    </w:tabs>
                    <w:spacing w:line="240" w:lineRule="exact"/>
                    <w:jc w:val="center"/>
                    <w:rPr>
                      <w:rFonts w:eastAsia="宋体"/>
                      <w:sz w:val="21"/>
                      <w:szCs w:val="21"/>
                    </w:rPr>
                  </w:pPr>
                </w:p>
              </w:tc>
              <w:tc>
                <w:tcPr>
                  <w:tcW w:w="1073" w:type="dxa"/>
                  <w:noWrap w:val="0"/>
                  <w:vAlign w:val="center"/>
                </w:tcPr>
                <w:p w14:paraId="01C61625">
                  <w:pPr>
                    <w:pStyle w:val="80"/>
                    <w:tabs>
                      <w:tab w:val="clear" w:pos="0"/>
                    </w:tabs>
                    <w:spacing w:line="240" w:lineRule="exact"/>
                    <w:jc w:val="center"/>
                    <w:rPr>
                      <w:rFonts w:hint="eastAsia" w:eastAsia="宋体"/>
                      <w:sz w:val="21"/>
                      <w:szCs w:val="21"/>
                      <w:lang w:val="en-US" w:eastAsia="zh-CN"/>
                    </w:rPr>
                  </w:pPr>
                  <w:r>
                    <w:rPr>
                      <w:rFonts w:hint="eastAsia" w:eastAsia="宋体"/>
                      <w:sz w:val="21"/>
                      <w:szCs w:val="21"/>
                      <w:lang w:val="en-US" w:eastAsia="zh-CN"/>
                    </w:rPr>
                    <w:t>一般固废</w:t>
                  </w:r>
                </w:p>
              </w:tc>
              <w:tc>
                <w:tcPr>
                  <w:tcW w:w="5050" w:type="dxa"/>
                  <w:noWrap w:val="0"/>
                  <w:vAlign w:val="center"/>
                </w:tcPr>
                <w:p w14:paraId="73382D75">
                  <w:pPr>
                    <w:spacing w:line="240" w:lineRule="exact"/>
                    <w:jc w:val="center"/>
                    <w:rPr>
                      <w:rFonts w:hint="default" w:eastAsia="宋体"/>
                      <w:szCs w:val="21"/>
                      <w:lang w:val="en-US" w:eastAsia="zh-CN"/>
                    </w:rPr>
                  </w:pPr>
                  <w:r>
                    <w:rPr>
                      <w:rFonts w:hint="default" w:eastAsia="宋体"/>
                      <w:szCs w:val="21"/>
                      <w:lang w:val="en-US" w:eastAsia="zh-CN"/>
                    </w:rPr>
                    <w:t>筛分废料由骨料供应商回收；拌合残渣、废沥青、沥青混凝土、除尘器收尘、车间内沉降粉尘暂存于再生料仓内，作为原料返回生产线使用。沉淀池沉渣定期清掏，办公区设置垃圾桶分类收集生活垃圾，沉淀池沉渣、生活垃圾统一收集后由环卫部门清运。</w:t>
                  </w:r>
                </w:p>
              </w:tc>
              <w:tc>
                <w:tcPr>
                  <w:tcW w:w="1177" w:type="dxa"/>
                  <w:noWrap w:val="0"/>
                  <w:vAlign w:val="center"/>
                </w:tcPr>
                <w:p w14:paraId="4041A5C5">
                  <w:pPr>
                    <w:spacing w:line="240" w:lineRule="exact"/>
                    <w:jc w:val="center"/>
                    <w:rPr>
                      <w:rFonts w:hint="eastAsia"/>
                      <w:szCs w:val="21"/>
                    </w:rPr>
                  </w:pPr>
                  <w:r>
                    <w:rPr>
                      <w:rFonts w:hint="eastAsia"/>
                      <w:szCs w:val="21"/>
                    </w:rPr>
                    <w:t>/</w:t>
                  </w:r>
                </w:p>
              </w:tc>
            </w:tr>
            <w:tr w14:paraId="6F2CC0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3" w:type="dxa"/>
                  <w:vMerge w:val="continue"/>
                  <w:noWrap w:val="0"/>
                  <w:vAlign w:val="center"/>
                </w:tcPr>
                <w:p w14:paraId="6E86D9A4">
                  <w:pPr>
                    <w:pStyle w:val="80"/>
                    <w:tabs>
                      <w:tab w:val="clear" w:pos="0"/>
                    </w:tabs>
                    <w:spacing w:line="240" w:lineRule="exact"/>
                    <w:jc w:val="center"/>
                    <w:rPr>
                      <w:rFonts w:eastAsia="宋体"/>
                      <w:sz w:val="21"/>
                      <w:szCs w:val="21"/>
                    </w:rPr>
                  </w:pPr>
                </w:p>
              </w:tc>
              <w:tc>
                <w:tcPr>
                  <w:tcW w:w="1073" w:type="dxa"/>
                  <w:noWrap w:val="0"/>
                  <w:vAlign w:val="center"/>
                </w:tcPr>
                <w:p w14:paraId="738C0219">
                  <w:pPr>
                    <w:pStyle w:val="80"/>
                    <w:tabs>
                      <w:tab w:val="clear" w:pos="0"/>
                    </w:tabs>
                    <w:spacing w:line="240" w:lineRule="exact"/>
                    <w:jc w:val="center"/>
                    <w:rPr>
                      <w:rFonts w:hint="default" w:eastAsia="宋体"/>
                      <w:sz w:val="21"/>
                      <w:szCs w:val="21"/>
                      <w:highlight w:val="yellow"/>
                      <w:lang w:val="en-US" w:eastAsia="zh-CN"/>
                    </w:rPr>
                  </w:pPr>
                  <w:r>
                    <w:rPr>
                      <w:rFonts w:hint="eastAsia" w:eastAsia="宋体"/>
                      <w:sz w:val="21"/>
                      <w:szCs w:val="21"/>
                      <w:highlight w:val="none"/>
                      <w:lang w:val="en-US" w:eastAsia="zh-CN"/>
                    </w:rPr>
                    <w:t>危险废物</w:t>
                  </w:r>
                </w:p>
              </w:tc>
              <w:tc>
                <w:tcPr>
                  <w:tcW w:w="5050" w:type="dxa"/>
                  <w:noWrap w:val="0"/>
                  <w:vAlign w:val="center"/>
                </w:tcPr>
                <w:p w14:paraId="71DD1ABD">
                  <w:pPr>
                    <w:spacing w:line="240" w:lineRule="exact"/>
                    <w:jc w:val="center"/>
                    <w:rPr>
                      <w:rFonts w:hint="default" w:eastAsia="宋体"/>
                      <w:szCs w:val="21"/>
                      <w:highlight w:val="yellow"/>
                      <w:lang w:val="en-US" w:eastAsia="zh-CN"/>
                    </w:rPr>
                  </w:pPr>
                  <w:r>
                    <w:rPr>
                      <w:rFonts w:hint="eastAsia"/>
                      <w:szCs w:val="21"/>
                      <w:lang w:val="en-US" w:eastAsia="zh-CN"/>
                    </w:rPr>
                    <w:t>设置</w:t>
                  </w:r>
                  <w:r>
                    <w:rPr>
                      <w:rFonts w:hint="default" w:eastAsia="宋体"/>
                      <w:szCs w:val="21"/>
                      <w:lang w:val="en-US" w:eastAsia="zh-CN"/>
                    </w:rPr>
                    <w:t>1间危废暂存间，位于</w:t>
                  </w:r>
                  <w:r>
                    <w:rPr>
                      <w:rFonts w:hint="eastAsia"/>
                      <w:szCs w:val="21"/>
                      <w:lang w:val="en-US" w:eastAsia="zh-CN"/>
                    </w:rPr>
                    <w:t>厂区西侧</w:t>
                  </w:r>
                  <w:r>
                    <w:rPr>
                      <w:rFonts w:hint="default" w:eastAsia="宋体"/>
                      <w:szCs w:val="21"/>
                      <w:lang w:val="en-US" w:eastAsia="zh-CN"/>
                    </w:rPr>
                    <w:t>，面积为</w:t>
                  </w:r>
                  <w:r>
                    <w:rPr>
                      <w:rFonts w:hint="eastAsia"/>
                      <w:szCs w:val="21"/>
                      <w:lang w:val="en-US" w:eastAsia="zh-CN"/>
                    </w:rPr>
                    <w:t>1</w:t>
                  </w:r>
                  <w:r>
                    <w:rPr>
                      <w:rFonts w:hint="default" w:eastAsia="宋体"/>
                      <w:szCs w:val="21"/>
                      <w:lang w:val="en-US" w:eastAsia="zh-CN"/>
                    </w:rPr>
                    <w:t>0m</w:t>
                  </w:r>
                  <w:r>
                    <w:rPr>
                      <w:rFonts w:hint="eastAsia"/>
                      <w:szCs w:val="21"/>
                      <w:vertAlign w:val="superscript"/>
                      <w:lang w:val="en-US" w:eastAsia="zh-CN"/>
                    </w:rPr>
                    <w:t>2</w:t>
                  </w:r>
                  <w:r>
                    <w:rPr>
                      <w:rFonts w:hint="eastAsia"/>
                      <w:szCs w:val="21"/>
                      <w:lang w:val="en-US" w:eastAsia="zh-CN"/>
                    </w:rPr>
                    <w:t>，</w:t>
                  </w:r>
                  <w:r>
                    <w:rPr>
                      <w:rFonts w:hint="default" w:eastAsia="宋体"/>
                      <w:szCs w:val="21"/>
                      <w:lang w:val="en-US" w:eastAsia="zh-CN"/>
                    </w:rPr>
                    <w:t>废机油、废导热油</w:t>
                  </w:r>
                  <w:r>
                    <w:rPr>
                      <w:rFonts w:hint="eastAsia"/>
                      <w:szCs w:val="21"/>
                      <w:lang w:val="en-US" w:eastAsia="zh-CN"/>
                    </w:rPr>
                    <w:t>等危险废物</w:t>
                  </w:r>
                  <w:r>
                    <w:rPr>
                      <w:rFonts w:hint="default" w:eastAsia="宋体"/>
                      <w:szCs w:val="21"/>
                      <w:lang w:val="en-US" w:eastAsia="zh-CN"/>
                    </w:rPr>
                    <w:t>暂存危废暂存间，定期交由资质单位处置</w:t>
                  </w:r>
                  <w:r>
                    <w:rPr>
                      <w:rFonts w:hint="eastAsia"/>
                      <w:szCs w:val="21"/>
                      <w:lang w:val="en-US" w:eastAsia="zh-CN"/>
                    </w:rPr>
                    <w:t>。</w:t>
                  </w:r>
                </w:p>
              </w:tc>
              <w:tc>
                <w:tcPr>
                  <w:tcW w:w="1177" w:type="dxa"/>
                  <w:noWrap w:val="0"/>
                  <w:vAlign w:val="center"/>
                </w:tcPr>
                <w:p w14:paraId="304C28EB">
                  <w:pPr>
                    <w:spacing w:line="240" w:lineRule="exact"/>
                    <w:jc w:val="center"/>
                    <w:rPr>
                      <w:rFonts w:hint="eastAsia" w:eastAsia="宋体"/>
                      <w:szCs w:val="21"/>
                      <w:lang w:val="en-US" w:eastAsia="zh-CN"/>
                    </w:rPr>
                  </w:pPr>
                  <w:r>
                    <w:rPr>
                      <w:rFonts w:hint="eastAsia"/>
                      <w:szCs w:val="21"/>
                      <w:lang w:val="en-US" w:eastAsia="zh-CN"/>
                    </w:rPr>
                    <w:t>/</w:t>
                  </w:r>
                </w:p>
              </w:tc>
            </w:tr>
            <w:tr w14:paraId="46AFF3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3" w:type="dxa"/>
                  <w:vMerge w:val="continue"/>
                  <w:noWrap w:val="0"/>
                  <w:vAlign w:val="center"/>
                </w:tcPr>
                <w:p w14:paraId="5377C13A">
                  <w:pPr>
                    <w:pStyle w:val="80"/>
                    <w:tabs>
                      <w:tab w:val="clear" w:pos="0"/>
                    </w:tabs>
                    <w:spacing w:line="240" w:lineRule="exact"/>
                    <w:jc w:val="center"/>
                    <w:rPr>
                      <w:rFonts w:eastAsia="宋体"/>
                      <w:sz w:val="21"/>
                      <w:szCs w:val="21"/>
                    </w:rPr>
                  </w:pPr>
                </w:p>
              </w:tc>
              <w:tc>
                <w:tcPr>
                  <w:tcW w:w="1073" w:type="dxa"/>
                  <w:noWrap w:val="0"/>
                  <w:vAlign w:val="center"/>
                </w:tcPr>
                <w:p w14:paraId="4E52CABE">
                  <w:pPr>
                    <w:pStyle w:val="80"/>
                    <w:tabs>
                      <w:tab w:val="clear" w:pos="0"/>
                    </w:tabs>
                    <w:spacing w:line="240" w:lineRule="exact"/>
                    <w:jc w:val="center"/>
                    <w:rPr>
                      <w:rFonts w:hint="eastAsia" w:eastAsia="宋体"/>
                      <w:sz w:val="21"/>
                      <w:szCs w:val="21"/>
                    </w:rPr>
                  </w:pPr>
                  <w:r>
                    <w:rPr>
                      <w:rFonts w:hint="eastAsia" w:eastAsia="宋体"/>
                      <w:sz w:val="21"/>
                      <w:szCs w:val="21"/>
                    </w:rPr>
                    <w:t>噪声治理</w:t>
                  </w:r>
                </w:p>
              </w:tc>
              <w:tc>
                <w:tcPr>
                  <w:tcW w:w="5050" w:type="dxa"/>
                  <w:noWrap w:val="0"/>
                  <w:vAlign w:val="center"/>
                </w:tcPr>
                <w:p w14:paraId="1E6A23F6">
                  <w:pPr>
                    <w:spacing w:line="240" w:lineRule="exact"/>
                    <w:jc w:val="center"/>
                    <w:rPr>
                      <w:rFonts w:hint="eastAsia"/>
                      <w:szCs w:val="21"/>
                    </w:rPr>
                  </w:pPr>
                  <w:r>
                    <w:rPr>
                      <w:rFonts w:hint="eastAsia"/>
                      <w:szCs w:val="21"/>
                    </w:rPr>
                    <w:t>合理安排工作时间，合理布局，选用低噪声设备，基座减振、距离衰减等措施。</w:t>
                  </w:r>
                </w:p>
              </w:tc>
              <w:tc>
                <w:tcPr>
                  <w:tcW w:w="1177" w:type="dxa"/>
                  <w:noWrap w:val="0"/>
                  <w:vAlign w:val="center"/>
                </w:tcPr>
                <w:p w14:paraId="623BC969">
                  <w:pPr>
                    <w:spacing w:line="240" w:lineRule="exact"/>
                    <w:jc w:val="center"/>
                    <w:rPr>
                      <w:rFonts w:hint="eastAsia"/>
                      <w:szCs w:val="21"/>
                    </w:rPr>
                  </w:pPr>
                  <w:r>
                    <w:rPr>
                      <w:rFonts w:hint="eastAsia"/>
                      <w:szCs w:val="21"/>
                    </w:rPr>
                    <w:t>/</w:t>
                  </w:r>
                </w:p>
              </w:tc>
            </w:tr>
          </w:tbl>
          <w:p w14:paraId="44EB4590">
            <w:pPr>
              <w:pStyle w:val="17"/>
              <w:spacing w:after="0" w:line="240" w:lineRule="auto"/>
              <w:ind w:left="0" w:leftChars="0" w:firstLine="420" w:firstLineChars="200"/>
              <w:jc w:val="center"/>
              <w:rPr>
                <w:bCs/>
                <w:szCs w:val="21"/>
              </w:rPr>
            </w:pPr>
          </w:p>
          <w:p w14:paraId="26FC52F4">
            <w:pPr>
              <w:pStyle w:val="17"/>
              <w:spacing w:after="0" w:line="360" w:lineRule="auto"/>
              <w:ind w:left="0" w:leftChars="0" w:firstLine="482" w:firstLineChars="200"/>
              <w:rPr>
                <w:b/>
                <w:sz w:val="24"/>
              </w:rPr>
            </w:pPr>
            <w:r>
              <w:rPr>
                <w:b/>
                <w:sz w:val="24"/>
              </w:rPr>
              <w:t>3</w:t>
            </w:r>
            <w:r>
              <w:rPr>
                <w:rFonts w:hint="eastAsia"/>
                <w:b/>
                <w:sz w:val="24"/>
              </w:rPr>
              <w:t>、原</w:t>
            </w:r>
            <w:r>
              <w:rPr>
                <w:b/>
                <w:sz w:val="24"/>
              </w:rPr>
              <w:t>项目主要原辅材料</w:t>
            </w:r>
          </w:p>
          <w:p w14:paraId="7E0101B7">
            <w:pPr>
              <w:spacing w:line="360" w:lineRule="auto"/>
              <w:ind w:firstLine="480" w:firstLineChars="200"/>
              <w:rPr>
                <w:bCs/>
                <w:sz w:val="24"/>
              </w:rPr>
            </w:pPr>
            <w:r>
              <w:rPr>
                <w:rFonts w:hint="eastAsia"/>
                <w:sz w:val="24"/>
              </w:rPr>
              <w:t>根据现场与建设单位业主核实，原项目主要原辅材料及能耗见下表</w:t>
            </w:r>
            <w:r>
              <w:rPr>
                <w:sz w:val="24"/>
              </w:rPr>
              <w:t>所示</w:t>
            </w:r>
            <w:r>
              <w:rPr>
                <w:rFonts w:hint="eastAsia"/>
                <w:sz w:val="24"/>
              </w:rPr>
              <w:t>：</w:t>
            </w:r>
          </w:p>
          <w:p w14:paraId="01C4B7DE">
            <w:pPr>
              <w:numPr>
                <w:ilvl w:val="0"/>
                <w:numId w:val="4"/>
              </w:numPr>
              <w:tabs>
                <w:tab w:val="left" w:pos="0"/>
              </w:tabs>
              <w:jc w:val="center"/>
              <w:rPr>
                <w:rFonts w:hint="eastAsia"/>
                <w:b/>
                <w:szCs w:val="21"/>
              </w:rPr>
            </w:pPr>
            <w:r>
              <w:rPr>
                <w:rFonts w:hint="eastAsia"/>
                <w:b/>
                <w:szCs w:val="21"/>
              </w:rPr>
              <w:t>原项目主要原辅材料及用量</w:t>
            </w:r>
          </w:p>
          <w:tbl>
            <w:tblPr>
              <w:tblStyle w:val="26"/>
              <w:tblW w:w="7695"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514"/>
              <w:gridCol w:w="2310"/>
              <w:gridCol w:w="1360"/>
              <w:gridCol w:w="2511"/>
            </w:tblGrid>
            <w:tr w14:paraId="248BCC5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14" w:type="dxa"/>
                  <w:noWrap w:val="0"/>
                  <w:vAlign w:val="center"/>
                </w:tcPr>
                <w:p w14:paraId="37E05622">
                  <w:pPr>
                    <w:spacing w:line="240" w:lineRule="exact"/>
                    <w:jc w:val="center"/>
                    <w:rPr>
                      <w:bCs/>
                      <w:szCs w:val="21"/>
                    </w:rPr>
                  </w:pPr>
                  <w:r>
                    <w:rPr>
                      <w:bCs/>
                      <w:szCs w:val="21"/>
                    </w:rPr>
                    <w:t>类别</w:t>
                  </w:r>
                </w:p>
              </w:tc>
              <w:tc>
                <w:tcPr>
                  <w:tcW w:w="2310" w:type="dxa"/>
                  <w:noWrap w:val="0"/>
                  <w:vAlign w:val="center"/>
                </w:tcPr>
                <w:p w14:paraId="28AD1EA6">
                  <w:pPr>
                    <w:spacing w:line="240" w:lineRule="exact"/>
                    <w:jc w:val="center"/>
                    <w:rPr>
                      <w:bCs/>
                      <w:szCs w:val="21"/>
                    </w:rPr>
                  </w:pPr>
                  <w:r>
                    <w:rPr>
                      <w:bCs/>
                      <w:szCs w:val="21"/>
                    </w:rPr>
                    <w:t>名称</w:t>
                  </w:r>
                </w:p>
              </w:tc>
              <w:tc>
                <w:tcPr>
                  <w:tcW w:w="1360" w:type="dxa"/>
                  <w:noWrap w:val="0"/>
                  <w:vAlign w:val="center"/>
                </w:tcPr>
                <w:p w14:paraId="1186EF57">
                  <w:pPr>
                    <w:spacing w:line="240" w:lineRule="exact"/>
                    <w:jc w:val="center"/>
                    <w:rPr>
                      <w:rFonts w:hint="eastAsia"/>
                      <w:bCs/>
                      <w:kern w:val="2"/>
                      <w:sz w:val="21"/>
                      <w:szCs w:val="21"/>
                      <w:lang w:val="en-US" w:eastAsia="zh-CN" w:bidi="ar-SA"/>
                    </w:rPr>
                  </w:pPr>
                  <w:r>
                    <w:rPr>
                      <w:bCs/>
                      <w:szCs w:val="21"/>
                    </w:rPr>
                    <w:t>年耗量</w:t>
                  </w:r>
                </w:p>
              </w:tc>
              <w:tc>
                <w:tcPr>
                  <w:tcW w:w="2511" w:type="dxa"/>
                  <w:noWrap w:val="0"/>
                  <w:vAlign w:val="center"/>
                </w:tcPr>
                <w:p w14:paraId="50B4CBD8">
                  <w:pPr>
                    <w:spacing w:line="240" w:lineRule="exact"/>
                    <w:jc w:val="center"/>
                    <w:rPr>
                      <w:rFonts w:hint="eastAsia"/>
                      <w:bCs/>
                      <w:szCs w:val="21"/>
                    </w:rPr>
                  </w:pPr>
                  <w:r>
                    <w:rPr>
                      <w:rFonts w:hint="eastAsia"/>
                      <w:bCs/>
                      <w:szCs w:val="21"/>
                    </w:rPr>
                    <w:t>来源</w:t>
                  </w:r>
                </w:p>
              </w:tc>
            </w:tr>
            <w:tr w14:paraId="630CEF7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14" w:type="dxa"/>
                  <w:vMerge w:val="restart"/>
                  <w:noWrap w:val="0"/>
                  <w:vAlign w:val="center"/>
                </w:tcPr>
                <w:p w14:paraId="38A0FF95">
                  <w:pPr>
                    <w:spacing w:line="240" w:lineRule="exact"/>
                    <w:jc w:val="center"/>
                    <w:rPr>
                      <w:szCs w:val="21"/>
                    </w:rPr>
                  </w:pPr>
                  <w:r>
                    <w:rPr>
                      <w:rFonts w:hint="eastAsia"/>
                      <w:szCs w:val="21"/>
                    </w:rPr>
                    <w:t>原</w:t>
                  </w:r>
                  <w:r>
                    <w:rPr>
                      <w:szCs w:val="21"/>
                    </w:rPr>
                    <w:t>（辅）料</w:t>
                  </w:r>
                </w:p>
              </w:tc>
              <w:tc>
                <w:tcPr>
                  <w:tcW w:w="2310" w:type="dxa"/>
                  <w:noWrap w:val="0"/>
                  <w:vAlign w:val="center"/>
                </w:tcPr>
                <w:p w14:paraId="43C3350B">
                  <w:pPr>
                    <w:spacing w:line="240" w:lineRule="exact"/>
                    <w:jc w:val="center"/>
                    <w:rPr>
                      <w:rFonts w:hint="default" w:eastAsia="宋体"/>
                      <w:szCs w:val="21"/>
                      <w:lang w:val="en-US" w:eastAsia="zh-CN"/>
                    </w:rPr>
                  </w:pPr>
                  <w:r>
                    <w:rPr>
                      <w:rFonts w:hint="default" w:eastAsia="宋体"/>
                      <w:szCs w:val="21"/>
                      <w:lang w:val="en-US" w:eastAsia="zh-CN"/>
                    </w:rPr>
                    <w:t>普通石油沥青</w:t>
                  </w:r>
                </w:p>
              </w:tc>
              <w:tc>
                <w:tcPr>
                  <w:tcW w:w="1360" w:type="dxa"/>
                  <w:noWrap w:val="0"/>
                  <w:vAlign w:val="center"/>
                </w:tcPr>
                <w:p w14:paraId="1536671A">
                  <w:pPr>
                    <w:spacing w:line="240" w:lineRule="exact"/>
                    <w:jc w:val="center"/>
                    <w:rPr>
                      <w:rFonts w:hint="eastAsia"/>
                      <w:kern w:val="2"/>
                      <w:sz w:val="21"/>
                      <w:szCs w:val="21"/>
                      <w:lang w:val="en-US" w:eastAsia="zh-CN" w:bidi="ar-SA"/>
                    </w:rPr>
                  </w:pPr>
                  <w:r>
                    <w:rPr>
                      <w:rFonts w:hint="eastAsia"/>
                      <w:kern w:val="2"/>
                      <w:sz w:val="21"/>
                      <w:szCs w:val="21"/>
                      <w:lang w:val="en-US" w:eastAsia="zh-CN" w:bidi="ar-SA"/>
                    </w:rPr>
                    <w:t>7600t</w:t>
                  </w:r>
                </w:p>
              </w:tc>
              <w:tc>
                <w:tcPr>
                  <w:tcW w:w="2511" w:type="dxa"/>
                  <w:noWrap w:val="0"/>
                  <w:vAlign w:val="center"/>
                </w:tcPr>
                <w:p w14:paraId="4EA8DFC0">
                  <w:pPr>
                    <w:spacing w:line="240" w:lineRule="exact"/>
                    <w:jc w:val="center"/>
                    <w:rPr>
                      <w:rFonts w:hint="eastAsia"/>
                      <w:szCs w:val="21"/>
                    </w:rPr>
                  </w:pPr>
                  <w:r>
                    <w:rPr>
                      <w:rFonts w:hint="eastAsia"/>
                      <w:szCs w:val="21"/>
                    </w:rPr>
                    <w:t>外购</w:t>
                  </w:r>
                </w:p>
              </w:tc>
            </w:tr>
            <w:tr w14:paraId="41CE424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14" w:type="dxa"/>
                  <w:vMerge w:val="continue"/>
                  <w:noWrap w:val="0"/>
                  <w:vAlign w:val="center"/>
                </w:tcPr>
                <w:p w14:paraId="703366FE">
                  <w:pPr>
                    <w:spacing w:line="240" w:lineRule="exact"/>
                    <w:jc w:val="center"/>
                    <w:rPr>
                      <w:rFonts w:hint="eastAsia"/>
                      <w:szCs w:val="21"/>
                    </w:rPr>
                  </w:pPr>
                </w:p>
              </w:tc>
              <w:tc>
                <w:tcPr>
                  <w:tcW w:w="2310" w:type="dxa"/>
                  <w:noWrap w:val="0"/>
                  <w:vAlign w:val="center"/>
                </w:tcPr>
                <w:p w14:paraId="16BA1DD4">
                  <w:pPr>
                    <w:spacing w:line="240" w:lineRule="exact"/>
                    <w:jc w:val="center"/>
                    <w:rPr>
                      <w:rFonts w:hint="default"/>
                      <w:szCs w:val="21"/>
                      <w:lang w:val="en-US" w:eastAsia="zh-CN"/>
                    </w:rPr>
                  </w:pPr>
                  <w:r>
                    <w:rPr>
                      <w:rFonts w:hint="eastAsia"/>
                      <w:szCs w:val="21"/>
                      <w:lang w:val="en-US" w:eastAsia="zh-CN"/>
                    </w:rPr>
                    <w:t>普通碎石</w:t>
                  </w:r>
                </w:p>
              </w:tc>
              <w:tc>
                <w:tcPr>
                  <w:tcW w:w="1360" w:type="dxa"/>
                  <w:noWrap w:val="0"/>
                  <w:vAlign w:val="center"/>
                </w:tcPr>
                <w:p w14:paraId="19F5E505">
                  <w:pPr>
                    <w:spacing w:line="240" w:lineRule="exact"/>
                    <w:jc w:val="center"/>
                    <w:rPr>
                      <w:rFonts w:hint="eastAsia"/>
                      <w:szCs w:val="21"/>
                      <w:lang w:val="en-US" w:eastAsia="zh-CN"/>
                    </w:rPr>
                  </w:pPr>
                  <w:r>
                    <w:rPr>
                      <w:rFonts w:hint="eastAsia"/>
                      <w:szCs w:val="21"/>
                      <w:lang w:val="en-US" w:eastAsia="zh-CN"/>
                    </w:rPr>
                    <w:t>184000t</w:t>
                  </w:r>
                </w:p>
              </w:tc>
              <w:tc>
                <w:tcPr>
                  <w:tcW w:w="2511" w:type="dxa"/>
                  <w:noWrap w:val="0"/>
                  <w:vAlign w:val="center"/>
                </w:tcPr>
                <w:p w14:paraId="38C99329">
                  <w:pPr>
                    <w:spacing w:line="240" w:lineRule="exact"/>
                    <w:jc w:val="center"/>
                    <w:rPr>
                      <w:rFonts w:hint="eastAsia" w:eastAsia="宋体"/>
                      <w:szCs w:val="21"/>
                      <w:lang w:val="en-US" w:eastAsia="zh-CN"/>
                    </w:rPr>
                  </w:pPr>
                  <w:r>
                    <w:rPr>
                      <w:rFonts w:hint="eastAsia"/>
                      <w:szCs w:val="21"/>
                      <w:lang w:val="en-US" w:eastAsia="zh-CN"/>
                    </w:rPr>
                    <w:t>外购</w:t>
                  </w:r>
                </w:p>
              </w:tc>
            </w:tr>
            <w:tr w14:paraId="603E0C9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14" w:type="dxa"/>
                  <w:vMerge w:val="continue"/>
                  <w:noWrap w:val="0"/>
                  <w:vAlign w:val="center"/>
                </w:tcPr>
                <w:p w14:paraId="7799D085">
                  <w:pPr>
                    <w:spacing w:line="240" w:lineRule="exact"/>
                    <w:jc w:val="center"/>
                    <w:rPr>
                      <w:rFonts w:hint="eastAsia"/>
                      <w:szCs w:val="21"/>
                    </w:rPr>
                  </w:pPr>
                </w:p>
              </w:tc>
              <w:tc>
                <w:tcPr>
                  <w:tcW w:w="2310" w:type="dxa"/>
                  <w:noWrap w:val="0"/>
                  <w:vAlign w:val="center"/>
                </w:tcPr>
                <w:p w14:paraId="37081E69">
                  <w:pPr>
                    <w:spacing w:line="240" w:lineRule="exact"/>
                    <w:jc w:val="center"/>
                    <w:rPr>
                      <w:rFonts w:hint="default"/>
                      <w:szCs w:val="21"/>
                      <w:lang w:val="en-US" w:eastAsia="zh-CN"/>
                    </w:rPr>
                  </w:pPr>
                  <w:r>
                    <w:rPr>
                      <w:rFonts w:hint="eastAsia"/>
                      <w:szCs w:val="21"/>
                      <w:lang w:val="en-US" w:eastAsia="zh-CN"/>
                    </w:rPr>
                    <w:t>粉料</w:t>
                  </w:r>
                </w:p>
              </w:tc>
              <w:tc>
                <w:tcPr>
                  <w:tcW w:w="1360" w:type="dxa"/>
                  <w:noWrap w:val="0"/>
                  <w:vAlign w:val="center"/>
                </w:tcPr>
                <w:p w14:paraId="24524855">
                  <w:pPr>
                    <w:spacing w:line="240" w:lineRule="exact"/>
                    <w:jc w:val="center"/>
                    <w:rPr>
                      <w:rFonts w:hint="default"/>
                      <w:szCs w:val="21"/>
                      <w:lang w:val="en-US" w:eastAsia="zh-CN"/>
                    </w:rPr>
                  </w:pPr>
                  <w:r>
                    <w:rPr>
                      <w:rFonts w:hint="eastAsia"/>
                      <w:szCs w:val="21"/>
                      <w:lang w:val="en-US" w:eastAsia="zh-CN"/>
                    </w:rPr>
                    <w:t>8800</w:t>
                  </w:r>
                  <w:r>
                    <w:rPr>
                      <w:rFonts w:hint="eastAsia"/>
                      <w:kern w:val="2"/>
                      <w:sz w:val="21"/>
                      <w:szCs w:val="21"/>
                      <w:lang w:val="en-US" w:eastAsia="zh-CN" w:bidi="ar-SA"/>
                    </w:rPr>
                    <w:t>t</w:t>
                  </w:r>
                </w:p>
              </w:tc>
              <w:tc>
                <w:tcPr>
                  <w:tcW w:w="2511" w:type="dxa"/>
                  <w:noWrap w:val="0"/>
                  <w:vAlign w:val="center"/>
                </w:tcPr>
                <w:p w14:paraId="403DCB64">
                  <w:pPr>
                    <w:spacing w:line="240" w:lineRule="exact"/>
                    <w:jc w:val="center"/>
                    <w:rPr>
                      <w:rFonts w:hint="eastAsia" w:eastAsia="宋体"/>
                      <w:szCs w:val="21"/>
                      <w:lang w:val="en-US" w:eastAsia="zh-CN"/>
                    </w:rPr>
                  </w:pPr>
                  <w:r>
                    <w:rPr>
                      <w:rFonts w:hint="eastAsia"/>
                      <w:szCs w:val="21"/>
                      <w:lang w:val="en-US" w:eastAsia="zh-CN"/>
                    </w:rPr>
                    <w:t>外购</w:t>
                  </w:r>
                </w:p>
              </w:tc>
            </w:tr>
            <w:tr w14:paraId="32C916D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14" w:type="dxa"/>
                  <w:vMerge w:val="restart"/>
                  <w:noWrap w:val="0"/>
                  <w:vAlign w:val="center"/>
                </w:tcPr>
                <w:p w14:paraId="31E910D0">
                  <w:pPr>
                    <w:spacing w:line="240" w:lineRule="exact"/>
                    <w:jc w:val="center"/>
                    <w:rPr>
                      <w:szCs w:val="21"/>
                    </w:rPr>
                  </w:pPr>
                  <w:r>
                    <w:rPr>
                      <w:szCs w:val="21"/>
                    </w:rPr>
                    <w:t>能源</w:t>
                  </w:r>
                </w:p>
              </w:tc>
              <w:tc>
                <w:tcPr>
                  <w:tcW w:w="2310" w:type="dxa"/>
                  <w:noWrap w:val="0"/>
                  <w:vAlign w:val="center"/>
                </w:tcPr>
                <w:p w14:paraId="636A090A">
                  <w:pPr>
                    <w:spacing w:line="240" w:lineRule="exact"/>
                    <w:jc w:val="center"/>
                    <w:rPr>
                      <w:szCs w:val="21"/>
                    </w:rPr>
                  </w:pPr>
                  <w:r>
                    <w:rPr>
                      <w:szCs w:val="21"/>
                    </w:rPr>
                    <w:t>电（</w:t>
                  </w:r>
                  <w:r>
                    <w:rPr>
                      <w:rFonts w:hint="eastAsia"/>
                      <w:szCs w:val="21"/>
                      <w:lang w:eastAsia="zh-CN"/>
                    </w:rPr>
                    <w:t>kW</w:t>
                  </w:r>
                  <w:r>
                    <w:rPr>
                      <w:szCs w:val="21"/>
                    </w:rPr>
                    <w:t>·h）</w:t>
                  </w:r>
                </w:p>
              </w:tc>
              <w:tc>
                <w:tcPr>
                  <w:tcW w:w="1360" w:type="dxa"/>
                  <w:noWrap w:val="0"/>
                  <w:vAlign w:val="center"/>
                </w:tcPr>
                <w:p w14:paraId="0187475C">
                  <w:pPr>
                    <w:spacing w:line="240" w:lineRule="exact"/>
                    <w:jc w:val="center"/>
                    <w:rPr>
                      <w:rFonts w:hint="default" w:eastAsia="宋体"/>
                      <w:kern w:val="2"/>
                      <w:sz w:val="21"/>
                      <w:szCs w:val="21"/>
                      <w:lang w:val="en-US" w:eastAsia="zh-CN" w:bidi="ar-SA"/>
                    </w:rPr>
                  </w:pPr>
                  <w:r>
                    <w:rPr>
                      <w:rFonts w:hint="default" w:eastAsia="宋体"/>
                      <w:kern w:val="2"/>
                      <w:sz w:val="21"/>
                      <w:szCs w:val="21"/>
                      <w:lang w:val="en-US" w:eastAsia="zh-CN" w:bidi="ar-SA"/>
                    </w:rPr>
                    <w:t>145万</w:t>
                  </w:r>
                </w:p>
              </w:tc>
              <w:tc>
                <w:tcPr>
                  <w:tcW w:w="2511" w:type="dxa"/>
                  <w:noWrap w:val="0"/>
                  <w:vAlign w:val="center"/>
                </w:tcPr>
                <w:p w14:paraId="1D19564D">
                  <w:pPr>
                    <w:spacing w:line="240" w:lineRule="exact"/>
                    <w:jc w:val="center"/>
                    <w:rPr>
                      <w:rFonts w:hint="eastAsia"/>
                      <w:szCs w:val="21"/>
                    </w:rPr>
                  </w:pPr>
                  <w:r>
                    <w:rPr>
                      <w:rFonts w:hint="eastAsia"/>
                      <w:szCs w:val="21"/>
                    </w:rPr>
                    <w:t>市政电网</w:t>
                  </w:r>
                </w:p>
              </w:tc>
            </w:tr>
            <w:tr w14:paraId="12BE9D0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14" w:type="dxa"/>
                  <w:vMerge w:val="continue"/>
                  <w:noWrap w:val="0"/>
                  <w:vAlign w:val="center"/>
                </w:tcPr>
                <w:p w14:paraId="5A525F1A">
                  <w:pPr>
                    <w:spacing w:line="240" w:lineRule="exact"/>
                    <w:jc w:val="center"/>
                    <w:rPr>
                      <w:szCs w:val="21"/>
                    </w:rPr>
                  </w:pPr>
                </w:p>
              </w:tc>
              <w:tc>
                <w:tcPr>
                  <w:tcW w:w="2310" w:type="dxa"/>
                  <w:noWrap w:val="0"/>
                  <w:vAlign w:val="center"/>
                </w:tcPr>
                <w:p w14:paraId="4829CDCC">
                  <w:pPr>
                    <w:spacing w:line="240" w:lineRule="exact"/>
                    <w:jc w:val="center"/>
                    <w:rPr>
                      <w:rFonts w:hint="eastAsia"/>
                      <w:szCs w:val="21"/>
                    </w:rPr>
                  </w:pPr>
                  <w:r>
                    <w:rPr>
                      <w:rFonts w:hint="eastAsia"/>
                      <w:szCs w:val="21"/>
                      <w:lang w:val="en-US" w:eastAsia="zh-CN"/>
                    </w:rPr>
                    <w:t>天然气</w:t>
                  </w:r>
                  <w:r>
                    <w:rPr>
                      <w:rFonts w:hint="eastAsia"/>
                      <w:szCs w:val="21"/>
                    </w:rPr>
                    <w:t>（m</w:t>
                  </w:r>
                  <w:r>
                    <w:rPr>
                      <w:rFonts w:hint="eastAsia"/>
                      <w:szCs w:val="21"/>
                      <w:vertAlign w:val="superscript"/>
                    </w:rPr>
                    <w:t>3</w:t>
                  </w:r>
                  <w:r>
                    <w:rPr>
                      <w:rFonts w:hint="eastAsia"/>
                      <w:szCs w:val="21"/>
                    </w:rPr>
                    <w:t>/a）</w:t>
                  </w:r>
                </w:p>
              </w:tc>
              <w:tc>
                <w:tcPr>
                  <w:tcW w:w="1360" w:type="dxa"/>
                  <w:noWrap w:val="0"/>
                  <w:vAlign w:val="center"/>
                </w:tcPr>
                <w:p w14:paraId="5D3E4386">
                  <w:pPr>
                    <w:spacing w:line="240" w:lineRule="exact"/>
                    <w:jc w:val="center"/>
                    <w:rPr>
                      <w:rFonts w:hint="default"/>
                      <w:kern w:val="2"/>
                      <w:sz w:val="21"/>
                      <w:szCs w:val="21"/>
                      <w:lang w:val="en-US" w:eastAsia="zh-CN" w:bidi="ar-SA"/>
                    </w:rPr>
                  </w:pPr>
                  <w:r>
                    <w:rPr>
                      <w:rFonts w:hint="eastAsia"/>
                      <w:kern w:val="2"/>
                      <w:sz w:val="21"/>
                      <w:szCs w:val="21"/>
                      <w:lang w:val="en-US" w:eastAsia="zh-CN" w:bidi="ar-SA"/>
                    </w:rPr>
                    <w:t>180万</w:t>
                  </w:r>
                </w:p>
              </w:tc>
              <w:tc>
                <w:tcPr>
                  <w:tcW w:w="2511" w:type="dxa"/>
                  <w:noWrap w:val="0"/>
                  <w:vAlign w:val="center"/>
                </w:tcPr>
                <w:p w14:paraId="09633DC3">
                  <w:pPr>
                    <w:spacing w:line="240" w:lineRule="exact"/>
                    <w:jc w:val="center"/>
                    <w:rPr>
                      <w:rFonts w:hint="default" w:eastAsia="宋体"/>
                      <w:szCs w:val="21"/>
                      <w:lang w:val="en-US" w:eastAsia="zh-CN"/>
                    </w:rPr>
                  </w:pPr>
                  <w:r>
                    <w:rPr>
                      <w:rFonts w:hint="eastAsia"/>
                      <w:szCs w:val="21"/>
                      <w:lang w:val="en-US" w:eastAsia="zh-CN"/>
                    </w:rPr>
                    <w:t>由市政天然气管网供应</w:t>
                  </w:r>
                </w:p>
              </w:tc>
            </w:tr>
            <w:tr w14:paraId="6C6A0FD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14" w:type="dxa"/>
                  <w:vMerge w:val="continue"/>
                  <w:noWrap w:val="0"/>
                  <w:vAlign w:val="center"/>
                </w:tcPr>
                <w:p w14:paraId="438A38BA">
                  <w:pPr>
                    <w:spacing w:line="240" w:lineRule="exact"/>
                    <w:jc w:val="center"/>
                    <w:rPr>
                      <w:szCs w:val="21"/>
                    </w:rPr>
                  </w:pPr>
                </w:p>
              </w:tc>
              <w:tc>
                <w:tcPr>
                  <w:tcW w:w="2310" w:type="dxa"/>
                  <w:noWrap w:val="0"/>
                  <w:vAlign w:val="center"/>
                </w:tcPr>
                <w:p w14:paraId="393C0600">
                  <w:pPr>
                    <w:spacing w:line="240" w:lineRule="exact"/>
                    <w:jc w:val="center"/>
                    <w:rPr>
                      <w:szCs w:val="21"/>
                    </w:rPr>
                  </w:pPr>
                  <w:r>
                    <w:rPr>
                      <w:rFonts w:hint="eastAsia"/>
                      <w:szCs w:val="21"/>
                      <w:lang w:val="en-US" w:eastAsia="zh-CN"/>
                    </w:rPr>
                    <w:t>新鲜水</w:t>
                  </w:r>
                  <w:r>
                    <w:rPr>
                      <w:rFonts w:hint="eastAsia"/>
                      <w:szCs w:val="21"/>
                    </w:rPr>
                    <w:t>（m</w:t>
                  </w:r>
                  <w:r>
                    <w:rPr>
                      <w:rFonts w:hint="eastAsia"/>
                      <w:szCs w:val="21"/>
                      <w:vertAlign w:val="superscript"/>
                    </w:rPr>
                    <w:t>3</w:t>
                  </w:r>
                  <w:r>
                    <w:rPr>
                      <w:rFonts w:hint="eastAsia"/>
                      <w:szCs w:val="21"/>
                    </w:rPr>
                    <w:t>/a）</w:t>
                  </w:r>
                </w:p>
              </w:tc>
              <w:tc>
                <w:tcPr>
                  <w:tcW w:w="1360" w:type="dxa"/>
                  <w:noWrap w:val="0"/>
                  <w:vAlign w:val="center"/>
                </w:tcPr>
                <w:p w14:paraId="4CA585BD">
                  <w:pPr>
                    <w:spacing w:line="240" w:lineRule="exact"/>
                    <w:jc w:val="center"/>
                    <w:rPr>
                      <w:rFonts w:hint="default" w:eastAsia="宋体"/>
                      <w:kern w:val="2"/>
                      <w:sz w:val="21"/>
                      <w:szCs w:val="21"/>
                      <w:lang w:val="en-US" w:eastAsia="zh-CN" w:bidi="ar-SA"/>
                    </w:rPr>
                  </w:pPr>
                  <w:r>
                    <w:rPr>
                      <w:rFonts w:hint="eastAsia"/>
                      <w:kern w:val="2"/>
                      <w:sz w:val="21"/>
                      <w:szCs w:val="21"/>
                      <w:lang w:val="en-US" w:eastAsia="zh-CN" w:bidi="ar-SA"/>
                    </w:rPr>
                    <w:t>4260</w:t>
                  </w:r>
                </w:p>
              </w:tc>
              <w:tc>
                <w:tcPr>
                  <w:tcW w:w="2511" w:type="dxa"/>
                  <w:noWrap w:val="0"/>
                  <w:vAlign w:val="center"/>
                </w:tcPr>
                <w:p w14:paraId="45CFE1B8">
                  <w:pPr>
                    <w:spacing w:line="240" w:lineRule="exact"/>
                    <w:jc w:val="center"/>
                    <w:rPr>
                      <w:rFonts w:hint="eastAsia"/>
                      <w:szCs w:val="21"/>
                    </w:rPr>
                  </w:pPr>
                  <w:r>
                    <w:rPr>
                      <w:rFonts w:hint="eastAsia"/>
                      <w:szCs w:val="21"/>
                    </w:rPr>
                    <w:t>由市政自来水管网供应</w:t>
                  </w:r>
                </w:p>
              </w:tc>
            </w:tr>
          </w:tbl>
          <w:p w14:paraId="12E19FD9">
            <w:pPr>
              <w:pStyle w:val="75"/>
              <w:autoSpaceDE w:val="0"/>
              <w:autoSpaceDN w:val="0"/>
              <w:ind w:firstLine="0" w:firstLineChars="0"/>
              <w:jc w:val="center"/>
              <w:rPr>
                <w:rFonts w:hint="eastAsia" w:eastAsia="黑体"/>
                <w:bCs/>
                <w:szCs w:val="21"/>
              </w:rPr>
            </w:pPr>
          </w:p>
          <w:p w14:paraId="52B00CDF">
            <w:pPr>
              <w:pStyle w:val="17"/>
              <w:spacing w:after="0" w:line="360" w:lineRule="auto"/>
              <w:ind w:left="0" w:leftChars="0" w:firstLine="482" w:firstLineChars="200"/>
              <w:rPr>
                <w:b/>
                <w:sz w:val="24"/>
              </w:rPr>
            </w:pPr>
            <w:r>
              <w:rPr>
                <w:b/>
                <w:sz w:val="24"/>
              </w:rPr>
              <w:t>4、</w:t>
            </w:r>
            <w:r>
              <w:rPr>
                <w:rFonts w:hint="eastAsia"/>
                <w:b/>
                <w:sz w:val="24"/>
              </w:rPr>
              <w:t>原</w:t>
            </w:r>
            <w:r>
              <w:rPr>
                <w:b/>
                <w:sz w:val="24"/>
              </w:rPr>
              <w:t>项目主要生产设备</w:t>
            </w:r>
          </w:p>
          <w:p w14:paraId="3EA4A11E">
            <w:pPr>
              <w:spacing w:line="360" w:lineRule="auto"/>
              <w:ind w:firstLine="480" w:firstLineChars="200"/>
              <w:rPr>
                <w:sz w:val="24"/>
              </w:rPr>
            </w:pPr>
            <w:r>
              <w:rPr>
                <w:rFonts w:hint="eastAsia"/>
                <w:sz w:val="24"/>
                <w:lang w:val="en-US" w:eastAsia="zh-CN"/>
              </w:rPr>
              <w:t>原</w:t>
            </w:r>
            <w:r>
              <w:rPr>
                <w:rFonts w:hint="eastAsia"/>
                <w:sz w:val="24"/>
              </w:rPr>
              <w:t>项目生产过程中主要设备详见下表：</w:t>
            </w:r>
          </w:p>
          <w:p w14:paraId="60E5E004">
            <w:pPr>
              <w:numPr>
                <w:ilvl w:val="0"/>
                <w:numId w:val="4"/>
              </w:numPr>
              <w:tabs>
                <w:tab w:val="left" w:pos="0"/>
              </w:tabs>
              <w:jc w:val="center"/>
              <w:rPr>
                <w:rFonts w:hint="eastAsia"/>
                <w:b/>
                <w:szCs w:val="21"/>
              </w:rPr>
            </w:pPr>
            <w:r>
              <w:rPr>
                <w:rFonts w:hint="eastAsia"/>
                <w:b/>
                <w:szCs w:val="21"/>
              </w:rPr>
              <w:t>原项目主要设备一览表</w:t>
            </w:r>
          </w:p>
          <w:tbl>
            <w:tblPr>
              <w:tblStyle w:val="26"/>
              <w:tblW w:w="790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000"/>
              <w:gridCol w:w="3663"/>
              <w:gridCol w:w="737"/>
              <w:gridCol w:w="734"/>
            </w:tblGrid>
            <w:tr w14:paraId="562BE7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66" w:type="dxa"/>
                  <w:noWrap w:val="0"/>
                  <w:vAlign w:val="center"/>
                </w:tcPr>
                <w:p w14:paraId="3FD45E64">
                  <w:pPr>
                    <w:spacing w:line="240" w:lineRule="exact"/>
                    <w:jc w:val="center"/>
                    <w:rPr>
                      <w:bCs/>
                      <w:szCs w:val="21"/>
                    </w:rPr>
                  </w:pPr>
                  <w:r>
                    <w:rPr>
                      <w:bCs/>
                      <w:szCs w:val="21"/>
                    </w:rPr>
                    <w:t>序号</w:t>
                  </w:r>
                </w:p>
              </w:tc>
              <w:tc>
                <w:tcPr>
                  <w:tcW w:w="2000" w:type="dxa"/>
                  <w:noWrap w:val="0"/>
                  <w:vAlign w:val="center"/>
                </w:tcPr>
                <w:p w14:paraId="0FB483FB">
                  <w:pPr>
                    <w:spacing w:line="240" w:lineRule="exact"/>
                    <w:jc w:val="center"/>
                    <w:rPr>
                      <w:bCs/>
                      <w:szCs w:val="21"/>
                    </w:rPr>
                  </w:pPr>
                  <w:r>
                    <w:rPr>
                      <w:bCs/>
                      <w:szCs w:val="21"/>
                    </w:rPr>
                    <w:t>设备名称</w:t>
                  </w:r>
                </w:p>
              </w:tc>
              <w:tc>
                <w:tcPr>
                  <w:tcW w:w="3663" w:type="dxa"/>
                  <w:noWrap w:val="0"/>
                  <w:vAlign w:val="center"/>
                </w:tcPr>
                <w:p w14:paraId="0686984F">
                  <w:pPr>
                    <w:spacing w:line="240" w:lineRule="exact"/>
                    <w:jc w:val="center"/>
                    <w:rPr>
                      <w:bCs/>
                      <w:szCs w:val="21"/>
                    </w:rPr>
                  </w:pPr>
                  <w:r>
                    <w:rPr>
                      <w:bCs/>
                      <w:szCs w:val="21"/>
                    </w:rPr>
                    <w:t>设备型号</w:t>
                  </w:r>
                </w:p>
              </w:tc>
              <w:tc>
                <w:tcPr>
                  <w:tcW w:w="737" w:type="dxa"/>
                  <w:noWrap w:val="0"/>
                  <w:vAlign w:val="center"/>
                </w:tcPr>
                <w:p w14:paraId="43C9F662">
                  <w:pPr>
                    <w:spacing w:line="240" w:lineRule="exact"/>
                    <w:jc w:val="center"/>
                    <w:rPr>
                      <w:rFonts w:hint="eastAsia" w:eastAsia="宋体"/>
                      <w:bCs/>
                      <w:szCs w:val="21"/>
                      <w:lang w:eastAsia="zh-CN"/>
                    </w:rPr>
                  </w:pPr>
                  <w:r>
                    <w:rPr>
                      <w:rFonts w:hint="eastAsia"/>
                      <w:bCs/>
                      <w:szCs w:val="21"/>
                      <w:lang w:val="en-US" w:eastAsia="zh-CN"/>
                    </w:rPr>
                    <w:t>单位</w:t>
                  </w:r>
                </w:p>
              </w:tc>
              <w:tc>
                <w:tcPr>
                  <w:tcW w:w="734" w:type="dxa"/>
                  <w:noWrap w:val="0"/>
                  <w:vAlign w:val="center"/>
                </w:tcPr>
                <w:p w14:paraId="6F039637">
                  <w:pPr>
                    <w:spacing w:line="240" w:lineRule="exact"/>
                    <w:jc w:val="center"/>
                    <w:rPr>
                      <w:rFonts w:hint="eastAsia" w:eastAsia="宋体"/>
                      <w:bCs/>
                      <w:szCs w:val="21"/>
                      <w:lang w:eastAsia="zh-CN"/>
                    </w:rPr>
                  </w:pPr>
                  <w:r>
                    <w:rPr>
                      <w:rFonts w:hint="eastAsia"/>
                      <w:bCs/>
                      <w:szCs w:val="21"/>
                      <w:lang w:val="en-US" w:eastAsia="zh-CN"/>
                    </w:rPr>
                    <w:t>数量</w:t>
                  </w:r>
                </w:p>
              </w:tc>
            </w:tr>
            <w:tr w14:paraId="139F7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66" w:type="dxa"/>
                  <w:noWrap w:val="0"/>
                  <w:vAlign w:val="center"/>
                </w:tcPr>
                <w:p w14:paraId="6443021E">
                  <w:pPr>
                    <w:spacing w:line="240" w:lineRule="exact"/>
                    <w:jc w:val="center"/>
                    <w:rPr>
                      <w:bCs/>
                      <w:szCs w:val="21"/>
                    </w:rPr>
                  </w:pPr>
                  <w:r>
                    <w:rPr>
                      <w:bCs/>
                      <w:szCs w:val="21"/>
                    </w:rPr>
                    <w:t>1</w:t>
                  </w:r>
                </w:p>
              </w:tc>
              <w:tc>
                <w:tcPr>
                  <w:tcW w:w="2000" w:type="dxa"/>
                  <w:shd w:val="clear" w:color="auto" w:fill="auto"/>
                  <w:noWrap w:val="0"/>
                  <w:vAlign w:val="center"/>
                </w:tcPr>
                <w:p w14:paraId="6302A32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rPr>
                    <w:t>冷骨料供给系统</w:t>
                  </w:r>
                </w:p>
              </w:tc>
              <w:tc>
                <w:tcPr>
                  <w:tcW w:w="3663" w:type="dxa"/>
                  <w:noWrap w:val="0"/>
                  <w:vAlign w:val="center"/>
                </w:tcPr>
                <w:p w14:paraId="2EC8C07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bCs/>
                      <w:szCs w:val="21"/>
                      <w:lang w:val="en-US" w:eastAsia="zh-CN"/>
                    </w:rPr>
                  </w:pPr>
                  <w:r>
                    <w:rPr>
                      <w:rFonts w:hint="default" w:ascii="Times New Roman" w:hAnsi="Times New Roman" w:eastAsia="宋体" w:cs="Times New Roman"/>
                      <w:sz w:val="21"/>
                      <w:szCs w:val="21"/>
                      <w:vertAlign w:val="baseline"/>
                    </w:rPr>
                    <w:t>由料斗、皮带给料器、仓壁振动器、1台集料皮带输送机、1台皮带喂料机组成</w:t>
                  </w:r>
                </w:p>
              </w:tc>
              <w:tc>
                <w:tcPr>
                  <w:tcW w:w="737" w:type="dxa"/>
                  <w:shd w:val="clear" w:color="auto" w:fill="auto"/>
                  <w:noWrap w:val="0"/>
                  <w:vAlign w:val="center"/>
                </w:tcPr>
                <w:p w14:paraId="2D1890F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rPr>
                    <w:t>套</w:t>
                  </w:r>
                </w:p>
              </w:tc>
              <w:tc>
                <w:tcPr>
                  <w:tcW w:w="734" w:type="dxa"/>
                  <w:noWrap w:val="0"/>
                  <w:vAlign w:val="center"/>
                </w:tcPr>
                <w:p w14:paraId="2BE861E6">
                  <w:pPr>
                    <w:spacing w:line="240" w:lineRule="exact"/>
                    <w:jc w:val="center"/>
                    <w:rPr>
                      <w:rFonts w:hint="eastAsia" w:eastAsia="宋体"/>
                      <w:bCs/>
                      <w:szCs w:val="21"/>
                      <w:lang w:val="en-US" w:eastAsia="zh-CN"/>
                    </w:rPr>
                  </w:pPr>
                  <w:r>
                    <w:rPr>
                      <w:rFonts w:hint="eastAsia"/>
                      <w:bCs/>
                      <w:szCs w:val="21"/>
                      <w:lang w:val="en-US" w:eastAsia="zh-CN"/>
                    </w:rPr>
                    <w:t>1</w:t>
                  </w:r>
                </w:p>
              </w:tc>
            </w:tr>
            <w:tr w14:paraId="351216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tblHeader/>
                <w:jc w:val="center"/>
              </w:trPr>
              <w:tc>
                <w:tcPr>
                  <w:tcW w:w="766" w:type="dxa"/>
                  <w:noWrap w:val="0"/>
                  <w:vAlign w:val="center"/>
                </w:tcPr>
                <w:p w14:paraId="4E9A5FFA">
                  <w:pPr>
                    <w:spacing w:line="240" w:lineRule="exact"/>
                    <w:jc w:val="center"/>
                    <w:rPr>
                      <w:bCs/>
                      <w:szCs w:val="21"/>
                    </w:rPr>
                  </w:pPr>
                  <w:r>
                    <w:rPr>
                      <w:bCs/>
                      <w:szCs w:val="21"/>
                    </w:rPr>
                    <w:t>2</w:t>
                  </w:r>
                </w:p>
              </w:tc>
              <w:tc>
                <w:tcPr>
                  <w:tcW w:w="2000" w:type="dxa"/>
                  <w:shd w:val="clear" w:color="auto" w:fill="auto"/>
                  <w:noWrap w:val="0"/>
                  <w:vAlign w:val="center"/>
                </w:tcPr>
                <w:p w14:paraId="2FF1331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rPr>
                    <w:t>骨料烘干加热系统</w:t>
                  </w:r>
                </w:p>
              </w:tc>
              <w:tc>
                <w:tcPr>
                  <w:tcW w:w="3663" w:type="dxa"/>
                  <w:noWrap w:val="0"/>
                  <w:vAlign w:val="center"/>
                </w:tcPr>
                <w:p w14:paraId="42D9473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Cs/>
                      <w:szCs w:val="21"/>
                    </w:rPr>
                  </w:pPr>
                  <w:r>
                    <w:rPr>
                      <w:rFonts w:hint="default" w:ascii="Times New Roman" w:hAnsi="Times New Roman" w:eastAsia="宋体" w:cs="Times New Roman"/>
                      <w:sz w:val="21"/>
                      <w:szCs w:val="21"/>
                      <w:vertAlign w:val="baseline"/>
                    </w:rPr>
                    <w:t>由干燥滚筒、主燃烧器组成</w:t>
                  </w:r>
                </w:p>
              </w:tc>
              <w:tc>
                <w:tcPr>
                  <w:tcW w:w="737" w:type="dxa"/>
                  <w:shd w:val="clear" w:color="auto" w:fill="auto"/>
                  <w:noWrap w:val="0"/>
                  <w:vAlign w:val="center"/>
                </w:tcPr>
                <w:p w14:paraId="4F7ADEF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rPr>
                    <w:t>套</w:t>
                  </w:r>
                </w:p>
              </w:tc>
              <w:tc>
                <w:tcPr>
                  <w:tcW w:w="734" w:type="dxa"/>
                  <w:noWrap w:val="0"/>
                  <w:vAlign w:val="center"/>
                </w:tcPr>
                <w:p w14:paraId="428FF1AC">
                  <w:pPr>
                    <w:spacing w:line="240" w:lineRule="exact"/>
                    <w:jc w:val="center"/>
                    <w:rPr>
                      <w:rFonts w:hint="eastAsia" w:eastAsia="宋体"/>
                      <w:bCs/>
                      <w:szCs w:val="21"/>
                      <w:lang w:val="en-US" w:eastAsia="zh-CN"/>
                    </w:rPr>
                  </w:pPr>
                  <w:r>
                    <w:rPr>
                      <w:rFonts w:hint="eastAsia"/>
                      <w:bCs/>
                      <w:szCs w:val="21"/>
                      <w:lang w:val="en-US" w:eastAsia="zh-CN"/>
                    </w:rPr>
                    <w:t>1</w:t>
                  </w:r>
                </w:p>
              </w:tc>
            </w:tr>
            <w:tr w14:paraId="0D9662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66" w:type="dxa"/>
                  <w:noWrap w:val="0"/>
                  <w:vAlign w:val="center"/>
                </w:tcPr>
                <w:p w14:paraId="1DFBD634">
                  <w:pPr>
                    <w:spacing w:line="240" w:lineRule="exact"/>
                    <w:jc w:val="center"/>
                    <w:rPr>
                      <w:bCs/>
                      <w:szCs w:val="21"/>
                    </w:rPr>
                  </w:pPr>
                  <w:r>
                    <w:rPr>
                      <w:bCs/>
                      <w:szCs w:val="21"/>
                    </w:rPr>
                    <w:t>3</w:t>
                  </w:r>
                </w:p>
              </w:tc>
              <w:tc>
                <w:tcPr>
                  <w:tcW w:w="2000" w:type="dxa"/>
                  <w:shd w:val="clear" w:color="auto" w:fill="auto"/>
                  <w:noWrap w:val="0"/>
                  <w:vAlign w:val="center"/>
                </w:tcPr>
                <w:p w14:paraId="05496D4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rPr>
                    <w:t>热料提升及振动筛分系统</w:t>
                  </w:r>
                </w:p>
              </w:tc>
              <w:tc>
                <w:tcPr>
                  <w:tcW w:w="3663" w:type="dxa"/>
                  <w:noWrap w:val="0"/>
                  <w:vAlign w:val="center"/>
                </w:tcPr>
                <w:p w14:paraId="2AFF2E5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Cs/>
                      <w:szCs w:val="21"/>
                    </w:rPr>
                  </w:pPr>
                  <w:r>
                    <w:rPr>
                      <w:rFonts w:hint="default" w:ascii="Times New Roman" w:hAnsi="Times New Roman" w:eastAsia="宋体" w:cs="Times New Roman"/>
                      <w:sz w:val="21"/>
                      <w:szCs w:val="21"/>
                      <w:vertAlign w:val="baseline"/>
                    </w:rPr>
                    <w:t>由热料提升机、振动筛及热骨料仓组成</w:t>
                  </w:r>
                </w:p>
              </w:tc>
              <w:tc>
                <w:tcPr>
                  <w:tcW w:w="737" w:type="dxa"/>
                  <w:shd w:val="clear" w:color="auto" w:fill="auto"/>
                  <w:noWrap w:val="0"/>
                  <w:vAlign w:val="center"/>
                </w:tcPr>
                <w:p w14:paraId="15F3236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rPr>
                    <w:t>套</w:t>
                  </w:r>
                </w:p>
              </w:tc>
              <w:tc>
                <w:tcPr>
                  <w:tcW w:w="734" w:type="dxa"/>
                  <w:noWrap w:val="0"/>
                  <w:vAlign w:val="center"/>
                </w:tcPr>
                <w:p w14:paraId="102E350C">
                  <w:pPr>
                    <w:spacing w:line="240" w:lineRule="exact"/>
                    <w:jc w:val="center"/>
                    <w:rPr>
                      <w:rFonts w:hint="eastAsia" w:eastAsia="宋体"/>
                      <w:bCs/>
                      <w:szCs w:val="21"/>
                      <w:lang w:val="en-US" w:eastAsia="zh-CN"/>
                    </w:rPr>
                  </w:pPr>
                  <w:r>
                    <w:rPr>
                      <w:rFonts w:hint="eastAsia"/>
                      <w:bCs/>
                      <w:szCs w:val="21"/>
                      <w:lang w:val="en-US" w:eastAsia="zh-CN"/>
                    </w:rPr>
                    <w:t>1</w:t>
                  </w:r>
                </w:p>
              </w:tc>
            </w:tr>
            <w:tr w14:paraId="00B2F0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66" w:type="dxa"/>
                  <w:noWrap w:val="0"/>
                  <w:vAlign w:val="center"/>
                </w:tcPr>
                <w:p w14:paraId="2B78A913">
                  <w:pPr>
                    <w:spacing w:line="240" w:lineRule="exact"/>
                    <w:jc w:val="center"/>
                    <w:rPr>
                      <w:bCs/>
                      <w:szCs w:val="21"/>
                    </w:rPr>
                  </w:pPr>
                  <w:r>
                    <w:rPr>
                      <w:bCs/>
                      <w:szCs w:val="21"/>
                    </w:rPr>
                    <w:t>4</w:t>
                  </w:r>
                </w:p>
              </w:tc>
              <w:tc>
                <w:tcPr>
                  <w:tcW w:w="2000" w:type="dxa"/>
                  <w:shd w:val="clear" w:color="auto" w:fill="auto"/>
                  <w:noWrap w:val="0"/>
                  <w:vAlign w:val="center"/>
                </w:tcPr>
                <w:p w14:paraId="6DA4E47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rPr>
                    <w:t>称量及搅拌系统</w:t>
                  </w:r>
                </w:p>
              </w:tc>
              <w:tc>
                <w:tcPr>
                  <w:tcW w:w="3663" w:type="dxa"/>
                  <w:noWrap w:val="0"/>
                  <w:vAlign w:val="center"/>
                </w:tcPr>
                <w:p w14:paraId="2F46C82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Cs/>
                      <w:szCs w:val="21"/>
                    </w:rPr>
                  </w:pPr>
                  <w:r>
                    <w:rPr>
                      <w:rFonts w:hint="default" w:ascii="Times New Roman" w:hAnsi="Times New Roman" w:eastAsia="宋体" w:cs="Times New Roman"/>
                      <w:sz w:val="21"/>
                      <w:szCs w:val="21"/>
                      <w:vertAlign w:val="baseline"/>
                    </w:rPr>
                    <w:t>由骨料、沥青及粉料计量装置，拌和设备（4000KG搅拌缸、拌和能力320t/h），沥青喷射装置、温度传感器组成</w:t>
                  </w:r>
                </w:p>
              </w:tc>
              <w:tc>
                <w:tcPr>
                  <w:tcW w:w="737" w:type="dxa"/>
                  <w:shd w:val="clear" w:color="auto" w:fill="auto"/>
                  <w:noWrap w:val="0"/>
                  <w:vAlign w:val="center"/>
                </w:tcPr>
                <w:p w14:paraId="7F5A2E0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rPr>
                    <w:t>套</w:t>
                  </w:r>
                </w:p>
              </w:tc>
              <w:tc>
                <w:tcPr>
                  <w:tcW w:w="734" w:type="dxa"/>
                  <w:noWrap w:val="0"/>
                  <w:vAlign w:val="center"/>
                </w:tcPr>
                <w:p w14:paraId="4354B564">
                  <w:pPr>
                    <w:spacing w:line="240" w:lineRule="exact"/>
                    <w:jc w:val="center"/>
                    <w:rPr>
                      <w:rFonts w:hint="eastAsia" w:eastAsia="宋体"/>
                      <w:bCs/>
                      <w:szCs w:val="21"/>
                      <w:lang w:val="en-US" w:eastAsia="zh-CN"/>
                    </w:rPr>
                  </w:pPr>
                  <w:r>
                    <w:rPr>
                      <w:rFonts w:hint="eastAsia"/>
                      <w:bCs/>
                      <w:szCs w:val="21"/>
                      <w:lang w:val="en-US" w:eastAsia="zh-CN"/>
                    </w:rPr>
                    <w:t>1</w:t>
                  </w:r>
                </w:p>
              </w:tc>
            </w:tr>
            <w:tr w14:paraId="199FCC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66" w:type="dxa"/>
                  <w:noWrap w:val="0"/>
                  <w:vAlign w:val="center"/>
                </w:tcPr>
                <w:p w14:paraId="187DB4BB">
                  <w:pPr>
                    <w:spacing w:line="240" w:lineRule="exact"/>
                    <w:jc w:val="center"/>
                    <w:rPr>
                      <w:bCs/>
                      <w:szCs w:val="21"/>
                    </w:rPr>
                  </w:pPr>
                  <w:r>
                    <w:rPr>
                      <w:bCs/>
                      <w:szCs w:val="21"/>
                    </w:rPr>
                    <w:t>5</w:t>
                  </w:r>
                </w:p>
              </w:tc>
              <w:tc>
                <w:tcPr>
                  <w:tcW w:w="2000" w:type="dxa"/>
                  <w:shd w:val="clear" w:color="auto" w:fill="auto"/>
                  <w:noWrap w:val="0"/>
                  <w:vAlign w:val="center"/>
                </w:tcPr>
                <w:p w14:paraId="05D0B18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rPr>
                    <w:t>粉料供应系统</w:t>
                  </w:r>
                </w:p>
              </w:tc>
              <w:tc>
                <w:tcPr>
                  <w:tcW w:w="3663" w:type="dxa"/>
                  <w:noWrap w:val="0"/>
                  <w:vAlign w:val="center"/>
                </w:tcPr>
                <w:p w14:paraId="7E5C2AA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Cs/>
                      <w:szCs w:val="21"/>
                    </w:rPr>
                  </w:pPr>
                  <w:r>
                    <w:rPr>
                      <w:rFonts w:hint="default" w:ascii="Times New Roman" w:hAnsi="Times New Roman" w:eastAsia="宋体" w:cs="Times New Roman"/>
                      <w:sz w:val="21"/>
                      <w:szCs w:val="21"/>
                      <w:vertAlign w:val="baseline"/>
                    </w:rPr>
                    <w:t>由</w:t>
                  </w:r>
                  <w:r>
                    <w:rPr>
                      <w:rFonts w:hint="eastAsia" w:cs="Times New Roman"/>
                      <w:sz w:val="21"/>
                      <w:szCs w:val="21"/>
                      <w:vertAlign w:val="baseline"/>
                      <w:lang w:val="en-US" w:eastAsia="zh-CN"/>
                    </w:rPr>
                    <w:t>粉料</w:t>
                  </w:r>
                  <w:r>
                    <w:rPr>
                      <w:rFonts w:hint="default" w:ascii="Times New Roman" w:hAnsi="Times New Roman" w:eastAsia="宋体" w:cs="Times New Roman"/>
                      <w:sz w:val="21"/>
                      <w:szCs w:val="21"/>
                      <w:vertAlign w:val="baseline"/>
                    </w:rPr>
                    <w:t>储仓、螺旋输送机、</w:t>
                  </w:r>
                  <w:r>
                    <w:rPr>
                      <w:rFonts w:hint="eastAsia" w:cs="Times New Roman"/>
                      <w:sz w:val="21"/>
                      <w:szCs w:val="21"/>
                      <w:vertAlign w:val="baseline"/>
                      <w:lang w:val="en-US" w:eastAsia="zh-CN"/>
                    </w:rPr>
                    <w:t>粉料</w:t>
                  </w:r>
                  <w:r>
                    <w:rPr>
                      <w:rFonts w:hint="default" w:ascii="Times New Roman" w:hAnsi="Times New Roman" w:eastAsia="宋体" w:cs="Times New Roman"/>
                      <w:sz w:val="21"/>
                      <w:szCs w:val="21"/>
                      <w:vertAlign w:val="baseline"/>
                    </w:rPr>
                    <w:t>提升机组成</w:t>
                  </w:r>
                </w:p>
              </w:tc>
              <w:tc>
                <w:tcPr>
                  <w:tcW w:w="737" w:type="dxa"/>
                  <w:shd w:val="clear" w:color="auto" w:fill="auto"/>
                  <w:noWrap w:val="0"/>
                  <w:vAlign w:val="center"/>
                </w:tcPr>
                <w:p w14:paraId="021F58F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rPr>
                    <w:t>套</w:t>
                  </w:r>
                </w:p>
              </w:tc>
              <w:tc>
                <w:tcPr>
                  <w:tcW w:w="734" w:type="dxa"/>
                  <w:noWrap w:val="0"/>
                  <w:vAlign w:val="center"/>
                </w:tcPr>
                <w:p w14:paraId="44FCC6D9">
                  <w:pPr>
                    <w:spacing w:line="240" w:lineRule="exact"/>
                    <w:jc w:val="center"/>
                    <w:rPr>
                      <w:rFonts w:hint="eastAsia" w:eastAsia="宋体"/>
                      <w:bCs/>
                      <w:szCs w:val="21"/>
                      <w:lang w:val="en-US" w:eastAsia="zh-CN"/>
                    </w:rPr>
                  </w:pPr>
                  <w:r>
                    <w:rPr>
                      <w:rFonts w:hint="eastAsia"/>
                      <w:bCs/>
                      <w:szCs w:val="21"/>
                      <w:lang w:val="en-US" w:eastAsia="zh-CN"/>
                    </w:rPr>
                    <w:t>1</w:t>
                  </w:r>
                </w:p>
              </w:tc>
            </w:tr>
            <w:tr w14:paraId="250E6B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66" w:type="dxa"/>
                  <w:noWrap w:val="0"/>
                  <w:vAlign w:val="center"/>
                </w:tcPr>
                <w:p w14:paraId="16FD49C1">
                  <w:pPr>
                    <w:spacing w:line="240" w:lineRule="exact"/>
                    <w:jc w:val="center"/>
                    <w:rPr>
                      <w:bCs/>
                      <w:szCs w:val="21"/>
                    </w:rPr>
                  </w:pPr>
                  <w:r>
                    <w:rPr>
                      <w:bCs/>
                      <w:szCs w:val="21"/>
                    </w:rPr>
                    <w:t>6</w:t>
                  </w:r>
                </w:p>
              </w:tc>
              <w:tc>
                <w:tcPr>
                  <w:tcW w:w="2000" w:type="dxa"/>
                  <w:shd w:val="clear" w:color="auto" w:fill="auto"/>
                  <w:noWrap w:val="0"/>
                  <w:vAlign w:val="center"/>
                </w:tcPr>
                <w:p w14:paraId="03109DB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rPr>
                    <w:t>导热油炉</w:t>
                  </w:r>
                </w:p>
              </w:tc>
              <w:tc>
                <w:tcPr>
                  <w:tcW w:w="3663" w:type="dxa"/>
                  <w:noWrap w:val="0"/>
                  <w:vAlign w:val="center"/>
                </w:tcPr>
                <w:p w14:paraId="27F2DA2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宋体"/>
                      <w:bCs/>
                      <w:szCs w:val="21"/>
                      <w:lang w:eastAsia="zh-CN"/>
                    </w:rPr>
                  </w:pPr>
                  <w:r>
                    <w:rPr>
                      <w:rFonts w:hint="eastAsia" w:cs="Times New Roman"/>
                      <w:sz w:val="21"/>
                      <w:szCs w:val="21"/>
                      <w:vertAlign w:val="baseline"/>
                      <w:lang w:val="en-US" w:eastAsia="zh-CN"/>
                    </w:rPr>
                    <w:t>/</w:t>
                  </w:r>
                </w:p>
              </w:tc>
              <w:tc>
                <w:tcPr>
                  <w:tcW w:w="737" w:type="dxa"/>
                  <w:shd w:val="clear" w:color="auto" w:fill="auto"/>
                  <w:noWrap w:val="0"/>
                  <w:vAlign w:val="center"/>
                </w:tcPr>
                <w:p w14:paraId="2C21204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rPr>
                    <w:t>台</w:t>
                  </w:r>
                </w:p>
              </w:tc>
              <w:tc>
                <w:tcPr>
                  <w:tcW w:w="734" w:type="dxa"/>
                  <w:noWrap w:val="0"/>
                  <w:vAlign w:val="center"/>
                </w:tcPr>
                <w:p w14:paraId="1BB8E085">
                  <w:pPr>
                    <w:spacing w:line="240" w:lineRule="exact"/>
                    <w:jc w:val="center"/>
                    <w:rPr>
                      <w:rFonts w:hint="eastAsia" w:eastAsia="宋体"/>
                      <w:bCs/>
                      <w:szCs w:val="21"/>
                      <w:lang w:val="en-US" w:eastAsia="zh-CN"/>
                    </w:rPr>
                  </w:pPr>
                  <w:r>
                    <w:rPr>
                      <w:rFonts w:hint="eastAsia"/>
                      <w:bCs/>
                      <w:szCs w:val="21"/>
                      <w:lang w:val="en-US" w:eastAsia="zh-CN"/>
                    </w:rPr>
                    <w:t>1</w:t>
                  </w:r>
                </w:p>
              </w:tc>
            </w:tr>
            <w:tr w14:paraId="731C42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66" w:type="dxa"/>
                  <w:noWrap w:val="0"/>
                  <w:vAlign w:val="center"/>
                </w:tcPr>
                <w:p w14:paraId="19BF612D">
                  <w:pPr>
                    <w:spacing w:line="240" w:lineRule="exact"/>
                    <w:jc w:val="center"/>
                    <w:rPr>
                      <w:bCs/>
                      <w:szCs w:val="21"/>
                    </w:rPr>
                  </w:pPr>
                  <w:r>
                    <w:rPr>
                      <w:bCs/>
                      <w:szCs w:val="21"/>
                    </w:rPr>
                    <w:t>7</w:t>
                  </w:r>
                </w:p>
              </w:tc>
              <w:tc>
                <w:tcPr>
                  <w:tcW w:w="2000" w:type="dxa"/>
                  <w:shd w:val="clear" w:color="auto" w:fill="auto"/>
                  <w:noWrap w:val="0"/>
                  <w:vAlign w:val="center"/>
                </w:tcPr>
                <w:p w14:paraId="063C5FA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rPr>
                    <w:t>沥青储罐</w:t>
                  </w:r>
                </w:p>
              </w:tc>
              <w:tc>
                <w:tcPr>
                  <w:tcW w:w="3663" w:type="dxa"/>
                  <w:noWrap w:val="0"/>
                  <w:vAlign w:val="center"/>
                </w:tcPr>
                <w:p w14:paraId="6F75B1D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bCs/>
                      <w:szCs w:val="21"/>
                      <w:lang w:val="en-US" w:eastAsia="zh-CN"/>
                    </w:rPr>
                  </w:pPr>
                  <w:r>
                    <w:rPr>
                      <w:rFonts w:hint="default" w:ascii="Times New Roman" w:hAnsi="Times New Roman" w:eastAsia="宋体" w:cs="Times New Roman"/>
                      <w:sz w:val="21"/>
                      <w:szCs w:val="21"/>
                      <w:vertAlign w:val="baseline"/>
                    </w:rPr>
                    <w:t>50t</w:t>
                  </w:r>
                </w:p>
              </w:tc>
              <w:tc>
                <w:tcPr>
                  <w:tcW w:w="737" w:type="dxa"/>
                  <w:shd w:val="clear" w:color="auto" w:fill="auto"/>
                  <w:noWrap w:val="0"/>
                  <w:vAlign w:val="center"/>
                </w:tcPr>
                <w:p w14:paraId="3532D95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rPr>
                    <w:t>个</w:t>
                  </w:r>
                </w:p>
              </w:tc>
              <w:tc>
                <w:tcPr>
                  <w:tcW w:w="734" w:type="dxa"/>
                  <w:noWrap w:val="0"/>
                  <w:vAlign w:val="center"/>
                </w:tcPr>
                <w:p w14:paraId="25D6542D">
                  <w:pPr>
                    <w:spacing w:line="240" w:lineRule="exact"/>
                    <w:jc w:val="center"/>
                    <w:rPr>
                      <w:rFonts w:hint="default" w:eastAsia="宋体"/>
                      <w:bCs/>
                      <w:szCs w:val="21"/>
                      <w:lang w:val="en-US" w:eastAsia="zh-CN"/>
                    </w:rPr>
                  </w:pPr>
                  <w:r>
                    <w:rPr>
                      <w:rFonts w:hint="eastAsia"/>
                      <w:bCs/>
                      <w:szCs w:val="21"/>
                      <w:lang w:val="en-US" w:eastAsia="zh-CN"/>
                    </w:rPr>
                    <w:t>4</w:t>
                  </w:r>
                </w:p>
              </w:tc>
            </w:tr>
          </w:tbl>
          <w:p w14:paraId="5B843A3F">
            <w:pPr>
              <w:autoSpaceDE w:val="0"/>
              <w:autoSpaceDN w:val="0"/>
              <w:jc w:val="center"/>
              <w:rPr>
                <w:b/>
                <w:szCs w:val="21"/>
              </w:rPr>
            </w:pPr>
          </w:p>
          <w:p w14:paraId="3AEB5383">
            <w:pPr>
              <w:pStyle w:val="17"/>
              <w:spacing w:after="0" w:line="360" w:lineRule="auto"/>
              <w:ind w:left="0" w:leftChars="0"/>
              <w:rPr>
                <w:rFonts w:hint="eastAsia"/>
                <w:b/>
                <w:sz w:val="24"/>
              </w:rPr>
            </w:pPr>
            <w:r>
              <w:rPr>
                <w:b/>
                <w:sz w:val="24"/>
              </w:rPr>
              <w:t>二</w:t>
            </w:r>
            <w:r>
              <w:rPr>
                <w:rFonts w:hint="eastAsia"/>
                <w:b/>
                <w:sz w:val="24"/>
              </w:rPr>
              <w:t>、原项目环评批复及验收情况</w:t>
            </w:r>
          </w:p>
          <w:p w14:paraId="72EF3286">
            <w:pPr>
              <w:pStyle w:val="17"/>
              <w:spacing w:after="0" w:line="360" w:lineRule="auto"/>
              <w:ind w:left="0" w:leftChars="0" w:firstLine="480" w:firstLineChars="200"/>
              <w:rPr>
                <w:rFonts w:hint="eastAsia"/>
                <w:sz w:val="24"/>
              </w:rPr>
            </w:pPr>
            <w:r>
              <w:rPr>
                <w:rFonts w:hint="eastAsia"/>
                <w:sz w:val="24"/>
              </w:rPr>
              <w:t>原项目环评审批及验收情况见下表：</w:t>
            </w:r>
          </w:p>
          <w:p w14:paraId="371B377B">
            <w:pPr>
              <w:numPr>
                <w:ilvl w:val="0"/>
                <w:numId w:val="4"/>
              </w:numPr>
              <w:tabs>
                <w:tab w:val="left" w:pos="0"/>
              </w:tabs>
              <w:jc w:val="center"/>
              <w:rPr>
                <w:rFonts w:hint="eastAsia"/>
                <w:b/>
                <w:szCs w:val="21"/>
              </w:rPr>
            </w:pPr>
            <w:r>
              <w:rPr>
                <w:rFonts w:hint="eastAsia"/>
                <w:b/>
                <w:szCs w:val="21"/>
              </w:rPr>
              <w:t>原项目审批及验收情况一览表</w:t>
            </w:r>
          </w:p>
          <w:tbl>
            <w:tblPr>
              <w:tblStyle w:val="26"/>
              <w:tblW w:w="802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79"/>
              <w:gridCol w:w="1810"/>
              <w:gridCol w:w="2410"/>
              <w:gridCol w:w="2126"/>
            </w:tblGrid>
            <w:tr w14:paraId="04E0DE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79" w:type="dxa"/>
                  <w:noWrap w:val="0"/>
                  <w:vAlign w:val="center"/>
                </w:tcPr>
                <w:p w14:paraId="01D011BF">
                  <w:pPr>
                    <w:pStyle w:val="17"/>
                    <w:spacing w:after="0" w:line="240" w:lineRule="exact"/>
                    <w:ind w:left="0" w:leftChars="0"/>
                    <w:jc w:val="center"/>
                    <w:rPr>
                      <w:szCs w:val="21"/>
                    </w:rPr>
                  </w:pPr>
                  <w:r>
                    <w:rPr>
                      <w:szCs w:val="21"/>
                    </w:rPr>
                    <w:t>报告名称</w:t>
                  </w:r>
                </w:p>
              </w:tc>
              <w:tc>
                <w:tcPr>
                  <w:tcW w:w="1810" w:type="dxa"/>
                  <w:noWrap w:val="0"/>
                  <w:vAlign w:val="center"/>
                </w:tcPr>
                <w:p w14:paraId="0BD483D5">
                  <w:pPr>
                    <w:pStyle w:val="17"/>
                    <w:spacing w:after="0" w:line="240" w:lineRule="exact"/>
                    <w:ind w:left="0" w:leftChars="0"/>
                    <w:jc w:val="center"/>
                    <w:rPr>
                      <w:szCs w:val="21"/>
                    </w:rPr>
                  </w:pPr>
                  <w:r>
                    <w:rPr>
                      <w:szCs w:val="21"/>
                    </w:rPr>
                    <w:t>批复部门</w:t>
                  </w:r>
                </w:p>
              </w:tc>
              <w:tc>
                <w:tcPr>
                  <w:tcW w:w="2410" w:type="dxa"/>
                  <w:noWrap w:val="0"/>
                  <w:vAlign w:val="center"/>
                </w:tcPr>
                <w:p w14:paraId="559655BF">
                  <w:pPr>
                    <w:pStyle w:val="17"/>
                    <w:spacing w:after="0" w:line="240" w:lineRule="exact"/>
                    <w:ind w:left="0" w:leftChars="0"/>
                    <w:jc w:val="center"/>
                    <w:rPr>
                      <w:szCs w:val="21"/>
                    </w:rPr>
                  </w:pPr>
                  <w:r>
                    <w:rPr>
                      <w:szCs w:val="21"/>
                    </w:rPr>
                    <w:t>批复文号</w:t>
                  </w:r>
                </w:p>
              </w:tc>
              <w:tc>
                <w:tcPr>
                  <w:tcW w:w="2126" w:type="dxa"/>
                  <w:noWrap w:val="0"/>
                  <w:vAlign w:val="center"/>
                </w:tcPr>
                <w:p w14:paraId="7B96414F">
                  <w:pPr>
                    <w:pStyle w:val="17"/>
                    <w:spacing w:after="0" w:line="240" w:lineRule="exact"/>
                    <w:ind w:left="0" w:leftChars="0"/>
                    <w:jc w:val="center"/>
                    <w:rPr>
                      <w:szCs w:val="21"/>
                    </w:rPr>
                  </w:pPr>
                  <w:r>
                    <w:rPr>
                      <w:szCs w:val="21"/>
                    </w:rPr>
                    <w:t>“三同时”及验收情况</w:t>
                  </w:r>
                </w:p>
              </w:tc>
            </w:tr>
            <w:tr w14:paraId="74607C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79" w:type="dxa"/>
                  <w:noWrap w:val="0"/>
                  <w:vAlign w:val="center"/>
                </w:tcPr>
                <w:p w14:paraId="7BFE8B42">
                  <w:pPr>
                    <w:pStyle w:val="17"/>
                    <w:spacing w:after="0" w:line="240" w:lineRule="exact"/>
                    <w:ind w:left="0" w:leftChars="0"/>
                    <w:jc w:val="center"/>
                    <w:rPr>
                      <w:szCs w:val="21"/>
                    </w:rPr>
                  </w:pPr>
                  <w:r>
                    <w:rPr>
                      <w:rFonts w:hint="eastAsia"/>
                      <w:szCs w:val="21"/>
                    </w:rPr>
                    <w:t>环保节能沥青混凝土生产项目</w:t>
                  </w:r>
                </w:p>
              </w:tc>
              <w:tc>
                <w:tcPr>
                  <w:tcW w:w="1810" w:type="dxa"/>
                  <w:noWrap w:val="0"/>
                  <w:vAlign w:val="center"/>
                </w:tcPr>
                <w:p w14:paraId="530F1E42">
                  <w:pPr>
                    <w:pStyle w:val="17"/>
                    <w:spacing w:after="0" w:line="240" w:lineRule="exact"/>
                    <w:ind w:left="0" w:leftChars="0"/>
                    <w:jc w:val="center"/>
                    <w:rPr>
                      <w:rFonts w:hint="default" w:eastAsia="宋体"/>
                      <w:szCs w:val="21"/>
                      <w:lang w:val="en-US" w:eastAsia="zh-CN"/>
                    </w:rPr>
                  </w:pPr>
                  <w:r>
                    <w:rPr>
                      <w:rFonts w:hint="eastAsia"/>
                      <w:szCs w:val="21"/>
                      <w:lang w:val="en-US" w:eastAsia="zh-CN"/>
                    </w:rPr>
                    <w:t>达州市通川生态环境局</w:t>
                  </w:r>
                </w:p>
              </w:tc>
              <w:tc>
                <w:tcPr>
                  <w:tcW w:w="2410" w:type="dxa"/>
                  <w:noWrap w:val="0"/>
                  <w:vAlign w:val="center"/>
                </w:tcPr>
                <w:p w14:paraId="75FE6D50">
                  <w:pPr>
                    <w:pStyle w:val="17"/>
                    <w:spacing w:after="0" w:line="240" w:lineRule="exact"/>
                    <w:ind w:left="0" w:leftChars="0"/>
                    <w:jc w:val="center"/>
                    <w:rPr>
                      <w:szCs w:val="21"/>
                    </w:rPr>
                  </w:pPr>
                  <w:r>
                    <w:rPr>
                      <w:rFonts w:hint="eastAsia"/>
                      <w:szCs w:val="21"/>
                      <w:lang w:val="en-US" w:eastAsia="zh-CN"/>
                    </w:rPr>
                    <w:t>通</w:t>
                  </w:r>
                  <w:r>
                    <w:rPr>
                      <w:rFonts w:hint="eastAsia"/>
                      <w:szCs w:val="21"/>
                    </w:rPr>
                    <w:t>环</w:t>
                  </w:r>
                  <w:r>
                    <w:rPr>
                      <w:rFonts w:hint="eastAsia"/>
                      <w:szCs w:val="21"/>
                      <w:lang w:val="en-US" w:eastAsia="zh-CN"/>
                    </w:rPr>
                    <w:t>审批</w:t>
                  </w:r>
                  <w:r>
                    <w:rPr>
                      <w:rFonts w:hint="eastAsia"/>
                      <w:szCs w:val="21"/>
                      <w:lang w:eastAsia="zh-CN"/>
                    </w:rPr>
                    <w:t>【</w:t>
                  </w:r>
                  <w:r>
                    <w:rPr>
                      <w:rFonts w:hint="eastAsia"/>
                      <w:szCs w:val="21"/>
                      <w:lang w:val="en-US" w:eastAsia="zh-CN"/>
                    </w:rPr>
                    <w:t>2022</w:t>
                  </w:r>
                  <w:r>
                    <w:rPr>
                      <w:rFonts w:hint="eastAsia"/>
                      <w:szCs w:val="21"/>
                      <w:lang w:eastAsia="zh-CN"/>
                    </w:rPr>
                    <w:t>】</w:t>
                  </w:r>
                  <w:r>
                    <w:rPr>
                      <w:rFonts w:hint="eastAsia"/>
                      <w:szCs w:val="21"/>
                      <w:lang w:val="en-US" w:eastAsia="zh-CN"/>
                    </w:rPr>
                    <w:t>08</w:t>
                  </w:r>
                  <w:r>
                    <w:rPr>
                      <w:rFonts w:hint="eastAsia"/>
                      <w:szCs w:val="21"/>
                      <w:lang w:eastAsia="zh-CN"/>
                    </w:rPr>
                    <w:t>号</w:t>
                  </w:r>
                </w:p>
              </w:tc>
              <w:tc>
                <w:tcPr>
                  <w:tcW w:w="2126" w:type="dxa"/>
                  <w:noWrap w:val="0"/>
                  <w:vAlign w:val="center"/>
                </w:tcPr>
                <w:p w14:paraId="05F0333A">
                  <w:pPr>
                    <w:pStyle w:val="17"/>
                    <w:spacing w:after="0" w:line="240" w:lineRule="exact"/>
                    <w:ind w:left="0" w:leftChars="0"/>
                    <w:jc w:val="center"/>
                    <w:rPr>
                      <w:rFonts w:hint="default" w:eastAsia="宋体"/>
                      <w:szCs w:val="21"/>
                      <w:lang w:val="en-US" w:eastAsia="zh-CN"/>
                    </w:rPr>
                  </w:pPr>
                  <w:r>
                    <w:rPr>
                      <w:rFonts w:hint="eastAsia"/>
                      <w:szCs w:val="21"/>
                      <w:lang w:val="en-US" w:eastAsia="zh-CN"/>
                    </w:rPr>
                    <w:t>2022年9月18日已完成环保竣工验收</w:t>
                  </w:r>
                </w:p>
              </w:tc>
            </w:tr>
          </w:tbl>
          <w:p w14:paraId="18B5E059">
            <w:pPr>
              <w:pStyle w:val="17"/>
              <w:spacing w:after="0" w:line="240" w:lineRule="auto"/>
              <w:ind w:left="0" w:leftChars="0"/>
              <w:jc w:val="center"/>
              <w:rPr>
                <w:bCs/>
                <w:szCs w:val="21"/>
              </w:rPr>
            </w:pPr>
          </w:p>
          <w:p w14:paraId="792D2F6B">
            <w:pPr>
              <w:pStyle w:val="17"/>
              <w:spacing w:after="0" w:line="360" w:lineRule="auto"/>
              <w:ind w:left="0" w:leftChars="0"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根据收集资料及现场调查，原项目运营期间未收到相关环保投诉。</w:t>
            </w:r>
            <w:r>
              <w:rPr>
                <w:rFonts w:hint="eastAsia" w:cs="Times New Roman"/>
                <w:sz w:val="24"/>
                <w:lang w:val="en-US" w:eastAsia="zh-CN"/>
              </w:rPr>
              <w:t>原项目运营期间环保设施运行状态良好，“三废”及噪声菌功能实现达标排放，合理处置</w:t>
            </w:r>
            <w:r>
              <w:rPr>
                <w:rFonts w:hint="eastAsia" w:ascii="Times New Roman" w:hAnsi="Times New Roman" w:eastAsia="宋体" w:cs="Times New Roman"/>
                <w:sz w:val="24"/>
                <w:lang w:val="en-US" w:eastAsia="zh-CN"/>
              </w:rPr>
              <w:t>。</w:t>
            </w:r>
          </w:p>
          <w:p w14:paraId="432AEBB9">
            <w:pPr>
              <w:pStyle w:val="17"/>
              <w:spacing w:after="0" w:line="360" w:lineRule="auto"/>
              <w:ind w:left="0" w:leftChars="0"/>
              <w:rPr>
                <w:b/>
                <w:sz w:val="24"/>
              </w:rPr>
            </w:pPr>
            <w:r>
              <w:rPr>
                <w:b/>
                <w:sz w:val="24"/>
              </w:rPr>
              <w:t>三</w:t>
            </w:r>
            <w:r>
              <w:rPr>
                <w:rFonts w:hint="eastAsia"/>
                <w:b/>
                <w:sz w:val="24"/>
              </w:rPr>
              <w:t>、原项目工艺流程及产污节点</w:t>
            </w:r>
          </w:p>
          <w:p w14:paraId="7A280E48">
            <w:pPr>
              <w:spacing w:line="360" w:lineRule="auto"/>
              <w:ind w:firstLine="480" w:firstLineChars="200"/>
              <w:rPr>
                <w:sz w:val="24"/>
              </w:rPr>
            </w:pPr>
            <w:r>
              <w:rPr>
                <w:sz w:val="24"/>
              </w:rPr>
              <w:t>原项目工艺流程及产污环节如下图所示：</w:t>
            </w:r>
          </w:p>
          <w:p w14:paraId="75976E87">
            <w:pPr>
              <w:autoSpaceDE w:val="0"/>
              <w:autoSpaceDN w:val="0"/>
              <w:jc w:val="center"/>
              <w:rPr>
                <w:b/>
                <w:szCs w:val="21"/>
              </w:rPr>
            </w:pPr>
            <w:r>
              <w:drawing>
                <wp:inline distT="0" distB="0" distL="114300" distR="114300">
                  <wp:extent cx="5156200" cy="3939540"/>
                  <wp:effectExtent l="0" t="0" r="6350" b="3810"/>
                  <wp:docPr id="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
                          <pic:cNvPicPr>
                            <a:picLocks noChangeAspect="1"/>
                          </pic:cNvPicPr>
                        </pic:nvPicPr>
                        <pic:blipFill>
                          <a:blip r:embed="rId14"/>
                          <a:stretch>
                            <a:fillRect/>
                          </a:stretch>
                        </pic:blipFill>
                        <pic:spPr>
                          <a:xfrm>
                            <a:off x="0" y="0"/>
                            <a:ext cx="5156200" cy="3939540"/>
                          </a:xfrm>
                          <a:prstGeom prst="rect">
                            <a:avLst/>
                          </a:prstGeom>
                          <a:noFill/>
                          <a:ln>
                            <a:noFill/>
                          </a:ln>
                        </pic:spPr>
                      </pic:pic>
                    </a:graphicData>
                  </a:graphic>
                </wp:inline>
              </w:drawing>
            </w:r>
          </w:p>
          <w:p w14:paraId="736E4A3A">
            <w:pPr>
              <w:autoSpaceDE w:val="0"/>
              <w:autoSpaceDN w:val="0"/>
              <w:jc w:val="center"/>
              <w:rPr>
                <w:rFonts w:eastAsia="黑体"/>
                <w:szCs w:val="21"/>
              </w:rPr>
            </w:pPr>
            <w:r>
              <w:rPr>
                <w:b/>
                <w:szCs w:val="21"/>
              </w:rPr>
              <w:t>图</w:t>
            </w:r>
            <w:r>
              <w:rPr>
                <w:rFonts w:hint="eastAsia"/>
                <w:b/>
                <w:szCs w:val="21"/>
              </w:rPr>
              <w:t xml:space="preserve">2-6 </w:t>
            </w:r>
            <w:r>
              <w:rPr>
                <w:b/>
                <w:szCs w:val="21"/>
              </w:rPr>
              <w:t xml:space="preserve"> </w:t>
            </w:r>
            <w:r>
              <w:rPr>
                <w:rFonts w:hint="eastAsia"/>
                <w:b/>
                <w:szCs w:val="21"/>
              </w:rPr>
              <w:t>原项目运营期生产</w:t>
            </w:r>
            <w:r>
              <w:rPr>
                <w:b/>
                <w:szCs w:val="21"/>
              </w:rPr>
              <w:t>工艺流程及产污</w:t>
            </w:r>
            <w:r>
              <w:rPr>
                <w:b/>
                <w:bCs/>
              </w:rPr>
              <w:t>位置示意图</w:t>
            </w:r>
          </w:p>
          <w:p w14:paraId="3DE162A0">
            <w:pPr>
              <w:autoSpaceDE w:val="0"/>
              <w:autoSpaceDN w:val="0"/>
              <w:spacing w:line="360" w:lineRule="auto"/>
              <w:ind w:firstLine="482" w:firstLineChars="200"/>
              <w:rPr>
                <w:b/>
                <w:bCs/>
                <w:sz w:val="24"/>
              </w:rPr>
            </w:pPr>
            <w:r>
              <w:rPr>
                <w:b/>
                <w:bCs/>
                <w:sz w:val="24"/>
              </w:rPr>
              <w:t>工艺流程简述：</w:t>
            </w:r>
          </w:p>
          <w:p w14:paraId="189FFE3C">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沥青混凝土由石油沥青和骨料（砂石）混合拌制而成。其一般流程可分为沥青预处理和骨料预处理，而后进入拌缸拌合后即成为成品。</w:t>
            </w:r>
          </w:p>
          <w:p w14:paraId="70D59FCC">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沥青预处理：进厂时为散装石油沥青，由专用沥青运输车将沥青通过密闭沥青管道送至沥青储罐，使用导热油将其加热至150℃-180℃，导热油炉以天然气作为燃料，热沥青由沥青泵输送到沥青计量器送入拌和站的拌缸内与骨料钙粉混合。沥青预处理产生的主要污染物为：沥青烟气、导热油炉天然气燃烧废气、噪声。</w:t>
            </w:r>
          </w:p>
          <w:p w14:paraId="12C44C9D">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骨料预处理：满足产品需要规格的骨料从料场通过皮带输送式给料机自动给料，此过程采用完全封闭的输送方式，下料运输过程无粉尘产生。骨料（主要是砂料和石子）由带输送式给料机送入烘干筒，干燥滚筒为封闭环境，由天然气供热，采用逆料流加热的方式将骨料烘干加热到一定的干燥程度，燃烧器火焰自烘干滚筒出料口一端喷入，热气流逆着料流方向穿过滚筒时被骨料吸走热量后，通过布袋除尘器净化后，废气再从排气筒排出。加热的骨料通过骨料提升机送到粒度检控系统内经过振动筛分，让符合产品要求的骨料通过，经计量后送入拌合缸；少数不合规格的骨料被分离后由专门出口排出，由斗车送回料场；烘干转筒、粒度控制筛都在密闭的设备内工作，其振动筛分产生的粉尘由系统内的布袋捕集回收后送入拌缸。项目骨料预处理的主要污染物为：骨料烘干振筛粉尘、烘干筒天然气燃烧废气、废石料、噪声。</w:t>
            </w:r>
          </w:p>
          <w:p w14:paraId="6C6508FF">
            <w:pPr>
              <w:spacing w:line="360" w:lineRule="auto"/>
              <w:ind w:firstLine="480" w:firstLineChars="200"/>
              <w:rPr>
                <w:rFonts w:hint="eastAsia" w:ascii="Times New Roman" w:hAnsi="Times New Roman" w:eastAsia="宋体" w:cs="Times New Roman"/>
                <w:sz w:val="24"/>
                <w:szCs w:val="24"/>
                <w:lang w:eastAsia="zh-CN"/>
              </w:rPr>
            </w:pPr>
            <w:r>
              <w:rPr>
                <w:rFonts w:hint="eastAsia" w:cs="Times New Roman"/>
                <w:sz w:val="24"/>
                <w:szCs w:val="24"/>
                <w:lang w:val="en-US" w:eastAsia="zh-CN"/>
              </w:rPr>
              <w:t>粉料</w:t>
            </w:r>
            <w:r>
              <w:rPr>
                <w:rFonts w:hint="eastAsia" w:ascii="Times New Roman" w:hAnsi="Times New Roman" w:eastAsia="宋体" w:cs="Times New Roman"/>
                <w:sz w:val="24"/>
                <w:szCs w:val="24"/>
                <w:lang w:eastAsia="zh-CN"/>
              </w:rPr>
              <w:t>进料：与沥青、骨料一起同时进入拌缸的还有</w:t>
            </w:r>
            <w:r>
              <w:rPr>
                <w:rFonts w:hint="eastAsia" w:cs="Times New Roman"/>
                <w:sz w:val="24"/>
                <w:szCs w:val="24"/>
                <w:lang w:val="en-US" w:eastAsia="zh-CN"/>
              </w:rPr>
              <w:t>粉料</w:t>
            </w:r>
            <w:r>
              <w:rPr>
                <w:rFonts w:hint="eastAsia" w:ascii="Times New Roman" w:hAnsi="Times New Roman" w:eastAsia="宋体" w:cs="Times New Roman"/>
                <w:sz w:val="24"/>
                <w:szCs w:val="24"/>
                <w:lang w:eastAsia="zh-CN"/>
              </w:rPr>
              <w:t>，</w:t>
            </w:r>
            <w:r>
              <w:rPr>
                <w:rFonts w:hint="eastAsia" w:cs="Times New Roman"/>
                <w:sz w:val="24"/>
                <w:szCs w:val="24"/>
                <w:lang w:val="en-US" w:eastAsia="zh-CN"/>
              </w:rPr>
              <w:t>粉料</w:t>
            </w:r>
            <w:r>
              <w:rPr>
                <w:rFonts w:hint="eastAsia" w:ascii="Times New Roman" w:hAnsi="Times New Roman" w:eastAsia="宋体" w:cs="Times New Roman"/>
                <w:sz w:val="24"/>
                <w:szCs w:val="24"/>
                <w:lang w:eastAsia="zh-CN"/>
              </w:rPr>
              <w:t>通过给料机、提升机、计量装置后进入拌缸。</w:t>
            </w:r>
          </w:p>
          <w:p w14:paraId="15891158">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拌合：进入拌缸的骨料、粉料等经与油罐送来的热沥青在搅拌缸内进行拌合，整个过程都在密闭系统中进行，出料温度为：155℃</w:t>
            </w:r>
            <w:r>
              <w:rPr>
                <w:rFonts w:hint="eastAsia" w:cs="Times New Roman"/>
                <w:sz w:val="24"/>
                <w:szCs w:val="24"/>
                <w:lang w:val="en-US" w:eastAsia="zh-CN"/>
              </w:rPr>
              <w:t>~</w:t>
            </w:r>
            <w:r>
              <w:rPr>
                <w:rFonts w:hint="eastAsia" w:ascii="Times New Roman" w:hAnsi="Times New Roman" w:eastAsia="宋体" w:cs="Times New Roman"/>
                <w:sz w:val="24"/>
                <w:szCs w:val="24"/>
                <w:lang w:eastAsia="zh-CN"/>
              </w:rPr>
              <w:t>185℃。由于加热的沥青具有强粘性，能捕集搅拌产生的粉尘，因此该工序不考虑产生的搅拌粉尘，搅拌产生的主要污染物为：沥青烟气、噪声。</w:t>
            </w:r>
          </w:p>
          <w:p w14:paraId="5919B51A">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出料：由拌缸直接下料装入运输车斗送出或拌缸直接下料至小斗车经滑道提升到成品仓后装入运输车斗送出，生产出料过程为间断式。</w:t>
            </w:r>
          </w:p>
          <w:p w14:paraId="2E36C4B0">
            <w:pPr>
              <w:pStyle w:val="17"/>
              <w:spacing w:after="0" w:line="360" w:lineRule="auto"/>
              <w:ind w:left="0" w:leftChars="0"/>
              <w:rPr>
                <w:rFonts w:hint="eastAsia"/>
                <w:b/>
                <w:sz w:val="24"/>
              </w:rPr>
            </w:pPr>
            <w:r>
              <w:rPr>
                <w:b/>
                <w:sz w:val="24"/>
              </w:rPr>
              <w:t>四</w:t>
            </w:r>
            <w:r>
              <w:rPr>
                <w:rFonts w:hint="eastAsia"/>
                <w:b/>
                <w:sz w:val="24"/>
              </w:rPr>
              <w:t>、原有工程采取的污染治理措施及排放情况</w:t>
            </w:r>
          </w:p>
          <w:p w14:paraId="5911FFEB">
            <w:pPr>
              <w:pStyle w:val="1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b w:val="0"/>
                <w:bCs/>
                <w:sz w:val="24"/>
              </w:rPr>
            </w:pPr>
            <w:r>
              <w:rPr>
                <w:rFonts w:hint="eastAsia"/>
                <w:b w:val="0"/>
                <w:bCs/>
                <w:sz w:val="24"/>
                <w:lang w:val="en-US" w:eastAsia="zh-CN"/>
              </w:rPr>
              <w:t>本次评价按照原项目</w:t>
            </w:r>
            <w:r>
              <w:rPr>
                <w:rFonts w:hint="eastAsia"/>
                <w:b w:val="0"/>
                <w:bCs/>
                <w:sz w:val="24"/>
              </w:rPr>
              <w:t>环评报告及验收</w:t>
            </w:r>
            <w:r>
              <w:rPr>
                <w:rFonts w:hint="eastAsia"/>
                <w:b w:val="0"/>
                <w:bCs/>
                <w:sz w:val="24"/>
                <w:lang w:val="en-US" w:eastAsia="zh-CN"/>
              </w:rPr>
              <w:t>监测</w:t>
            </w:r>
            <w:r>
              <w:rPr>
                <w:rFonts w:hint="eastAsia"/>
                <w:b w:val="0"/>
                <w:bCs/>
                <w:sz w:val="24"/>
              </w:rPr>
              <w:t>报告</w:t>
            </w:r>
            <w:r>
              <w:rPr>
                <w:rFonts w:hint="eastAsia"/>
                <w:b w:val="0"/>
                <w:bCs/>
                <w:sz w:val="24"/>
                <w:lang w:val="en-US" w:eastAsia="zh-CN"/>
              </w:rPr>
              <w:t>进行分析</w:t>
            </w:r>
            <w:r>
              <w:rPr>
                <w:rFonts w:hint="eastAsia"/>
                <w:b w:val="0"/>
                <w:bCs/>
                <w:sz w:val="24"/>
              </w:rPr>
              <w:t>，原</w:t>
            </w:r>
            <w:r>
              <w:rPr>
                <w:rFonts w:hint="eastAsia"/>
                <w:b w:val="0"/>
                <w:bCs/>
                <w:sz w:val="24"/>
                <w:lang w:val="en-US" w:eastAsia="zh-CN"/>
              </w:rPr>
              <w:t>项目</w:t>
            </w:r>
            <w:r>
              <w:rPr>
                <w:rFonts w:hint="eastAsia"/>
                <w:b w:val="0"/>
                <w:bCs/>
                <w:sz w:val="24"/>
              </w:rPr>
              <w:t>采取的污染治理措施及排放情况如下：</w:t>
            </w:r>
          </w:p>
          <w:p w14:paraId="28CBB98D">
            <w:pPr>
              <w:pStyle w:val="17"/>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b/>
                <w:sz w:val="24"/>
              </w:rPr>
            </w:pPr>
            <w:r>
              <w:rPr>
                <w:rFonts w:hint="eastAsia"/>
                <w:b/>
                <w:sz w:val="24"/>
              </w:rPr>
              <w:t>1、废水</w:t>
            </w:r>
          </w:p>
          <w:p w14:paraId="683FB156">
            <w:pPr>
              <w:spacing w:line="360" w:lineRule="auto"/>
              <w:ind w:firstLine="480" w:firstLineChars="200"/>
              <w:jc w:val="left"/>
              <w:rPr>
                <w:rFonts w:hint="default" w:eastAsia="宋体"/>
                <w:sz w:val="24"/>
                <w:lang w:val="en-US" w:eastAsia="zh-CN"/>
              </w:rPr>
            </w:pPr>
            <w:r>
              <w:rPr>
                <w:rFonts w:hint="eastAsia"/>
                <w:sz w:val="24"/>
              </w:rPr>
              <w:t>根据原</w:t>
            </w:r>
            <w:r>
              <w:rPr>
                <w:rFonts w:hint="eastAsia"/>
                <w:sz w:val="24"/>
                <w:lang w:val="en-US" w:eastAsia="zh-CN"/>
              </w:rPr>
              <w:t>项目</w:t>
            </w:r>
            <w:r>
              <w:rPr>
                <w:rFonts w:hint="eastAsia"/>
                <w:sz w:val="24"/>
              </w:rPr>
              <w:t>环评报告及验收</w:t>
            </w:r>
            <w:r>
              <w:rPr>
                <w:rFonts w:hint="eastAsia"/>
                <w:sz w:val="24"/>
                <w:lang w:val="en-US" w:eastAsia="zh-CN"/>
              </w:rPr>
              <w:t>监测</w:t>
            </w:r>
            <w:r>
              <w:rPr>
                <w:rFonts w:hint="eastAsia"/>
                <w:sz w:val="24"/>
              </w:rPr>
              <w:t>报告，原项目</w:t>
            </w:r>
            <w:r>
              <w:rPr>
                <w:rFonts w:hint="eastAsia"/>
                <w:sz w:val="24"/>
                <w:lang w:val="en-US" w:eastAsia="zh-CN"/>
              </w:rPr>
              <w:t>未设置员工食堂，运营过程产生的废水包括车辆清洗废水、实验室设施设备清洗废水及员工生活污水。</w:t>
            </w:r>
          </w:p>
          <w:p w14:paraId="7F0936EC">
            <w:pPr>
              <w:pStyle w:val="17"/>
              <w:spacing w:after="0" w:line="360" w:lineRule="auto"/>
              <w:ind w:left="0" w:leftChars="0" w:firstLine="480"/>
              <w:rPr>
                <w:rFonts w:hint="eastAsia"/>
                <w:sz w:val="24"/>
                <w:lang w:val="en-US" w:eastAsia="zh-CN"/>
              </w:rPr>
            </w:pPr>
            <w:r>
              <w:rPr>
                <w:rFonts w:hint="eastAsia"/>
                <w:b/>
                <w:bCs/>
                <w:sz w:val="24"/>
                <w:lang w:val="en-US" w:eastAsia="zh-CN"/>
              </w:rPr>
              <w:t>已采取的治理措施：</w:t>
            </w:r>
            <w:r>
              <w:rPr>
                <w:rFonts w:hint="eastAsia"/>
                <w:sz w:val="24"/>
                <w:lang w:val="en-US" w:eastAsia="zh-CN"/>
              </w:rPr>
              <w:t>车辆清洗废水、实验室设施设备清洗废水进入厂区设置的三级沉淀（30m</w:t>
            </w:r>
            <w:r>
              <w:rPr>
                <w:rFonts w:hint="eastAsia"/>
                <w:sz w:val="24"/>
                <w:vertAlign w:val="superscript"/>
                <w:lang w:val="en-US" w:eastAsia="zh-CN"/>
              </w:rPr>
              <w:t>3</w:t>
            </w:r>
            <w:r>
              <w:rPr>
                <w:rFonts w:hint="eastAsia"/>
                <w:sz w:val="24"/>
                <w:lang w:val="en-US" w:eastAsia="zh-CN"/>
              </w:rPr>
              <w:t>）池处理后回用于车辆清洗；生活污水经化粪池（20m</w:t>
            </w:r>
            <w:r>
              <w:rPr>
                <w:rFonts w:hint="eastAsia"/>
                <w:sz w:val="24"/>
                <w:vertAlign w:val="superscript"/>
                <w:lang w:val="en-US" w:eastAsia="zh-CN"/>
              </w:rPr>
              <w:t>3</w:t>
            </w:r>
            <w:r>
              <w:rPr>
                <w:rFonts w:hint="eastAsia"/>
                <w:sz w:val="24"/>
                <w:lang w:val="en-US" w:eastAsia="zh-CN"/>
              </w:rPr>
              <w:t>）处理后用作农肥。</w:t>
            </w:r>
          </w:p>
          <w:p w14:paraId="01A9921B">
            <w:pPr>
              <w:widowControl/>
              <w:spacing w:line="360" w:lineRule="auto"/>
              <w:ind w:firstLine="482" w:firstLineChars="200"/>
              <w:rPr>
                <w:rFonts w:hint="default"/>
                <w:b/>
                <w:sz w:val="24"/>
                <w:lang w:val="en-US"/>
              </w:rPr>
            </w:pPr>
            <w:r>
              <w:rPr>
                <w:rFonts w:hint="eastAsia"/>
                <w:b/>
                <w:sz w:val="24"/>
              </w:rPr>
              <w:t>存在的问题：</w:t>
            </w:r>
            <w:r>
              <w:rPr>
                <w:rFonts w:hint="eastAsia"/>
                <w:b w:val="0"/>
                <w:bCs/>
                <w:sz w:val="24"/>
                <w:lang w:val="en-US" w:eastAsia="zh-CN"/>
              </w:rPr>
              <w:t>车辆清洗废水中污染物主要为SS、石油类，已设置的三级沉淀池对石油类无处理效果。</w:t>
            </w:r>
          </w:p>
          <w:p w14:paraId="5F230EA8">
            <w:pPr>
              <w:widowControl/>
              <w:spacing w:line="360" w:lineRule="auto"/>
              <w:ind w:firstLine="482" w:firstLineChars="200"/>
              <w:rPr>
                <w:rFonts w:hint="default" w:eastAsia="宋体"/>
                <w:b/>
                <w:sz w:val="24"/>
                <w:lang w:val="en-US" w:eastAsia="zh-CN"/>
              </w:rPr>
            </w:pPr>
            <w:r>
              <w:rPr>
                <w:rFonts w:hint="eastAsia"/>
                <w:b/>
                <w:sz w:val="24"/>
              </w:rPr>
              <w:t>整改措施：</w:t>
            </w:r>
            <w:r>
              <w:rPr>
                <w:rFonts w:hint="eastAsia"/>
                <w:b w:val="0"/>
                <w:bCs/>
                <w:sz w:val="24"/>
                <w:lang w:val="en-US" w:eastAsia="zh-CN"/>
              </w:rPr>
              <w:t>车辆清洗区设置隔油池，车辆清洗废水、实验室设施设备清洗废水经隔油池+三级沉淀池处理后回用于</w:t>
            </w:r>
            <w:r>
              <w:rPr>
                <w:rFonts w:hint="eastAsia"/>
                <w:sz w:val="24"/>
                <w:lang w:val="en-US" w:eastAsia="zh-CN"/>
              </w:rPr>
              <w:t>车辆清洗。</w:t>
            </w:r>
          </w:p>
          <w:p w14:paraId="7CB93492">
            <w:pPr>
              <w:widowControl/>
              <w:spacing w:line="360" w:lineRule="auto"/>
              <w:ind w:firstLine="482" w:firstLineChars="200"/>
              <w:rPr>
                <w:bCs/>
                <w:sz w:val="24"/>
              </w:rPr>
            </w:pPr>
            <w:r>
              <w:rPr>
                <w:rFonts w:hint="eastAsia"/>
                <w:b/>
                <w:sz w:val="24"/>
              </w:rPr>
              <w:t>2、废气</w:t>
            </w:r>
          </w:p>
          <w:p w14:paraId="7DF7062C">
            <w:pPr>
              <w:pStyle w:val="9"/>
              <w:spacing w:line="360" w:lineRule="auto"/>
              <w:ind w:firstLine="480"/>
              <w:rPr>
                <w:rFonts w:hint="default" w:eastAsia="宋体"/>
                <w:sz w:val="24"/>
                <w:lang w:val="en-US" w:eastAsia="zh-CN"/>
              </w:rPr>
            </w:pPr>
            <w:r>
              <w:rPr>
                <w:rFonts w:hint="eastAsia"/>
                <w:sz w:val="24"/>
              </w:rPr>
              <w:t>原</w:t>
            </w:r>
            <w:r>
              <w:rPr>
                <w:sz w:val="24"/>
              </w:rPr>
              <w:t>项目</w:t>
            </w:r>
            <w:r>
              <w:rPr>
                <w:rFonts w:hint="eastAsia"/>
                <w:sz w:val="24"/>
              </w:rPr>
              <w:t>运营过程中产生的</w:t>
            </w:r>
            <w:r>
              <w:rPr>
                <w:sz w:val="24"/>
              </w:rPr>
              <w:t>废气主要</w:t>
            </w:r>
            <w:r>
              <w:rPr>
                <w:rFonts w:hint="eastAsia"/>
                <w:sz w:val="24"/>
              </w:rPr>
              <w:t>为骨料上料粉尘</w:t>
            </w:r>
            <w:r>
              <w:rPr>
                <w:rFonts w:hint="eastAsia"/>
                <w:sz w:val="24"/>
                <w:lang w:eastAsia="zh-CN"/>
              </w:rPr>
              <w:t>，</w:t>
            </w:r>
            <w:r>
              <w:rPr>
                <w:rFonts w:hint="eastAsia"/>
                <w:sz w:val="24"/>
              </w:rPr>
              <w:t>骨料卸料、骨料仓堆场粉尘</w:t>
            </w:r>
            <w:r>
              <w:rPr>
                <w:rFonts w:hint="eastAsia"/>
                <w:sz w:val="24"/>
                <w:lang w:eastAsia="zh-CN"/>
              </w:rPr>
              <w:t>，</w:t>
            </w:r>
            <w:r>
              <w:rPr>
                <w:rFonts w:hint="eastAsia"/>
                <w:sz w:val="24"/>
                <w:lang w:val="en-US" w:eastAsia="zh-CN"/>
              </w:rPr>
              <w:t>粉料</w:t>
            </w:r>
            <w:r>
              <w:rPr>
                <w:rFonts w:hint="eastAsia"/>
                <w:sz w:val="24"/>
              </w:rPr>
              <w:t>筒仓粉尘</w:t>
            </w:r>
            <w:r>
              <w:rPr>
                <w:rFonts w:hint="eastAsia"/>
                <w:sz w:val="24"/>
                <w:lang w:eastAsia="zh-CN"/>
              </w:rPr>
              <w:t>，</w:t>
            </w:r>
            <w:r>
              <w:rPr>
                <w:rFonts w:hint="eastAsia"/>
                <w:sz w:val="24"/>
              </w:rPr>
              <w:t>车辆运输扬尘</w:t>
            </w:r>
            <w:r>
              <w:rPr>
                <w:rFonts w:hint="eastAsia"/>
                <w:sz w:val="24"/>
                <w:lang w:eastAsia="zh-CN"/>
              </w:rPr>
              <w:t>，输送粉尘</w:t>
            </w:r>
            <w:r>
              <w:rPr>
                <w:rFonts w:hint="eastAsia"/>
                <w:sz w:val="24"/>
              </w:rPr>
              <w:t>、烘干粉尘、提升粉尘、筛分粉尘、烘干系统天然气燃烧废气</w:t>
            </w:r>
            <w:r>
              <w:rPr>
                <w:rFonts w:hint="eastAsia"/>
                <w:sz w:val="24"/>
                <w:lang w:eastAsia="zh-CN"/>
              </w:rPr>
              <w:t>，</w:t>
            </w:r>
            <w:r>
              <w:rPr>
                <w:rFonts w:hint="eastAsia"/>
                <w:sz w:val="24"/>
              </w:rPr>
              <w:t>沥青搅拌、加热、卸料废气</w:t>
            </w:r>
            <w:r>
              <w:rPr>
                <w:rFonts w:hint="eastAsia"/>
                <w:sz w:val="24"/>
                <w:lang w:eastAsia="zh-CN"/>
              </w:rPr>
              <w:t>，生产检测中心有机废气</w:t>
            </w:r>
            <w:r>
              <w:rPr>
                <w:rFonts w:hint="eastAsia"/>
                <w:sz w:val="24"/>
              </w:rPr>
              <w:t>及导热油炉</w:t>
            </w:r>
            <w:r>
              <w:rPr>
                <w:rFonts w:hint="eastAsia"/>
                <w:sz w:val="24"/>
                <w:lang w:val="en-US" w:eastAsia="zh-CN"/>
              </w:rPr>
              <w:t>天然气燃烧</w:t>
            </w:r>
            <w:r>
              <w:rPr>
                <w:rFonts w:hint="eastAsia"/>
                <w:sz w:val="24"/>
              </w:rPr>
              <w:t>废气</w:t>
            </w:r>
            <w:r>
              <w:rPr>
                <w:rFonts w:hint="eastAsia"/>
                <w:sz w:val="24"/>
                <w:lang w:val="en-US" w:eastAsia="zh-CN"/>
              </w:rPr>
              <w:t>。</w:t>
            </w:r>
          </w:p>
          <w:p w14:paraId="166211B2">
            <w:pPr>
              <w:pStyle w:val="9"/>
              <w:spacing w:line="360" w:lineRule="auto"/>
              <w:ind w:firstLine="482"/>
              <w:rPr>
                <w:rFonts w:hint="eastAsia" w:eastAsia="宋体"/>
                <w:sz w:val="24"/>
                <w:lang w:eastAsia="zh-CN"/>
              </w:rPr>
            </w:pPr>
            <w:r>
              <w:rPr>
                <w:b/>
                <w:bCs/>
                <w:sz w:val="24"/>
              </w:rPr>
              <w:t>1）</w:t>
            </w:r>
            <w:r>
              <w:rPr>
                <w:rFonts w:hint="eastAsia"/>
                <w:b/>
                <w:bCs/>
                <w:sz w:val="24"/>
              </w:rPr>
              <w:t>骨料上料粉尘</w:t>
            </w:r>
          </w:p>
          <w:p w14:paraId="1284FDAC">
            <w:pPr>
              <w:pStyle w:val="9"/>
              <w:spacing w:line="360" w:lineRule="auto"/>
              <w:ind w:firstLine="482"/>
              <w:rPr>
                <w:sz w:val="24"/>
              </w:rPr>
            </w:pPr>
            <w:r>
              <w:rPr>
                <w:rFonts w:hint="eastAsia"/>
                <w:b/>
                <w:sz w:val="24"/>
              </w:rPr>
              <w:t>已</w:t>
            </w:r>
            <w:r>
              <w:rPr>
                <w:b/>
                <w:sz w:val="24"/>
              </w:rPr>
              <w:t>采取</w:t>
            </w:r>
            <w:r>
              <w:rPr>
                <w:rFonts w:hint="eastAsia"/>
                <w:b/>
                <w:sz w:val="24"/>
              </w:rPr>
              <w:t>的</w:t>
            </w:r>
            <w:r>
              <w:rPr>
                <w:b/>
                <w:sz w:val="24"/>
              </w:rPr>
              <w:t>环保措施</w:t>
            </w:r>
            <w:r>
              <w:rPr>
                <w:sz w:val="24"/>
              </w:rPr>
              <w:t>：</w:t>
            </w:r>
            <w:r>
              <w:rPr>
                <w:rFonts w:hint="eastAsia"/>
                <w:sz w:val="24"/>
              </w:rPr>
              <w:t>冷料斗半密闭设置，设置顶棚及三面围挡，仅预留物料上料口，上料口设置喷雾降尘装置，原料投入冷料斗后通过密闭皮带机输送至烘干系统。投料粉尘经喷雾降尘后无组织排放。</w:t>
            </w:r>
          </w:p>
          <w:p w14:paraId="63A9D6B7">
            <w:pPr>
              <w:pStyle w:val="9"/>
              <w:spacing w:line="360" w:lineRule="auto"/>
              <w:ind w:firstLine="482"/>
              <w:rPr>
                <w:rFonts w:hint="default"/>
                <w:sz w:val="24"/>
                <w:lang w:val="en-US" w:eastAsia="zh-CN"/>
              </w:rPr>
            </w:pPr>
            <w:r>
              <w:rPr>
                <w:rFonts w:hint="eastAsia"/>
                <w:b/>
                <w:bCs/>
                <w:sz w:val="24"/>
                <w:lang w:val="en-US" w:eastAsia="zh-CN"/>
              </w:rPr>
              <w:t>2）骨料卸料、骨料仓堆场粉尘</w:t>
            </w:r>
          </w:p>
          <w:p w14:paraId="7C1CB1D2">
            <w:pPr>
              <w:pStyle w:val="9"/>
              <w:spacing w:line="360" w:lineRule="auto"/>
              <w:ind w:firstLine="482"/>
              <w:rPr>
                <w:rFonts w:hint="eastAsia" w:eastAsia="宋体"/>
                <w:sz w:val="24"/>
                <w:lang w:val="en-US" w:eastAsia="zh-CN"/>
              </w:rPr>
            </w:pPr>
            <w:r>
              <w:rPr>
                <w:rFonts w:hint="eastAsia"/>
                <w:b/>
                <w:sz w:val="24"/>
              </w:rPr>
              <w:t>已</w:t>
            </w:r>
            <w:r>
              <w:rPr>
                <w:b/>
                <w:sz w:val="24"/>
              </w:rPr>
              <w:t>采取</w:t>
            </w:r>
            <w:r>
              <w:rPr>
                <w:rFonts w:hint="eastAsia"/>
                <w:b/>
                <w:sz w:val="24"/>
              </w:rPr>
              <w:t>的</w:t>
            </w:r>
            <w:r>
              <w:rPr>
                <w:b/>
                <w:sz w:val="24"/>
              </w:rPr>
              <w:t>环保措施</w:t>
            </w:r>
            <w:r>
              <w:rPr>
                <w:sz w:val="24"/>
              </w:rPr>
              <w:t>：</w:t>
            </w:r>
            <w:r>
              <w:rPr>
                <w:rFonts w:hint="eastAsia"/>
                <w:sz w:val="24"/>
              </w:rPr>
              <w:t>骨料仓为水泥硬化地面，为半封闭结构，上方均设置顶棚，三面围挡，卸料、上料一侧不设围墙，</w:t>
            </w:r>
            <w:r>
              <w:rPr>
                <w:rFonts w:hint="eastAsia"/>
                <w:sz w:val="24"/>
                <w:lang w:val="en-US" w:eastAsia="zh-CN"/>
              </w:rPr>
              <w:t>设置防风帘，</w:t>
            </w:r>
            <w:r>
              <w:rPr>
                <w:rFonts w:hint="eastAsia"/>
                <w:sz w:val="24"/>
              </w:rPr>
              <w:t>供运输车辆出入，增加物料湿度、骨料仓设置有雾化水喷淋系统</w:t>
            </w:r>
            <w:r>
              <w:rPr>
                <w:rFonts w:hint="eastAsia"/>
                <w:sz w:val="24"/>
                <w:lang w:eastAsia="zh-CN"/>
              </w:rPr>
              <w:t>，骨料卸料、骨料仓堆场粉尘经处理后在厂区呈无组织排放。</w:t>
            </w:r>
          </w:p>
          <w:p w14:paraId="109C904F">
            <w:pPr>
              <w:pStyle w:val="9"/>
              <w:spacing w:line="360" w:lineRule="auto"/>
              <w:ind w:firstLine="482"/>
              <w:rPr>
                <w:rFonts w:hint="default"/>
                <w:sz w:val="24"/>
                <w:lang w:val="en-US" w:eastAsia="zh-CN"/>
              </w:rPr>
            </w:pPr>
            <w:r>
              <w:rPr>
                <w:rFonts w:hint="eastAsia"/>
                <w:b/>
                <w:bCs/>
                <w:sz w:val="24"/>
                <w:lang w:val="en-US" w:eastAsia="zh-CN"/>
              </w:rPr>
              <w:t>3）粉料筒仓粉尘</w:t>
            </w:r>
          </w:p>
          <w:p w14:paraId="248AAF81">
            <w:pPr>
              <w:pStyle w:val="9"/>
              <w:spacing w:line="360" w:lineRule="auto"/>
              <w:ind w:firstLine="482"/>
              <w:rPr>
                <w:rFonts w:hint="default"/>
                <w:b w:val="0"/>
                <w:bCs w:val="0"/>
                <w:sz w:val="24"/>
                <w:lang w:val="en-US" w:eastAsia="zh-CN"/>
              </w:rPr>
            </w:pPr>
            <w:r>
              <w:rPr>
                <w:rFonts w:hint="eastAsia"/>
                <w:b/>
                <w:bCs/>
                <w:sz w:val="24"/>
                <w:lang w:val="en-US" w:eastAsia="zh-CN"/>
              </w:rPr>
              <w:t>已采取的治理措施：</w:t>
            </w:r>
            <w:r>
              <w:rPr>
                <w:rFonts w:hint="eastAsia"/>
                <w:b w:val="0"/>
                <w:bCs w:val="0"/>
                <w:sz w:val="24"/>
                <w:lang w:val="en-US" w:eastAsia="zh-CN"/>
              </w:rPr>
              <w:t>粉料筒仓设置于沥青混凝土搅拌楼内部，粉料筒仓粉尘经粉料筒仓顶部自带的布袋除尘器处理后在车间内呈无组织排放。</w:t>
            </w:r>
          </w:p>
          <w:p w14:paraId="139D72FC">
            <w:pPr>
              <w:widowControl/>
              <w:spacing w:line="360" w:lineRule="auto"/>
              <w:ind w:firstLine="482" w:firstLineChars="200"/>
              <w:rPr>
                <w:rFonts w:hint="default"/>
                <w:b/>
                <w:bCs w:val="0"/>
                <w:sz w:val="24"/>
                <w:lang w:val="en-US" w:eastAsia="zh-CN"/>
              </w:rPr>
            </w:pPr>
            <w:r>
              <w:rPr>
                <w:rFonts w:hint="eastAsia"/>
                <w:b/>
                <w:sz w:val="24"/>
                <w:lang w:val="en-US" w:eastAsia="zh-CN"/>
              </w:rPr>
              <w:t>4）</w:t>
            </w:r>
            <w:r>
              <w:rPr>
                <w:rFonts w:hint="eastAsia"/>
                <w:b/>
                <w:bCs w:val="0"/>
                <w:sz w:val="24"/>
                <w:lang w:val="en-US" w:eastAsia="zh-CN"/>
              </w:rPr>
              <w:t>车辆运输扬尘</w:t>
            </w:r>
          </w:p>
          <w:p w14:paraId="60973A9F">
            <w:pPr>
              <w:widowControl/>
              <w:spacing w:line="360" w:lineRule="auto"/>
              <w:ind w:firstLine="482" w:firstLineChars="200"/>
              <w:rPr>
                <w:rFonts w:hint="default"/>
                <w:b w:val="0"/>
                <w:bCs/>
                <w:sz w:val="24"/>
                <w:lang w:val="en-US"/>
              </w:rPr>
            </w:pPr>
            <w:r>
              <w:rPr>
                <w:rFonts w:hint="eastAsia"/>
                <w:b/>
                <w:bCs/>
                <w:sz w:val="24"/>
                <w:lang w:val="en-US" w:eastAsia="zh-CN"/>
              </w:rPr>
              <w:t>已采取的治理措施：</w:t>
            </w:r>
            <w:r>
              <w:rPr>
                <w:rFonts w:hint="eastAsia"/>
                <w:b w:val="0"/>
                <w:bCs w:val="0"/>
                <w:sz w:val="24"/>
                <w:lang w:val="en-US" w:eastAsia="zh-CN"/>
              </w:rPr>
              <w:t>厂区地面硬化、定期清扫、厂区进出口设置车辆清洗平台、设置炮雾机对厂区道路进行雾化水喷淋降尘，车辆运输过程均采用篷布遮挡。</w:t>
            </w:r>
          </w:p>
          <w:p w14:paraId="556EB739">
            <w:pPr>
              <w:widowControl/>
              <w:spacing w:line="360" w:lineRule="auto"/>
              <w:ind w:firstLine="482" w:firstLineChars="200"/>
              <w:rPr>
                <w:rFonts w:hint="default" w:eastAsia="宋体"/>
                <w:b/>
                <w:sz w:val="24"/>
                <w:lang w:val="en-US" w:eastAsia="zh-CN"/>
              </w:rPr>
            </w:pPr>
            <w:r>
              <w:rPr>
                <w:rFonts w:hint="eastAsia"/>
                <w:b/>
                <w:sz w:val="24"/>
                <w:lang w:val="en-US" w:eastAsia="zh-CN"/>
              </w:rPr>
              <w:t>5）输送粉尘、烘干粉尘、提升粉尘、筛分粉尘、烘干系统天然气燃烧废气</w:t>
            </w:r>
          </w:p>
          <w:p w14:paraId="24708485">
            <w:pPr>
              <w:widowControl/>
              <w:spacing w:line="360" w:lineRule="auto"/>
              <w:ind w:firstLine="482" w:firstLineChars="200"/>
              <w:rPr>
                <w:rFonts w:hint="default"/>
                <w:b w:val="0"/>
                <w:bCs/>
                <w:sz w:val="24"/>
                <w:lang w:val="en-US"/>
              </w:rPr>
            </w:pPr>
            <w:r>
              <w:rPr>
                <w:rFonts w:hint="eastAsia"/>
                <w:b/>
                <w:bCs/>
                <w:sz w:val="24"/>
                <w:lang w:val="en-US" w:eastAsia="zh-CN"/>
              </w:rPr>
              <w:t>已采取的治理措施：</w:t>
            </w:r>
            <w:r>
              <w:rPr>
                <w:rFonts w:hint="eastAsia"/>
                <w:b w:val="0"/>
                <w:bCs w:val="0"/>
                <w:sz w:val="24"/>
                <w:lang w:val="en-US" w:eastAsia="zh-CN"/>
              </w:rPr>
              <w:t>原</w:t>
            </w:r>
            <w:r>
              <w:rPr>
                <w:rFonts w:hint="eastAsia"/>
                <w:sz w:val="24"/>
                <w:lang w:val="en-US" w:eastAsia="zh-CN"/>
              </w:rPr>
              <w:t>项目沥青混凝土搅拌设备设置在沥青混凝土搅拌楼内，采用无尘主楼设计，主楼以及输送皮带全密闭生产，密闭物料烘干系统、提升机、料仓、筛分系统等均为全封闭设计，产尘工序处均设有集气管道，产生的粉尘和天然气燃烧废气经吸尘管道收集至高温布袋除尘器（TA001）处理后通过22m高排气筒（DA001）排放。</w:t>
            </w:r>
          </w:p>
          <w:p w14:paraId="00B30E86">
            <w:pPr>
              <w:widowControl/>
              <w:spacing w:line="360" w:lineRule="auto"/>
              <w:ind w:firstLine="482" w:firstLineChars="200"/>
              <w:rPr>
                <w:rFonts w:hint="eastAsia"/>
                <w:b/>
                <w:sz w:val="24"/>
              </w:rPr>
            </w:pPr>
            <w:r>
              <w:rPr>
                <w:rFonts w:hint="eastAsia"/>
                <w:b/>
                <w:sz w:val="24"/>
                <w:lang w:val="en-US" w:eastAsia="zh-CN"/>
              </w:rPr>
              <w:t>6）</w:t>
            </w:r>
            <w:r>
              <w:rPr>
                <w:rFonts w:hint="eastAsia"/>
                <w:b/>
                <w:sz w:val="24"/>
              </w:rPr>
              <w:t>沥青搅拌、加热、卸料废气</w:t>
            </w:r>
          </w:p>
          <w:p w14:paraId="5EB7C65A">
            <w:pPr>
              <w:widowControl/>
              <w:spacing w:line="360" w:lineRule="auto"/>
              <w:ind w:firstLine="482" w:firstLineChars="200"/>
              <w:rPr>
                <w:rFonts w:hint="default" w:eastAsia="宋体"/>
                <w:b w:val="0"/>
                <w:bCs/>
                <w:sz w:val="24"/>
                <w:lang w:val="en-US" w:eastAsia="zh-CN"/>
              </w:rPr>
            </w:pPr>
            <w:r>
              <w:rPr>
                <w:rFonts w:hint="eastAsia"/>
                <w:b/>
                <w:bCs/>
                <w:sz w:val="24"/>
                <w:lang w:val="en-US" w:eastAsia="zh-CN"/>
              </w:rPr>
              <w:t>已采取的治理措施：</w:t>
            </w:r>
            <w:r>
              <w:rPr>
                <w:rFonts w:hint="eastAsia"/>
                <w:b w:val="0"/>
                <w:bCs/>
                <w:sz w:val="24"/>
              </w:rPr>
              <w:t>沥青加热储存、输送、搅拌生产和产品卸料装车过程均会产生废气，沥青输送采用密闭管道输送，搅拌过程在密闭搅拌机内进行，因此搅拌废气、卸料废气、沥青加热废气主要通过卸料时排放。卸料口整体封闭，通道两侧各安装遥控卷闸门，使通道形成一个相对封闭的空间，通道内设置集气管道进行密闭收集，废气收集至</w:t>
            </w:r>
            <w:r>
              <w:rPr>
                <w:rFonts w:hint="eastAsia"/>
                <w:b w:val="0"/>
                <w:bCs/>
                <w:sz w:val="24"/>
                <w:lang w:val="en-US" w:eastAsia="zh-CN"/>
              </w:rPr>
              <w:t>骨料烘干系统燃烧器燃烧裂解氧化，再汇同输送粉尘、烘干粉尘、提升粉尘、筛分粉尘、烘干系统天然气燃烧废气一起经</w:t>
            </w:r>
            <w:r>
              <w:rPr>
                <w:rFonts w:hint="eastAsia"/>
                <w:sz w:val="24"/>
                <w:lang w:val="en-US" w:eastAsia="zh-CN"/>
              </w:rPr>
              <w:t>高温布袋除尘器（TA001）处理后通过22m高排气筒（DA001）排放。</w:t>
            </w:r>
          </w:p>
          <w:p w14:paraId="346E138F">
            <w:pPr>
              <w:widowControl/>
              <w:numPr>
                <w:ilvl w:val="0"/>
                <w:numId w:val="0"/>
              </w:numPr>
              <w:spacing w:line="360" w:lineRule="auto"/>
              <w:ind w:firstLine="482" w:firstLineChars="200"/>
              <w:rPr>
                <w:rFonts w:hint="eastAsia"/>
                <w:b/>
                <w:bCs w:val="0"/>
                <w:sz w:val="24"/>
                <w:lang w:val="en-US" w:eastAsia="zh-CN"/>
              </w:rPr>
            </w:pPr>
            <w:r>
              <w:rPr>
                <w:rFonts w:hint="eastAsia"/>
                <w:b/>
                <w:bCs w:val="0"/>
                <w:sz w:val="24"/>
                <w:lang w:val="en-US" w:eastAsia="zh-CN"/>
              </w:rPr>
              <w:t>7）生产检测中心有机废气</w:t>
            </w:r>
          </w:p>
          <w:p w14:paraId="493BD440">
            <w:pPr>
              <w:widowControl/>
              <w:numPr>
                <w:ilvl w:val="0"/>
                <w:numId w:val="0"/>
              </w:numPr>
              <w:spacing w:line="360" w:lineRule="auto"/>
              <w:ind w:firstLine="482" w:firstLineChars="200"/>
              <w:rPr>
                <w:rFonts w:hint="default"/>
                <w:b w:val="0"/>
                <w:bCs/>
                <w:sz w:val="24"/>
                <w:lang w:val="en-US" w:eastAsia="zh-CN"/>
              </w:rPr>
            </w:pPr>
            <w:r>
              <w:rPr>
                <w:rFonts w:hint="eastAsia"/>
                <w:b/>
                <w:bCs w:val="0"/>
                <w:sz w:val="24"/>
                <w:lang w:val="en-US" w:eastAsia="zh-CN"/>
              </w:rPr>
              <w:t>已采取的治理措施：</w:t>
            </w:r>
            <w:r>
              <w:rPr>
                <w:rFonts w:hint="eastAsia"/>
                <w:b w:val="0"/>
                <w:bCs/>
                <w:sz w:val="24"/>
                <w:lang w:val="en-US" w:eastAsia="zh-CN"/>
              </w:rPr>
              <w:t>生产检测中心实验室主要承担成品的检测工作，每一批次产品取1kg去实验室，检测产品物理性质，检测均为物理实验，不改变产品性能，仅在对沥青软化中会产生微量废气，通过加强实验室通风换气，在厂区内呈无组织排放。</w:t>
            </w:r>
          </w:p>
          <w:p w14:paraId="29D406A3">
            <w:pPr>
              <w:widowControl/>
              <w:numPr>
                <w:ilvl w:val="0"/>
                <w:numId w:val="0"/>
              </w:numPr>
              <w:spacing w:line="360" w:lineRule="auto"/>
              <w:ind w:firstLine="482" w:firstLineChars="200"/>
              <w:rPr>
                <w:rFonts w:hint="eastAsia" w:eastAsia="宋体"/>
                <w:b/>
                <w:bCs w:val="0"/>
                <w:sz w:val="24"/>
                <w:lang w:val="en-US" w:eastAsia="zh-CN"/>
              </w:rPr>
            </w:pPr>
            <w:r>
              <w:rPr>
                <w:rFonts w:hint="eastAsia"/>
                <w:b/>
                <w:bCs w:val="0"/>
                <w:sz w:val="24"/>
                <w:lang w:val="en-US" w:eastAsia="zh-CN"/>
              </w:rPr>
              <w:t>8）导热油炉天然气燃烧废气</w:t>
            </w:r>
          </w:p>
          <w:p w14:paraId="6E01709D">
            <w:pPr>
              <w:widowControl/>
              <w:spacing w:line="360" w:lineRule="auto"/>
              <w:ind w:firstLine="482" w:firstLineChars="200"/>
              <w:rPr>
                <w:rFonts w:hint="eastAsia"/>
                <w:b w:val="0"/>
                <w:bCs/>
                <w:sz w:val="24"/>
              </w:rPr>
            </w:pPr>
            <w:r>
              <w:rPr>
                <w:rFonts w:hint="eastAsia"/>
                <w:b/>
                <w:bCs w:val="0"/>
                <w:sz w:val="24"/>
                <w:lang w:val="en-US" w:eastAsia="zh-CN"/>
              </w:rPr>
              <w:t>已采取的治理措施：</w:t>
            </w:r>
            <w:r>
              <w:rPr>
                <w:rFonts w:hint="eastAsia"/>
                <w:b w:val="0"/>
                <w:bCs/>
                <w:sz w:val="24"/>
                <w:lang w:val="en-US" w:eastAsia="zh-CN"/>
              </w:rPr>
              <w:t>导热油炉天然气燃烧废气经收集后由13m高排气筒（DA002）排放。</w:t>
            </w:r>
          </w:p>
          <w:p w14:paraId="4CA906C9">
            <w:pPr>
              <w:widowControl/>
              <w:spacing w:line="360" w:lineRule="auto"/>
              <w:ind w:firstLine="482" w:firstLineChars="200"/>
              <w:rPr>
                <w:rFonts w:hint="default" w:eastAsia="宋体"/>
                <w:b/>
                <w:bCs w:val="0"/>
                <w:sz w:val="24"/>
                <w:lang w:val="en-US" w:eastAsia="zh-CN"/>
              </w:rPr>
            </w:pPr>
            <w:r>
              <w:rPr>
                <w:rFonts w:hint="eastAsia"/>
                <w:b/>
                <w:bCs w:val="0"/>
                <w:sz w:val="24"/>
                <w:lang w:val="en-US" w:eastAsia="zh-CN"/>
              </w:rPr>
              <w:t>9）达标情况</w:t>
            </w:r>
          </w:p>
          <w:p w14:paraId="5DF75403">
            <w:pPr>
              <w:widowControl/>
              <w:spacing w:line="360" w:lineRule="auto"/>
              <w:ind w:firstLine="480" w:firstLineChars="200"/>
              <w:rPr>
                <w:rFonts w:hint="default" w:eastAsia="宋体"/>
                <w:b w:val="0"/>
                <w:bCs/>
                <w:sz w:val="24"/>
                <w:lang w:val="en-US" w:eastAsia="zh-CN"/>
              </w:rPr>
            </w:pPr>
            <w:r>
              <w:rPr>
                <w:rFonts w:hint="eastAsia"/>
                <w:b w:val="0"/>
                <w:bCs/>
                <w:sz w:val="24"/>
                <w:lang w:val="en-US" w:eastAsia="zh-CN"/>
              </w:rPr>
              <w:t>根据四川卡夫检测技术有限公司出具的原项目竣工环保验收检测报告（EN202206007701），原项目正常运行状况下，废气经采取以上治理措施后，DA001中排放的颗粒物、二氧化硫、氮氧化物、沥青烟、苯并[a]芘排放浓度均能满足《大气污染物综合排放标准》(GB16297-1996)表2中二级标准限值；DA002中排放的颗粒物、二氧化硫、氮氧化物排放浓度均能满足《锅炉大气污染物排放标准》（GB13271-2014）表3中燃气锅炉排放浓度标准限值；厂界无组织颗粒物、苯并[a]芘排放浓度均能满足《大气污染物综合排放标准》(GB16297-1996)表2中无组织排放限值。</w:t>
            </w:r>
          </w:p>
          <w:p w14:paraId="69AAEB91">
            <w:pPr>
              <w:widowControl/>
              <w:spacing w:line="360" w:lineRule="auto"/>
              <w:ind w:firstLine="482" w:firstLineChars="200"/>
              <w:rPr>
                <w:rFonts w:hint="default" w:eastAsia="宋体"/>
                <w:b/>
                <w:bCs w:val="0"/>
                <w:sz w:val="24"/>
                <w:lang w:val="en-US" w:eastAsia="zh-CN"/>
              </w:rPr>
            </w:pPr>
            <w:r>
              <w:rPr>
                <w:rFonts w:hint="eastAsia"/>
                <w:b/>
                <w:bCs w:val="0"/>
                <w:sz w:val="24"/>
                <w:lang w:val="en-US" w:eastAsia="zh-CN"/>
              </w:rPr>
              <w:t>10）存在的问题</w:t>
            </w:r>
          </w:p>
          <w:p w14:paraId="3018C4D6">
            <w:pPr>
              <w:widowControl/>
              <w:spacing w:line="360" w:lineRule="auto"/>
              <w:ind w:firstLine="480" w:firstLineChars="200"/>
              <w:rPr>
                <w:rFonts w:hint="default"/>
                <w:sz w:val="24"/>
                <w:lang w:val="en-US" w:eastAsia="zh-CN"/>
              </w:rPr>
            </w:pPr>
            <w:r>
              <w:rPr>
                <w:rFonts w:hint="eastAsia"/>
                <w:sz w:val="24"/>
                <w:lang w:val="en-US" w:eastAsia="zh-CN"/>
              </w:rPr>
              <w:t>根据《四川省大气污染物工程减量指导意见（2023-2025年）》（川污防攻坚办【2023】15号）要求：“不再新建35蒸吨/小时及以下的燃煤锅炉，推进县级及以上城市建成区淘汰35蒸吨/小时及以下燃煤锅炉，65蒸吨/小时及以上燃煤锅炉全面实现超低排放改造，加快推进燃气锅炉低氮燃烧改造。燃煤/生物质锅炉和燃气锅炉分别对标《四川省重污染天气金属表面处理及热处理加工等10个行业应急减排措施制定技术指南》(试行)绩效B级要求开展治理，改造后燃煤/生物质锅炉PM、SO</w:t>
            </w:r>
            <w:r>
              <w:rPr>
                <w:rFonts w:hint="eastAsia"/>
                <w:sz w:val="24"/>
                <w:vertAlign w:val="subscript"/>
                <w:lang w:val="en-US" w:eastAsia="zh-CN"/>
              </w:rPr>
              <w:t>2</w:t>
            </w:r>
            <w:r>
              <w:rPr>
                <w:rFonts w:hint="eastAsia"/>
                <w:sz w:val="24"/>
                <w:lang w:val="en-US" w:eastAsia="zh-CN"/>
              </w:rPr>
              <w:t>、NO</w:t>
            </w:r>
            <w:r>
              <w:rPr>
                <w:rFonts w:hint="eastAsia"/>
                <w:sz w:val="24"/>
                <w:vertAlign w:val="subscript"/>
                <w:lang w:val="en-US" w:eastAsia="zh-CN"/>
              </w:rPr>
              <w:t>x</w:t>
            </w:r>
            <w:r>
              <w:rPr>
                <w:rFonts w:hint="eastAsia"/>
                <w:sz w:val="24"/>
                <w:lang w:val="en-US" w:eastAsia="zh-CN"/>
              </w:rPr>
              <w:t>排放浓度分别不高于10、35、50mg/m</w:t>
            </w:r>
            <w:r>
              <w:rPr>
                <w:rFonts w:hint="eastAsia"/>
                <w:sz w:val="24"/>
                <w:vertAlign w:val="superscript"/>
                <w:lang w:val="en-US" w:eastAsia="zh-CN"/>
              </w:rPr>
              <w:t>3</w:t>
            </w:r>
            <w:r>
              <w:rPr>
                <w:rFonts w:hint="eastAsia"/>
                <w:sz w:val="24"/>
                <w:lang w:val="en-US" w:eastAsia="zh-CN"/>
              </w:rPr>
              <w:t>，燃气锅炉PM、SO</w:t>
            </w:r>
            <w:r>
              <w:rPr>
                <w:rFonts w:hint="eastAsia"/>
                <w:sz w:val="24"/>
                <w:vertAlign w:val="subscript"/>
                <w:lang w:val="en-US" w:eastAsia="zh-CN"/>
              </w:rPr>
              <w:t>2</w:t>
            </w:r>
            <w:r>
              <w:rPr>
                <w:rFonts w:hint="eastAsia"/>
                <w:sz w:val="24"/>
                <w:lang w:val="en-US" w:eastAsia="zh-CN"/>
              </w:rPr>
              <w:t>、NO</w:t>
            </w:r>
            <w:r>
              <w:rPr>
                <w:rFonts w:hint="eastAsia"/>
                <w:sz w:val="24"/>
                <w:vertAlign w:val="subscript"/>
                <w:lang w:val="en-US" w:eastAsia="zh-CN"/>
              </w:rPr>
              <w:t>x</w:t>
            </w:r>
            <w:r>
              <w:rPr>
                <w:rFonts w:hint="eastAsia"/>
                <w:sz w:val="24"/>
                <w:lang w:val="en-US" w:eastAsia="zh-CN"/>
              </w:rPr>
              <w:t>排放浓度分别不高于5、10、50mg/m</w:t>
            </w:r>
            <w:r>
              <w:rPr>
                <w:rFonts w:hint="eastAsia"/>
                <w:sz w:val="24"/>
                <w:vertAlign w:val="superscript"/>
                <w:lang w:val="en-US" w:eastAsia="zh-CN"/>
              </w:rPr>
              <w:t>3</w:t>
            </w:r>
            <w:r>
              <w:rPr>
                <w:rFonts w:hint="eastAsia"/>
                <w:sz w:val="24"/>
                <w:lang w:val="en-US" w:eastAsia="zh-CN"/>
              </w:rPr>
              <w:t>”。原项目导热油炉未安装低氮燃烧装置，导热油炉天然气燃烧废气中NO</w:t>
            </w:r>
            <w:r>
              <w:rPr>
                <w:rFonts w:hint="eastAsia"/>
                <w:sz w:val="24"/>
                <w:vertAlign w:val="subscript"/>
                <w:lang w:val="en-US" w:eastAsia="zh-CN"/>
              </w:rPr>
              <w:t>x</w:t>
            </w:r>
            <w:r>
              <w:rPr>
                <w:rFonts w:hint="eastAsia"/>
                <w:sz w:val="24"/>
                <w:lang w:val="en-US" w:eastAsia="zh-CN"/>
              </w:rPr>
              <w:t>排放浓度不能满足小于50mg/m</w:t>
            </w:r>
            <w:r>
              <w:rPr>
                <w:rFonts w:hint="eastAsia"/>
                <w:sz w:val="24"/>
                <w:vertAlign w:val="superscript"/>
                <w:lang w:val="en-US" w:eastAsia="zh-CN"/>
              </w:rPr>
              <w:t>3</w:t>
            </w:r>
            <w:r>
              <w:rPr>
                <w:rFonts w:hint="eastAsia"/>
                <w:sz w:val="24"/>
                <w:vertAlign w:val="baseline"/>
                <w:lang w:val="en-US" w:eastAsia="zh-CN"/>
              </w:rPr>
              <w:t>要求。</w:t>
            </w:r>
          </w:p>
          <w:p w14:paraId="0347D4DD">
            <w:pPr>
              <w:widowControl/>
              <w:spacing w:line="360" w:lineRule="auto"/>
              <w:ind w:firstLine="482" w:firstLineChars="200"/>
              <w:rPr>
                <w:rFonts w:hint="default" w:eastAsia="宋体"/>
                <w:b/>
                <w:bCs w:val="0"/>
                <w:sz w:val="24"/>
                <w:lang w:val="en-US" w:eastAsia="zh-CN"/>
              </w:rPr>
            </w:pPr>
            <w:r>
              <w:rPr>
                <w:rFonts w:hint="eastAsia"/>
                <w:b/>
                <w:bCs w:val="0"/>
                <w:sz w:val="24"/>
                <w:lang w:val="en-US" w:eastAsia="zh-CN"/>
              </w:rPr>
              <w:t>11）整改措施</w:t>
            </w:r>
          </w:p>
          <w:p w14:paraId="4AE37364">
            <w:pPr>
              <w:widowControl/>
              <w:spacing w:line="360" w:lineRule="auto"/>
              <w:ind w:firstLine="480" w:firstLineChars="200"/>
              <w:rPr>
                <w:rFonts w:hint="default" w:eastAsia="宋体"/>
                <w:b w:val="0"/>
                <w:bCs/>
                <w:sz w:val="24"/>
                <w:lang w:val="en-US" w:eastAsia="zh-CN"/>
              </w:rPr>
            </w:pPr>
            <w:r>
              <w:rPr>
                <w:rFonts w:hint="eastAsia"/>
                <w:b w:val="0"/>
                <w:bCs/>
                <w:sz w:val="24"/>
                <w:lang w:val="en-US" w:eastAsia="zh-CN"/>
              </w:rPr>
              <w:t>导热油炉天然气燃烧嘴安装低氮燃烧装置。</w:t>
            </w:r>
          </w:p>
          <w:p w14:paraId="78D11D2D">
            <w:pPr>
              <w:widowControl/>
              <w:spacing w:line="360" w:lineRule="auto"/>
              <w:ind w:firstLine="482" w:firstLineChars="200"/>
              <w:rPr>
                <w:bCs/>
                <w:sz w:val="24"/>
              </w:rPr>
            </w:pPr>
            <w:r>
              <w:rPr>
                <w:rFonts w:hint="eastAsia"/>
                <w:b/>
                <w:sz w:val="24"/>
              </w:rPr>
              <w:t>3、噪声</w:t>
            </w:r>
          </w:p>
          <w:p w14:paraId="2A742A00">
            <w:pPr>
              <w:widowControl/>
              <w:spacing w:line="360" w:lineRule="auto"/>
              <w:ind w:firstLine="480" w:firstLineChars="200"/>
              <w:rPr>
                <w:rFonts w:hint="eastAsia"/>
                <w:bCs/>
                <w:sz w:val="24"/>
              </w:rPr>
            </w:pPr>
            <w:r>
              <w:rPr>
                <w:rFonts w:hint="eastAsia"/>
                <w:bCs/>
                <w:sz w:val="24"/>
              </w:rPr>
              <w:t>原项目噪声主要来源于提升机、振动筛、烘干滚筒、风机等</w:t>
            </w:r>
            <w:r>
              <w:rPr>
                <w:rFonts w:hint="eastAsia"/>
                <w:bCs/>
                <w:sz w:val="24"/>
                <w:lang w:val="en-US" w:eastAsia="zh-CN"/>
              </w:rPr>
              <w:t>设备</w:t>
            </w:r>
            <w:r>
              <w:rPr>
                <w:rFonts w:hint="eastAsia"/>
                <w:bCs/>
                <w:sz w:val="24"/>
              </w:rPr>
              <w:t>运转过程产生的噪声</w:t>
            </w:r>
            <w:r>
              <w:rPr>
                <w:rFonts w:hint="eastAsia"/>
                <w:bCs/>
                <w:sz w:val="24"/>
                <w:lang w:val="en-US" w:eastAsia="zh-CN"/>
              </w:rPr>
              <w:t>及运输车辆噪声</w:t>
            </w:r>
            <w:r>
              <w:rPr>
                <w:rFonts w:hint="eastAsia"/>
                <w:bCs/>
                <w:sz w:val="24"/>
              </w:rPr>
              <w:t>。</w:t>
            </w:r>
          </w:p>
          <w:p w14:paraId="3B2370C0">
            <w:pPr>
              <w:spacing w:line="360" w:lineRule="auto"/>
              <w:ind w:firstLine="482" w:firstLineChars="200"/>
              <w:rPr>
                <w:rFonts w:hint="eastAsia"/>
                <w:b/>
                <w:sz w:val="24"/>
              </w:rPr>
            </w:pPr>
            <w:r>
              <w:rPr>
                <w:rFonts w:hint="eastAsia"/>
                <w:b/>
                <w:sz w:val="24"/>
              </w:rPr>
              <w:t>已采取的治理措施：</w:t>
            </w:r>
          </w:p>
          <w:p w14:paraId="163922D2">
            <w:pPr>
              <w:spacing w:line="360" w:lineRule="auto"/>
              <w:ind w:firstLine="480" w:firstLineChars="200"/>
              <w:rPr>
                <w:rFonts w:hint="eastAsia"/>
                <w:bCs/>
                <w:sz w:val="24"/>
              </w:rPr>
            </w:pPr>
            <w:r>
              <w:rPr>
                <w:rFonts w:hint="eastAsia"/>
                <w:b w:val="0"/>
                <w:bCs w:val="0"/>
                <w:sz w:val="24"/>
                <w:lang w:eastAsia="zh-CN"/>
              </w:rPr>
              <w:t>①合理布局、建筑隔声：全部产噪设备均布置在封闭车间内，车间建筑材料采用加厚型镀锌铝板，降低生产噪声对周围环境的影响；②选用低噪声设备：基本选用先进的低噪设备，并提高设备的安装质量和精度，以从声源上降低设备本身噪声；③对高噪设备设置减振基础，尽量采用重机座——把设备直接安装在混凝土机座块上，然后在混凝土块与地面之间安放隔振材料，隔振材料应选择阻尼较大的材料，进行柔性连接，以减小其振动影响；④加强设备的维护，确保设备处于良好的运转状态，杜绝因设备不正常运转时产生的高噪声现象；⑤合理安排生产时间，仅白天进行生产，夜间不生产。企业在夜间22:00-次日6:00不得进行生产以及运输活动。</w:t>
            </w:r>
          </w:p>
          <w:p w14:paraId="189E1733">
            <w:pPr>
              <w:widowControl/>
              <w:spacing w:line="360" w:lineRule="auto"/>
              <w:ind w:firstLine="482" w:firstLineChars="200"/>
              <w:rPr>
                <w:rFonts w:hint="default" w:eastAsia="宋体"/>
                <w:bCs/>
                <w:sz w:val="24"/>
                <w:lang w:val="en-US" w:eastAsia="zh-CN"/>
              </w:rPr>
            </w:pPr>
            <w:r>
              <w:rPr>
                <w:rFonts w:hint="eastAsia"/>
                <w:b/>
                <w:bCs w:val="0"/>
                <w:sz w:val="24"/>
                <w:lang w:val="en-US" w:eastAsia="zh-CN"/>
              </w:rPr>
              <w:t>达标情况：</w:t>
            </w:r>
            <w:r>
              <w:rPr>
                <w:rFonts w:hint="eastAsia"/>
                <w:b w:val="0"/>
                <w:bCs/>
                <w:sz w:val="24"/>
                <w:lang w:val="en-US" w:eastAsia="zh-CN"/>
              </w:rPr>
              <w:t>根据四川卡夫检测技术有限公司出具的原项目竣工环保验收检测报告（EN202206007701），原项目正常运行状况下，厂界噪声能够满足</w:t>
            </w:r>
            <w:r>
              <w:rPr>
                <w:rFonts w:hint="eastAsia"/>
                <w:bCs/>
                <w:sz w:val="24"/>
              </w:rPr>
              <w:t>《工业企业厂界环境噪声排放标准》（GB12348-2008）</w:t>
            </w:r>
            <w:r>
              <w:rPr>
                <w:rFonts w:hint="eastAsia"/>
                <w:bCs/>
                <w:sz w:val="24"/>
                <w:lang w:val="en-US" w:eastAsia="zh-CN"/>
              </w:rPr>
              <w:t>3</w:t>
            </w:r>
            <w:r>
              <w:rPr>
                <w:rFonts w:hint="eastAsia"/>
                <w:bCs/>
                <w:sz w:val="24"/>
              </w:rPr>
              <w:t>类标准要求</w:t>
            </w:r>
            <w:r>
              <w:rPr>
                <w:rFonts w:hint="eastAsia"/>
                <w:bCs/>
                <w:sz w:val="24"/>
                <w:lang w:eastAsia="zh-CN"/>
              </w:rPr>
              <w:t>。</w:t>
            </w:r>
          </w:p>
          <w:p w14:paraId="10671CC9">
            <w:pPr>
              <w:widowControl/>
              <w:spacing w:line="360" w:lineRule="auto"/>
              <w:ind w:firstLine="482" w:firstLineChars="200"/>
              <w:rPr>
                <w:rFonts w:hint="eastAsia"/>
                <w:bCs/>
                <w:sz w:val="24"/>
              </w:rPr>
            </w:pPr>
            <w:r>
              <w:rPr>
                <w:rFonts w:hint="eastAsia"/>
                <w:b/>
                <w:sz w:val="24"/>
              </w:rPr>
              <w:t>存在的问题：无</w:t>
            </w:r>
          </w:p>
          <w:p w14:paraId="6ADF69E6">
            <w:pPr>
              <w:widowControl/>
              <w:spacing w:line="360" w:lineRule="auto"/>
              <w:ind w:firstLine="482" w:firstLineChars="200"/>
              <w:rPr>
                <w:rFonts w:hint="eastAsia"/>
                <w:b/>
                <w:sz w:val="24"/>
                <w:lang w:val="en-US" w:eastAsia="zh-CN"/>
              </w:rPr>
            </w:pPr>
            <w:r>
              <w:rPr>
                <w:rFonts w:hint="eastAsia"/>
                <w:b/>
                <w:sz w:val="24"/>
              </w:rPr>
              <w:t>整改措施：</w:t>
            </w:r>
            <w:r>
              <w:rPr>
                <w:rFonts w:hint="eastAsia"/>
                <w:b/>
                <w:sz w:val="24"/>
                <w:lang w:val="en-US" w:eastAsia="zh-CN"/>
              </w:rPr>
              <w:t>无</w:t>
            </w:r>
          </w:p>
          <w:p w14:paraId="6A060BC8">
            <w:pPr>
              <w:widowControl/>
              <w:spacing w:line="360" w:lineRule="auto"/>
              <w:ind w:firstLine="482" w:firstLineChars="200"/>
              <w:rPr>
                <w:b/>
                <w:sz w:val="24"/>
              </w:rPr>
            </w:pPr>
            <w:r>
              <w:rPr>
                <w:rFonts w:hint="eastAsia"/>
                <w:b/>
                <w:sz w:val="24"/>
              </w:rPr>
              <w:t>4、固体废物</w:t>
            </w:r>
          </w:p>
          <w:p w14:paraId="0EDBD31F">
            <w:pPr>
              <w:pStyle w:val="17"/>
              <w:spacing w:after="0" w:line="360" w:lineRule="auto"/>
              <w:ind w:left="0" w:leftChars="0" w:firstLine="480"/>
              <w:rPr>
                <w:sz w:val="24"/>
              </w:rPr>
            </w:pPr>
            <w:r>
              <w:rPr>
                <w:rFonts w:hint="eastAsia"/>
                <w:sz w:val="24"/>
              </w:rPr>
              <w:t>原</w:t>
            </w:r>
            <w:r>
              <w:rPr>
                <w:sz w:val="24"/>
              </w:rPr>
              <w:t>项目产生</w:t>
            </w:r>
            <w:r>
              <w:rPr>
                <w:rFonts w:hint="eastAsia"/>
                <w:sz w:val="24"/>
              </w:rPr>
              <w:t>的固体废物分为一般固废和危险废物。其中一般固废包括生活垃圾、筛分废料、拌合残渣、废沥青、沥青混凝土、沉淀池</w:t>
            </w:r>
            <w:r>
              <w:rPr>
                <w:rFonts w:hint="eastAsia"/>
                <w:sz w:val="24"/>
                <w:lang w:val="en-US" w:eastAsia="zh-CN"/>
              </w:rPr>
              <w:t>沉渣</w:t>
            </w:r>
            <w:r>
              <w:rPr>
                <w:rFonts w:hint="eastAsia"/>
                <w:sz w:val="24"/>
              </w:rPr>
              <w:t>、布袋除尘器收尘、车间内沉降粉尘、废布袋；危险废物包括废导热油、润滑油、</w:t>
            </w:r>
            <w:r>
              <w:rPr>
                <w:rFonts w:hint="eastAsia"/>
                <w:sz w:val="24"/>
                <w:highlight w:val="none"/>
                <w:lang w:val="en-US" w:eastAsia="zh-CN"/>
              </w:rPr>
              <w:t>废润滑油桶、</w:t>
            </w:r>
            <w:r>
              <w:rPr>
                <w:rFonts w:hint="eastAsia"/>
                <w:sz w:val="24"/>
              </w:rPr>
              <w:t>含油抹布手套等</w:t>
            </w:r>
            <w:r>
              <w:rPr>
                <w:rFonts w:hint="eastAsia"/>
                <w:sz w:val="24"/>
                <w:lang w:val="en-US" w:eastAsia="zh-CN"/>
              </w:rPr>
              <w:t>。</w:t>
            </w:r>
          </w:p>
          <w:p w14:paraId="4A047932">
            <w:pPr>
              <w:autoSpaceDE w:val="0"/>
              <w:autoSpaceDN w:val="0"/>
              <w:spacing w:line="360" w:lineRule="auto"/>
              <w:ind w:firstLine="482" w:firstLineChars="200"/>
              <w:rPr>
                <w:rFonts w:hint="default" w:eastAsia="宋体"/>
                <w:b/>
                <w:sz w:val="24"/>
                <w:lang w:val="en-US" w:eastAsia="zh-CN"/>
              </w:rPr>
            </w:pPr>
            <w:r>
              <w:rPr>
                <w:rFonts w:hint="eastAsia"/>
                <w:b/>
                <w:sz w:val="24"/>
                <w:lang w:val="en-US" w:eastAsia="zh-CN"/>
              </w:rPr>
              <w:t>已采取的治理措施：</w:t>
            </w:r>
            <w:r>
              <w:rPr>
                <w:rFonts w:hint="eastAsia"/>
                <w:b w:val="0"/>
                <w:bCs/>
                <w:sz w:val="24"/>
                <w:lang w:val="en-US" w:eastAsia="zh-CN"/>
              </w:rPr>
              <w:t>筛分废料由骨料供应商回收；</w:t>
            </w:r>
            <w:r>
              <w:rPr>
                <w:rFonts w:hint="eastAsia"/>
                <w:sz w:val="24"/>
                <w:lang w:val="en-US" w:eastAsia="zh-CN"/>
              </w:rPr>
              <w:t>废布袋由设备厂家回收；</w:t>
            </w:r>
            <w:r>
              <w:rPr>
                <w:rFonts w:hint="eastAsia"/>
                <w:b w:val="0"/>
                <w:bCs/>
                <w:sz w:val="24"/>
                <w:lang w:val="en-US" w:eastAsia="zh-CN"/>
              </w:rPr>
              <w:t>拌合残渣、废沥青、沥青混凝土、除尘器收尘、车间内沉降粉尘暂存于砂石骨料仓内，作为原料返回生产线使用。沉淀池沉渣定期清掏，办公区设置垃圾桶分类收集生活垃圾，沉淀池沉渣、生活垃圾统一收集后由环卫部门清运；废导热油、废机油、含油抹布手套暂于危废暂存间由达州市新创环保科技有限公司处置。</w:t>
            </w:r>
          </w:p>
          <w:p w14:paraId="4D3BB0F6">
            <w:pPr>
              <w:widowControl/>
              <w:spacing w:line="360" w:lineRule="auto"/>
              <w:ind w:firstLine="482" w:firstLineChars="200"/>
              <w:rPr>
                <w:rFonts w:hint="default" w:eastAsia="宋体"/>
                <w:b/>
                <w:bCs w:val="0"/>
                <w:sz w:val="24"/>
                <w:lang w:val="en-US" w:eastAsia="zh-CN"/>
              </w:rPr>
            </w:pPr>
            <w:r>
              <w:rPr>
                <w:rFonts w:hint="eastAsia"/>
                <w:b/>
                <w:bCs w:val="0"/>
                <w:sz w:val="24"/>
              </w:rPr>
              <w:t>存在的问题：</w:t>
            </w:r>
            <w:r>
              <w:rPr>
                <w:rFonts w:hint="eastAsia"/>
                <w:b w:val="0"/>
                <w:bCs/>
                <w:sz w:val="24"/>
                <w:lang w:val="en-US" w:eastAsia="zh-CN"/>
              </w:rPr>
              <w:t>根据现场调查，原项目已建危废暂存间存在地面防渗层破损，标识标牌不全等问题。</w:t>
            </w:r>
          </w:p>
          <w:p w14:paraId="4A3793C5">
            <w:pPr>
              <w:widowControl/>
              <w:spacing w:line="360" w:lineRule="auto"/>
              <w:ind w:firstLine="482" w:firstLineChars="200"/>
              <w:rPr>
                <w:rFonts w:hint="eastAsia" w:eastAsia="宋体"/>
                <w:b/>
                <w:bCs w:val="0"/>
                <w:sz w:val="24"/>
                <w:lang w:eastAsia="zh-CN"/>
              </w:rPr>
            </w:pPr>
            <w:r>
              <w:rPr>
                <w:rFonts w:hint="eastAsia"/>
                <w:b/>
                <w:bCs w:val="0"/>
                <w:sz w:val="24"/>
              </w:rPr>
              <w:t>整改措施：</w:t>
            </w:r>
            <w:r>
              <w:rPr>
                <w:rFonts w:hint="eastAsia"/>
                <w:b w:val="0"/>
                <w:bCs/>
                <w:sz w:val="24"/>
                <w:lang w:val="en-US" w:eastAsia="zh-CN"/>
              </w:rPr>
              <w:t>根据《危险废物贮存污染控制标准》（GB18597-2023）及其他相关要求完善危废暂存间相关设施，做好防雨、防风、防晒、防渗、防漏、防腐措施，按照《危险废物识别标志设置技术规范》（HJ1276-2022）规范完善危废暂存间标识标牌。</w:t>
            </w:r>
          </w:p>
          <w:p w14:paraId="0F6F24B1">
            <w:pPr>
              <w:pStyle w:val="17"/>
              <w:spacing w:after="0" w:line="360" w:lineRule="auto"/>
              <w:ind w:left="0" w:leftChars="0"/>
              <w:rPr>
                <w:rFonts w:hint="default" w:eastAsia="宋体"/>
                <w:b/>
                <w:sz w:val="24"/>
                <w:highlight w:val="none"/>
                <w:lang w:val="en-US" w:eastAsia="zh-CN"/>
              </w:rPr>
            </w:pPr>
            <w:r>
              <w:rPr>
                <w:rFonts w:hint="eastAsia"/>
                <w:b/>
                <w:sz w:val="24"/>
                <w:highlight w:val="none"/>
                <w:lang w:val="en-US" w:eastAsia="zh-CN"/>
              </w:rPr>
              <w:t>五、原项目污染物排放量汇总</w:t>
            </w:r>
          </w:p>
          <w:p w14:paraId="37A37C3A">
            <w:pPr>
              <w:numPr>
                <w:ilvl w:val="0"/>
                <w:numId w:val="4"/>
              </w:numPr>
              <w:tabs>
                <w:tab w:val="left" w:pos="0"/>
              </w:tabs>
              <w:jc w:val="center"/>
              <w:rPr>
                <w:rFonts w:hint="default" w:ascii="Times New Roman" w:hAnsi="Times New Roman" w:eastAsia="宋体" w:cs="Times New Roman"/>
                <w:b/>
                <w:szCs w:val="21"/>
                <w:highlight w:val="none"/>
                <w:lang w:val="en-US" w:eastAsia="zh-CN"/>
              </w:rPr>
            </w:pPr>
            <w:r>
              <w:rPr>
                <w:rFonts w:hint="eastAsia" w:ascii="Times New Roman" w:hAnsi="Times New Roman" w:eastAsia="宋体" w:cs="Times New Roman"/>
                <w:b/>
                <w:szCs w:val="21"/>
                <w:highlight w:val="none"/>
                <w:lang w:val="en-US" w:eastAsia="zh-CN"/>
              </w:rPr>
              <w:t>原项目污染物排放量汇总</w:t>
            </w:r>
          </w:p>
          <w:tbl>
            <w:tblPr>
              <w:tblStyle w:val="26"/>
              <w:tblW w:w="790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7"/>
              <w:gridCol w:w="3244"/>
              <w:gridCol w:w="3850"/>
            </w:tblGrid>
            <w:tr w14:paraId="2FA01D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51" w:type="dxa"/>
                  <w:gridSpan w:val="2"/>
                  <w:noWrap w:val="0"/>
                  <w:vAlign w:val="center"/>
                </w:tcPr>
                <w:p w14:paraId="44BCC4FB">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b/>
                      <w:bCs/>
                      <w:sz w:val="21"/>
                      <w:szCs w:val="21"/>
                      <w:highlight w:val="none"/>
                    </w:rPr>
                    <w:t>污染物</w:t>
                  </w:r>
                </w:p>
              </w:tc>
              <w:tc>
                <w:tcPr>
                  <w:tcW w:w="3850" w:type="dxa"/>
                  <w:noWrap w:val="0"/>
                  <w:vAlign w:val="center"/>
                </w:tcPr>
                <w:p w14:paraId="6FCC831F">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b/>
                      <w:bCs/>
                      <w:sz w:val="21"/>
                      <w:szCs w:val="21"/>
                      <w:highlight w:val="none"/>
                    </w:rPr>
                  </w:pPr>
                  <w:r>
                    <w:rPr>
                      <w:rFonts w:hint="eastAsia" w:ascii="Times New Roman" w:hAnsi="Times New Roman" w:eastAsia="宋体" w:cs="Times New Roman"/>
                      <w:b/>
                      <w:bCs/>
                      <w:sz w:val="21"/>
                      <w:szCs w:val="21"/>
                      <w:highlight w:val="none"/>
                      <w:lang w:val="en-US" w:eastAsia="zh-CN"/>
                    </w:rPr>
                    <w:t>原</w:t>
                  </w:r>
                  <w:r>
                    <w:rPr>
                      <w:rFonts w:hint="default" w:ascii="Times New Roman" w:hAnsi="Times New Roman" w:eastAsia="宋体" w:cs="Times New Roman"/>
                      <w:b/>
                      <w:bCs/>
                      <w:sz w:val="21"/>
                      <w:szCs w:val="21"/>
                      <w:highlight w:val="none"/>
                    </w:rPr>
                    <w:t>项目排放量</w:t>
                  </w:r>
                </w:p>
              </w:tc>
            </w:tr>
            <w:tr w14:paraId="4CA9F6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dxa"/>
                  <w:vMerge w:val="restart"/>
                  <w:noWrap w:val="0"/>
                  <w:vAlign w:val="center"/>
                </w:tcPr>
                <w:p w14:paraId="6E6BDD17">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废水</w:t>
                  </w:r>
                </w:p>
              </w:tc>
              <w:tc>
                <w:tcPr>
                  <w:tcW w:w="3244" w:type="dxa"/>
                  <w:noWrap w:val="0"/>
                  <w:vAlign w:val="center"/>
                </w:tcPr>
                <w:p w14:paraId="313B785E">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水量</w:t>
                  </w:r>
                </w:p>
              </w:tc>
              <w:tc>
                <w:tcPr>
                  <w:tcW w:w="3850" w:type="dxa"/>
                  <w:noWrap w:val="0"/>
                  <w:vAlign w:val="center"/>
                </w:tcPr>
                <w:p w14:paraId="44A122EE">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w:t>
                  </w:r>
                </w:p>
              </w:tc>
            </w:tr>
            <w:tr w14:paraId="256823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dxa"/>
                  <w:vMerge w:val="continue"/>
                  <w:noWrap w:val="0"/>
                  <w:vAlign w:val="center"/>
                </w:tcPr>
                <w:p w14:paraId="1ED119E8">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highlight w:val="none"/>
                    </w:rPr>
                  </w:pPr>
                </w:p>
              </w:tc>
              <w:tc>
                <w:tcPr>
                  <w:tcW w:w="3244" w:type="dxa"/>
                  <w:noWrap w:val="0"/>
                  <w:vAlign w:val="center"/>
                </w:tcPr>
                <w:p w14:paraId="50FFBA5E">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COD</w:t>
                  </w:r>
                </w:p>
              </w:tc>
              <w:tc>
                <w:tcPr>
                  <w:tcW w:w="3850" w:type="dxa"/>
                  <w:noWrap w:val="0"/>
                  <w:vAlign w:val="center"/>
                </w:tcPr>
                <w:p w14:paraId="097B1228">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w:t>
                  </w:r>
                </w:p>
              </w:tc>
            </w:tr>
            <w:tr w14:paraId="54F59E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dxa"/>
                  <w:vMerge w:val="continue"/>
                  <w:noWrap w:val="0"/>
                  <w:vAlign w:val="center"/>
                </w:tcPr>
                <w:p w14:paraId="1557208E">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highlight w:val="none"/>
                    </w:rPr>
                  </w:pPr>
                </w:p>
              </w:tc>
              <w:tc>
                <w:tcPr>
                  <w:tcW w:w="3244" w:type="dxa"/>
                  <w:noWrap w:val="0"/>
                  <w:vAlign w:val="center"/>
                </w:tcPr>
                <w:p w14:paraId="44406F23">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NH</w:t>
                  </w:r>
                  <w:r>
                    <w:rPr>
                      <w:rFonts w:hint="eastAsia" w:cs="Times New Roman"/>
                      <w:sz w:val="21"/>
                      <w:szCs w:val="21"/>
                      <w:highlight w:val="none"/>
                      <w:vertAlign w:val="subscript"/>
                      <w:lang w:val="en-US" w:eastAsia="zh-CN"/>
                    </w:rPr>
                    <w:t>3</w:t>
                  </w:r>
                  <w:r>
                    <w:rPr>
                      <w:rFonts w:hint="eastAsia" w:cs="Times New Roman"/>
                      <w:sz w:val="21"/>
                      <w:szCs w:val="21"/>
                      <w:highlight w:val="none"/>
                      <w:lang w:val="en-US" w:eastAsia="zh-CN"/>
                    </w:rPr>
                    <w:t>-N</w:t>
                  </w:r>
                </w:p>
              </w:tc>
              <w:tc>
                <w:tcPr>
                  <w:tcW w:w="3850" w:type="dxa"/>
                  <w:noWrap w:val="0"/>
                  <w:vAlign w:val="center"/>
                </w:tcPr>
                <w:p w14:paraId="42AA7B65">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w:t>
                  </w:r>
                </w:p>
              </w:tc>
            </w:tr>
            <w:tr w14:paraId="7DC172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dxa"/>
                  <w:vMerge w:val="continue"/>
                  <w:noWrap w:val="0"/>
                  <w:vAlign w:val="center"/>
                </w:tcPr>
                <w:p w14:paraId="50E0F3B0">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highlight w:val="none"/>
                    </w:rPr>
                  </w:pPr>
                </w:p>
              </w:tc>
              <w:tc>
                <w:tcPr>
                  <w:tcW w:w="3244" w:type="dxa"/>
                  <w:noWrap w:val="0"/>
                  <w:vAlign w:val="center"/>
                </w:tcPr>
                <w:p w14:paraId="52117E9D">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TP</w:t>
                  </w:r>
                </w:p>
              </w:tc>
              <w:tc>
                <w:tcPr>
                  <w:tcW w:w="3850" w:type="dxa"/>
                  <w:noWrap w:val="0"/>
                  <w:vAlign w:val="center"/>
                </w:tcPr>
                <w:p w14:paraId="4F572642">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w:t>
                  </w:r>
                </w:p>
              </w:tc>
            </w:tr>
            <w:tr w14:paraId="515C1C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dxa"/>
                  <w:vMerge w:val="restart"/>
                  <w:noWrap w:val="0"/>
                  <w:vAlign w:val="center"/>
                </w:tcPr>
                <w:p w14:paraId="34F441A0">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w:t>
                  </w:r>
                </w:p>
              </w:tc>
              <w:tc>
                <w:tcPr>
                  <w:tcW w:w="3244" w:type="dxa"/>
                  <w:noWrap w:val="0"/>
                  <w:vAlign w:val="center"/>
                </w:tcPr>
                <w:p w14:paraId="4D074166">
                  <w:pPr>
                    <w:pStyle w:val="17"/>
                    <w:spacing w:after="0" w:line="240" w:lineRule="exact"/>
                    <w:ind w:left="0" w:leftChars="0"/>
                    <w:jc w:val="center"/>
                    <w:rPr>
                      <w:rFonts w:hint="default"/>
                      <w:kern w:val="0"/>
                      <w:szCs w:val="21"/>
                      <w:lang w:val="en-US" w:eastAsia="zh-CN"/>
                    </w:rPr>
                  </w:pPr>
                  <w:r>
                    <w:rPr>
                      <w:rFonts w:hint="eastAsia"/>
                      <w:kern w:val="0"/>
                      <w:szCs w:val="21"/>
                      <w:lang w:val="en-US" w:eastAsia="zh-CN"/>
                    </w:rPr>
                    <w:t>颗粒物</w:t>
                  </w:r>
                </w:p>
              </w:tc>
              <w:tc>
                <w:tcPr>
                  <w:tcW w:w="3850" w:type="dxa"/>
                  <w:noWrap w:val="0"/>
                  <w:vAlign w:val="center"/>
                </w:tcPr>
                <w:p w14:paraId="30C900EA">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0.9861</w:t>
                  </w:r>
                </w:p>
              </w:tc>
            </w:tr>
            <w:tr w14:paraId="3680ED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dxa"/>
                  <w:vMerge w:val="continue"/>
                  <w:noWrap w:val="0"/>
                  <w:vAlign w:val="center"/>
                </w:tcPr>
                <w:p w14:paraId="5A87552D">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3244" w:type="dxa"/>
                  <w:noWrap w:val="0"/>
                  <w:vAlign w:val="center"/>
                </w:tcPr>
                <w:p w14:paraId="4E800484">
                  <w:pPr>
                    <w:pStyle w:val="17"/>
                    <w:spacing w:after="0" w:line="240" w:lineRule="exact"/>
                    <w:ind w:left="0" w:leftChars="0"/>
                    <w:jc w:val="center"/>
                    <w:rPr>
                      <w:rFonts w:hint="default"/>
                      <w:kern w:val="0"/>
                      <w:szCs w:val="21"/>
                      <w:lang w:val="en-US" w:eastAsia="zh-CN"/>
                    </w:rPr>
                  </w:pPr>
                  <w:r>
                    <w:rPr>
                      <w:rFonts w:hint="default"/>
                      <w:kern w:val="0"/>
                      <w:szCs w:val="21"/>
                      <w:lang w:val="en-US" w:eastAsia="zh-CN"/>
                    </w:rPr>
                    <w:t>沥青烟</w:t>
                  </w:r>
                </w:p>
              </w:tc>
              <w:tc>
                <w:tcPr>
                  <w:tcW w:w="3850" w:type="dxa"/>
                  <w:noWrap w:val="0"/>
                  <w:vAlign w:val="center"/>
                </w:tcPr>
                <w:p w14:paraId="49FC82A6">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0.0183</w:t>
                  </w:r>
                </w:p>
              </w:tc>
            </w:tr>
            <w:tr w14:paraId="0C9ED1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dxa"/>
                  <w:vMerge w:val="continue"/>
                  <w:noWrap w:val="0"/>
                  <w:vAlign w:val="center"/>
                </w:tcPr>
                <w:p w14:paraId="1D296968">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3244" w:type="dxa"/>
                  <w:noWrap w:val="0"/>
                  <w:vAlign w:val="center"/>
                </w:tcPr>
                <w:p w14:paraId="58E526E2">
                  <w:pPr>
                    <w:pStyle w:val="17"/>
                    <w:spacing w:after="0" w:line="240" w:lineRule="exact"/>
                    <w:ind w:left="0" w:lef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苯并[a]芘</w:t>
                  </w:r>
                </w:p>
              </w:tc>
              <w:tc>
                <w:tcPr>
                  <w:tcW w:w="3850" w:type="dxa"/>
                  <w:noWrap w:val="0"/>
                  <w:vAlign w:val="center"/>
                </w:tcPr>
                <w:p w14:paraId="3FA3DE1E">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3.654×10</w:t>
                  </w:r>
                  <w:r>
                    <w:rPr>
                      <w:rFonts w:hint="eastAsia" w:cs="Times New Roman"/>
                      <w:sz w:val="21"/>
                      <w:szCs w:val="21"/>
                      <w:vertAlign w:val="superscript"/>
                      <w:lang w:val="en-US" w:eastAsia="zh-CN"/>
                    </w:rPr>
                    <w:t>-7</w:t>
                  </w:r>
                </w:p>
              </w:tc>
            </w:tr>
            <w:tr w14:paraId="77E306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dxa"/>
                  <w:vMerge w:val="continue"/>
                  <w:noWrap w:val="0"/>
                  <w:vAlign w:val="center"/>
                </w:tcPr>
                <w:p w14:paraId="3A14DC35">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3244" w:type="dxa"/>
                  <w:noWrap w:val="0"/>
                  <w:vAlign w:val="center"/>
                </w:tcPr>
                <w:p w14:paraId="1EBC65B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VOCs（以非甲烷总烃计）</w:t>
                  </w:r>
                </w:p>
              </w:tc>
              <w:tc>
                <w:tcPr>
                  <w:tcW w:w="3850" w:type="dxa"/>
                  <w:noWrap w:val="0"/>
                  <w:vAlign w:val="center"/>
                </w:tcPr>
                <w:p w14:paraId="20066CF9">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0.0128</w:t>
                  </w:r>
                </w:p>
              </w:tc>
            </w:tr>
            <w:tr w14:paraId="27BF69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dxa"/>
                  <w:vMerge w:val="continue"/>
                  <w:noWrap w:val="0"/>
                  <w:vAlign w:val="center"/>
                </w:tcPr>
                <w:p w14:paraId="3421A184">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3244" w:type="dxa"/>
                  <w:noWrap w:val="0"/>
                  <w:vAlign w:val="center"/>
                </w:tcPr>
                <w:p w14:paraId="70DD20A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NO</w:t>
                  </w:r>
                  <w:r>
                    <w:rPr>
                      <w:rFonts w:hint="eastAsia" w:cs="Times New Roman"/>
                      <w:sz w:val="21"/>
                      <w:szCs w:val="21"/>
                      <w:vertAlign w:val="subscript"/>
                      <w:lang w:val="en-US" w:eastAsia="zh-CN"/>
                    </w:rPr>
                    <w:t>x</w:t>
                  </w:r>
                </w:p>
              </w:tc>
              <w:tc>
                <w:tcPr>
                  <w:tcW w:w="3850" w:type="dxa"/>
                  <w:noWrap w:val="0"/>
                  <w:vAlign w:val="center"/>
                </w:tcPr>
                <w:p w14:paraId="5ADC1FBC">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2.2509</w:t>
                  </w:r>
                </w:p>
              </w:tc>
            </w:tr>
            <w:tr w14:paraId="5C94B3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dxa"/>
                  <w:vMerge w:val="continue"/>
                  <w:noWrap w:val="0"/>
                  <w:vAlign w:val="center"/>
                </w:tcPr>
                <w:p w14:paraId="14F5E784">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3244" w:type="dxa"/>
                  <w:noWrap w:val="0"/>
                  <w:vAlign w:val="center"/>
                </w:tcPr>
                <w:p w14:paraId="0D24C872">
                  <w:pPr>
                    <w:keepNext w:val="0"/>
                    <w:keepLines w:val="0"/>
                    <w:pageBreakBefore w:val="0"/>
                    <w:kinsoku/>
                    <w:wordWrap/>
                    <w:overflowPunct/>
                    <w:topLinePunct w:val="0"/>
                    <w:autoSpaceDE/>
                    <w:autoSpaceDN/>
                    <w:bidi w:val="0"/>
                    <w:adjustRightInd/>
                    <w:snapToGrid/>
                    <w:spacing w:line="240" w:lineRule="exact"/>
                    <w:jc w:val="center"/>
                    <w:rPr>
                      <w:rFonts w:hint="default" w:cs="Times New Roman"/>
                      <w:sz w:val="21"/>
                      <w:szCs w:val="21"/>
                      <w:lang w:val="en-US" w:eastAsia="zh-CN"/>
                    </w:rPr>
                  </w:pPr>
                  <w:r>
                    <w:rPr>
                      <w:rFonts w:hint="eastAsia" w:cs="Times New Roman"/>
                      <w:sz w:val="21"/>
                      <w:szCs w:val="21"/>
                      <w:lang w:val="en-US" w:eastAsia="zh-CN"/>
                    </w:rPr>
                    <w:t>SO</w:t>
                  </w:r>
                  <w:r>
                    <w:rPr>
                      <w:rFonts w:hint="eastAsia" w:cs="Times New Roman"/>
                      <w:sz w:val="21"/>
                      <w:szCs w:val="21"/>
                      <w:vertAlign w:val="subscript"/>
                      <w:lang w:val="en-US" w:eastAsia="zh-CN"/>
                    </w:rPr>
                    <w:t>2</w:t>
                  </w:r>
                </w:p>
              </w:tc>
              <w:tc>
                <w:tcPr>
                  <w:tcW w:w="3850" w:type="dxa"/>
                  <w:noWrap w:val="0"/>
                  <w:vAlign w:val="center"/>
                </w:tcPr>
                <w:p w14:paraId="269C205C">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0.0496</w:t>
                  </w:r>
                </w:p>
              </w:tc>
            </w:tr>
            <w:tr w14:paraId="4BABA9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dxa"/>
                  <w:vMerge w:val="restart"/>
                  <w:noWrap w:val="0"/>
                  <w:vAlign w:val="center"/>
                </w:tcPr>
                <w:p w14:paraId="672397D3">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w:t>
                  </w:r>
                </w:p>
              </w:tc>
              <w:tc>
                <w:tcPr>
                  <w:tcW w:w="3244" w:type="dxa"/>
                  <w:shd w:val="clear" w:color="auto" w:fill="auto"/>
                  <w:noWrap w:val="0"/>
                  <w:vAlign w:val="center"/>
                </w:tcPr>
                <w:p w14:paraId="2C9830E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生活垃圾</w:t>
                  </w:r>
                </w:p>
              </w:tc>
              <w:tc>
                <w:tcPr>
                  <w:tcW w:w="3850" w:type="dxa"/>
                  <w:noWrap w:val="0"/>
                  <w:vAlign w:val="center"/>
                </w:tcPr>
                <w:p w14:paraId="35065D59">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3.96</w:t>
                  </w:r>
                </w:p>
              </w:tc>
            </w:tr>
            <w:tr w14:paraId="383336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07" w:type="dxa"/>
                  <w:vMerge w:val="continue"/>
                  <w:noWrap w:val="0"/>
                  <w:vAlign w:val="center"/>
                </w:tcPr>
                <w:p w14:paraId="2CEEBA5F">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3244" w:type="dxa"/>
                  <w:shd w:val="clear" w:color="auto" w:fill="auto"/>
                  <w:noWrap w:val="0"/>
                  <w:vAlign w:val="center"/>
                </w:tcPr>
                <w:p w14:paraId="158148F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沉淀池沉渣</w:t>
                  </w:r>
                </w:p>
              </w:tc>
              <w:tc>
                <w:tcPr>
                  <w:tcW w:w="3850" w:type="dxa"/>
                  <w:noWrap w:val="0"/>
                  <w:vAlign w:val="center"/>
                </w:tcPr>
                <w:p w14:paraId="6CEF2E38">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0.8</w:t>
                  </w:r>
                </w:p>
              </w:tc>
            </w:tr>
            <w:tr w14:paraId="432EC6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807" w:type="dxa"/>
                  <w:vMerge w:val="continue"/>
                  <w:noWrap w:val="0"/>
                  <w:vAlign w:val="center"/>
                </w:tcPr>
                <w:p w14:paraId="710205D4">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3244" w:type="dxa"/>
                  <w:shd w:val="clear" w:color="auto" w:fill="auto"/>
                  <w:noWrap w:val="0"/>
                  <w:vAlign w:val="center"/>
                </w:tcPr>
                <w:p w14:paraId="708614F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筛分废料</w:t>
                  </w:r>
                </w:p>
              </w:tc>
              <w:tc>
                <w:tcPr>
                  <w:tcW w:w="3850" w:type="dxa"/>
                  <w:noWrap w:val="0"/>
                  <w:vAlign w:val="center"/>
                </w:tcPr>
                <w:p w14:paraId="39D86C4A">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18.4</w:t>
                  </w:r>
                </w:p>
              </w:tc>
            </w:tr>
            <w:tr w14:paraId="4D671A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dxa"/>
                  <w:vMerge w:val="continue"/>
                  <w:noWrap w:val="0"/>
                  <w:vAlign w:val="center"/>
                </w:tcPr>
                <w:p w14:paraId="0E1F3CC1">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3244" w:type="dxa"/>
                  <w:shd w:val="clear" w:color="auto" w:fill="auto"/>
                  <w:noWrap w:val="0"/>
                  <w:vAlign w:val="center"/>
                </w:tcPr>
                <w:p w14:paraId="554ECAC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拌合残渣、废沥青、沥青混凝土</w:t>
                  </w:r>
                </w:p>
              </w:tc>
              <w:tc>
                <w:tcPr>
                  <w:tcW w:w="3850" w:type="dxa"/>
                  <w:noWrap w:val="0"/>
                  <w:vAlign w:val="center"/>
                </w:tcPr>
                <w:p w14:paraId="2A51B36B">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w:t>
                  </w:r>
                </w:p>
              </w:tc>
            </w:tr>
            <w:tr w14:paraId="03BA3C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dxa"/>
                  <w:vMerge w:val="continue"/>
                  <w:noWrap w:val="0"/>
                  <w:vAlign w:val="center"/>
                </w:tcPr>
                <w:p w14:paraId="4E1428B7">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3244" w:type="dxa"/>
                  <w:shd w:val="clear" w:color="auto" w:fill="auto"/>
                  <w:noWrap w:val="0"/>
                  <w:vAlign w:val="center"/>
                </w:tcPr>
                <w:p w14:paraId="5F10B57E">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除尘器收尘</w:t>
                  </w:r>
                </w:p>
              </w:tc>
              <w:tc>
                <w:tcPr>
                  <w:tcW w:w="3850" w:type="dxa"/>
                  <w:noWrap w:val="0"/>
                  <w:vAlign w:val="center"/>
                </w:tcPr>
                <w:p w14:paraId="6967B27B">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261.6843</w:t>
                  </w:r>
                </w:p>
              </w:tc>
            </w:tr>
            <w:tr w14:paraId="71822F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dxa"/>
                  <w:vMerge w:val="continue"/>
                  <w:noWrap w:val="0"/>
                  <w:vAlign w:val="center"/>
                </w:tcPr>
                <w:p w14:paraId="6452B313">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3244" w:type="dxa"/>
                  <w:shd w:val="clear" w:color="auto" w:fill="auto"/>
                  <w:noWrap w:val="0"/>
                  <w:vAlign w:val="center"/>
                </w:tcPr>
                <w:p w14:paraId="2EDD65BA">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车间内沉降粉尘</w:t>
                  </w:r>
                </w:p>
              </w:tc>
              <w:tc>
                <w:tcPr>
                  <w:tcW w:w="3850" w:type="dxa"/>
                  <w:noWrap w:val="0"/>
                  <w:vAlign w:val="center"/>
                </w:tcPr>
                <w:p w14:paraId="416FEB07">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13.6762</w:t>
                  </w:r>
                </w:p>
              </w:tc>
            </w:tr>
            <w:tr w14:paraId="2853F6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dxa"/>
                  <w:vMerge w:val="continue"/>
                  <w:noWrap w:val="0"/>
                  <w:vAlign w:val="center"/>
                </w:tcPr>
                <w:p w14:paraId="20F72E19">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3244" w:type="dxa"/>
                  <w:shd w:val="clear" w:color="auto" w:fill="auto"/>
                  <w:noWrap w:val="0"/>
                  <w:vAlign w:val="center"/>
                </w:tcPr>
                <w:p w14:paraId="7022881D">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废布袋</w:t>
                  </w:r>
                </w:p>
              </w:tc>
              <w:tc>
                <w:tcPr>
                  <w:tcW w:w="3850" w:type="dxa"/>
                  <w:noWrap w:val="0"/>
                  <w:vAlign w:val="center"/>
                </w:tcPr>
                <w:p w14:paraId="63E6E57E">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0.2</w:t>
                  </w:r>
                </w:p>
              </w:tc>
            </w:tr>
            <w:tr w14:paraId="4FFEE1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dxa"/>
                  <w:vMerge w:val="continue"/>
                  <w:noWrap w:val="0"/>
                  <w:vAlign w:val="center"/>
                </w:tcPr>
                <w:p w14:paraId="54796994">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3244" w:type="dxa"/>
                  <w:shd w:val="clear" w:color="auto" w:fill="auto"/>
                  <w:noWrap w:val="0"/>
                  <w:vAlign w:val="center"/>
                </w:tcPr>
                <w:p w14:paraId="0120414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废导热油</w:t>
                  </w:r>
                </w:p>
              </w:tc>
              <w:tc>
                <w:tcPr>
                  <w:tcW w:w="3850" w:type="dxa"/>
                  <w:noWrap w:val="0"/>
                  <w:vAlign w:val="center"/>
                </w:tcPr>
                <w:p w14:paraId="0DCF1B55">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5t/3a</w:t>
                  </w:r>
                </w:p>
              </w:tc>
            </w:tr>
            <w:tr w14:paraId="2C4801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dxa"/>
                  <w:vMerge w:val="continue"/>
                  <w:noWrap w:val="0"/>
                  <w:vAlign w:val="center"/>
                </w:tcPr>
                <w:p w14:paraId="43238071">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3244" w:type="dxa"/>
                  <w:shd w:val="clear" w:color="auto" w:fill="auto"/>
                  <w:noWrap w:val="0"/>
                  <w:vAlign w:val="center"/>
                </w:tcPr>
                <w:p w14:paraId="0BF8236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废润滑油</w:t>
                  </w:r>
                </w:p>
              </w:tc>
              <w:tc>
                <w:tcPr>
                  <w:tcW w:w="3850" w:type="dxa"/>
                  <w:noWrap w:val="0"/>
                  <w:vAlign w:val="center"/>
                </w:tcPr>
                <w:p w14:paraId="3E6EB6C7">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0.25</w:t>
                  </w:r>
                </w:p>
              </w:tc>
            </w:tr>
            <w:tr w14:paraId="651E6D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dxa"/>
                  <w:vMerge w:val="continue"/>
                  <w:noWrap w:val="0"/>
                  <w:vAlign w:val="center"/>
                </w:tcPr>
                <w:p w14:paraId="471E7A7E">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3244" w:type="dxa"/>
                  <w:shd w:val="clear" w:color="auto" w:fill="auto"/>
                  <w:noWrap w:val="0"/>
                  <w:vAlign w:val="center"/>
                </w:tcPr>
                <w:p w14:paraId="3DCF71D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含油抹布手套</w:t>
                  </w:r>
                </w:p>
              </w:tc>
              <w:tc>
                <w:tcPr>
                  <w:tcW w:w="3850" w:type="dxa"/>
                  <w:noWrap w:val="0"/>
                  <w:vAlign w:val="center"/>
                </w:tcPr>
                <w:p w14:paraId="5E8A3313">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0.005</w:t>
                  </w:r>
                </w:p>
              </w:tc>
            </w:tr>
            <w:tr w14:paraId="10E3AA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dxa"/>
                  <w:vMerge w:val="continue"/>
                  <w:noWrap w:val="0"/>
                  <w:vAlign w:val="center"/>
                </w:tcPr>
                <w:p w14:paraId="11497FA9">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3244" w:type="dxa"/>
                  <w:shd w:val="clear" w:color="auto" w:fill="auto"/>
                  <w:noWrap w:val="0"/>
                  <w:vAlign w:val="center"/>
                </w:tcPr>
                <w:p w14:paraId="06B1501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废润滑油桶</w:t>
                  </w:r>
                </w:p>
              </w:tc>
              <w:tc>
                <w:tcPr>
                  <w:tcW w:w="3850" w:type="dxa"/>
                  <w:noWrap w:val="0"/>
                  <w:vAlign w:val="center"/>
                </w:tcPr>
                <w:p w14:paraId="37ECED57">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0.025</w:t>
                  </w:r>
                </w:p>
              </w:tc>
            </w:tr>
          </w:tbl>
          <w:p w14:paraId="25067119">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eastAsia"/>
                <w:b w:val="0"/>
                <w:bCs/>
                <w:sz w:val="21"/>
                <w:szCs w:val="21"/>
                <w:highlight w:val="none"/>
              </w:rPr>
            </w:pPr>
          </w:p>
          <w:p w14:paraId="6459EF9B">
            <w:pPr>
              <w:pStyle w:val="17"/>
              <w:spacing w:after="0" w:line="360" w:lineRule="auto"/>
              <w:ind w:left="0" w:leftChars="0"/>
              <w:rPr>
                <w:rFonts w:hint="eastAsia"/>
                <w:b/>
                <w:sz w:val="24"/>
                <w:highlight w:val="none"/>
              </w:rPr>
            </w:pPr>
            <w:r>
              <w:rPr>
                <w:rFonts w:hint="eastAsia"/>
                <w:b/>
                <w:sz w:val="24"/>
                <w:highlight w:val="none"/>
              </w:rPr>
              <w:t>六、原项目存在的主要环境问题以及以新带老措施</w:t>
            </w:r>
          </w:p>
          <w:p w14:paraId="080708BB">
            <w:pPr>
              <w:widowControl/>
              <w:spacing w:line="360" w:lineRule="auto"/>
              <w:ind w:firstLine="480" w:firstLineChars="200"/>
              <w:rPr>
                <w:rFonts w:hint="eastAsia"/>
                <w:bCs/>
                <w:sz w:val="24"/>
                <w:highlight w:val="none"/>
              </w:rPr>
            </w:pPr>
            <w:r>
              <w:rPr>
                <w:rFonts w:hint="eastAsia"/>
                <w:bCs/>
                <w:sz w:val="24"/>
                <w:highlight w:val="none"/>
                <w:lang w:val="en-US" w:eastAsia="zh-CN"/>
              </w:rPr>
              <w:t>①</w:t>
            </w:r>
            <w:r>
              <w:rPr>
                <w:rFonts w:hint="eastAsia"/>
                <w:bCs/>
                <w:sz w:val="24"/>
                <w:highlight w:val="none"/>
              </w:rPr>
              <w:t>根据现场调查，原项目</w:t>
            </w:r>
            <w:r>
              <w:rPr>
                <w:rFonts w:hint="eastAsia"/>
                <w:bCs/>
                <w:sz w:val="24"/>
                <w:highlight w:val="none"/>
                <w:lang w:val="en-US" w:eastAsia="zh-CN"/>
              </w:rPr>
              <w:t>车辆清洗区未设置隔油池</w:t>
            </w:r>
            <w:r>
              <w:rPr>
                <w:rFonts w:hint="eastAsia"/>
                <w:bCs/>
                <w:sz w:val="24"/>
                <w:highlight w:val="none"/>
              </w:rPr>
              <w:t>。</w:t>
            </w:r>
          </w:p>
          <w:p w14:paraId="21FC7DA7">
            <w:pPr>
              <w:widowControl/>
              <w:spacing w:line="360" w:lineRule="auto"/>
              <w:ind w:firstLine="480" w:firstLineChars="200"/>
              <w:rPr>
                <w:rFonts w:hint="eastAsia"/>
                <w:bCs/>
                <w:sz w:val="24"/>
                <w:highlight w:val="none"/>
              </w:rPr>
            </w:pPr>
            <w:r>
              <w:rPr>
                <w:rFonts w:hint="eastAsia"/>
                <w:bCs/>
                <w:sz w:val="24"/>
                <w:highlight w:val="none"/>
                <w:lang w:val="en-US" w:eastAsia="zh-CN"/>
              </w:rPr>
              <w:t>②</w:t>
            </w:r>
            <w:r>
              <w:rPr>
                <w:rFonts w:hint="eastAsia"/>
                <w:bCs/>
                <w:sz w:val="24"/>
                <w:highlight w:val="none"/>
              </w:rPr>
              <w:t>原项目</w:t>
            </w:r>
            <w:r>
              <w:rPr>
                <w:rFonts w:hint="eastAsia"/>
                <w:bCs/>
                <w:sz w:val="24"/>
                <w:highlight w:val="none"/>
                <w:lang w:val="en-US" w:eastAsia="zh-CN"/>
              </w:rPr>
              <w:t>已</w:t>
            </w:r>
            <w:r>
              <w:rPr>
                <w:rFonts w:hint="eastAsia"/>
                <w:bCs/>
                <w:sz w:val="24"/>
                <w:highlight w:val="none"/>
              </w:rPr>
              <w:t>设置</w:t>
            </w:r>
            <w:r>
              <w:rPr>
                <w:rFonts w:hint="eastAsia"/>
                <w:bCs/>
                <w:sz w:val="24"/>
                <w:highlight w:val="none"/>
                <w:lang w:val="en-US" w:eastAsia="zh-CN"/>
              </w:rPr>
              <w:t>的危废暂存间地面防渗层破损，危废暂存间未按照《危险废物识别标志设置技术规范》（HJ1276-2022）规范要求完善标识标牌。</w:t>
            </w:r>
          </w:p>
          <w:p w14:paraId="204A1492">
            <w:pPr>
              <w:widowControl/>
              <w:spacing w:line="360" w:lineRule="auto"/>
              <w:ind w:firstLine="480" w:firstLineChars="200"/>
              <w:rPr>
                <w:rFonts w:hint="default" w:eastAsia="宋体"/>
                <w:b/>
                <w:sz w:val="24"/>
                <w:highlight w:val="none"/>
                <w:lang w:val="en-US" w:eastAsia="zh-CN"/>
              </w:rPr>
            </w:pPr>
            <w:r>
              <w:rPr>
                <w:rFonts w:hint="eastAsia"/>
                <w:b w:val="0"/>
                <w:bCs/>
                <w:sz w:val="24"/>
                <w:highlight w:val="none"/>
                <w:lang w:val="en-US" w:eastAsia="zh-CN"/>
              </w:rPr>
              <w:t>③导热油炉天然气燃烧嘴未安装低氮燃烧装置。</w:t>
            </w:r>
          </w:p>
          <w:p w14:paraId="366FFDB5">
            <w:pPr>
              <w:widowControl/>
              <w:spacing w:line="360" w:lineRule="auto"/>
              <w:ind w:firstLine="482" w:firstLineChars="200"/>
              <w:rPr>
                <w:rFonts w:hint="eastAsia"/>
                <w:b/>
                <w:sz w:val="24"/>
                <w:highlight w:val="none"/>
              </w:rPr>
            </w:pPr>
            <w:r>
              <w:rPr>
                <w:rFonts w:hint="eastAsia"/>
                <w:b/>
                <w:sz w:val="24"/>
                <w:highlight w:val="none"/>
              </w:rPr>
              <w:t>“以新带老”措施：</w:t>
            </w:r>
          </w:p>
          <w:p w14:paraId="66D3E771">
            <w:pPr>
              <w:widowControl/>
              <w:spacing w:line="360" w:lineRule="auto"/>
              <w:ind w:firstLine="480" w:firstLineChars="200"/>
              <w:rPr>
                <w:rFonts w:hint="eastAsia"/>
                <w:bCs/>
                <w:sz w:val="24"/>
                <w:highlight w:val="none"/>
              </w:rPr>
            </w:pPr>
            <w:r>
              <w:rPr>
                <w:rFonts w:hint="eastAsia"/>
                <w:bCs/>
                <w:sz w:val="24"/>
                <w:highlight w:val="none"/>
              </w:rPr>
              <w:t>①本次</w:t>
            </w:r>
            <w:r>
              <w:rPr>
                <w:rFonts w:hint="eastAsia"/>
                <w:bCs/>
                <w:sz w:val="24"/>
                <w:highlight w:val="none"/>
                <w:lang w:val="en-US" w:eastAsia="zh-CN"/>
              </w:rPr>
              <w:t>改建完成后</w:t>
            </w:r>
            <w:r>
              <w:rPr>
                <w:rFonts w:hint="eastAsia"/>
                <w:bCs/>
                <w:sz w:val="24"/>
                <w:highlight w:val="none"/>
              </w:rPr>
              <w:t>，在</w:t>
            </w:r>
            <w:r>
              <w:rPr>
                <w:rFonts w:hint="eastAsia"/>
                <w:bCs/>
                <w:sz w:val="24"/>
                <w:highlight w:val="none"/>
                <w:lang w:val="en-US" w:eastAsia="zh-CN"/>
              </w:rPr>
              <w:t>导热油炉天然气燃烧嘴安装低氮燃烧装置</w:t>
            </w:r>
            <w:r>
              <w:rPr>
                <w:rFonts w:hint="eastAsia"/>
                <w:bCs/>
                <w:sz w:val="24"/>
                <w:highlight w:val="none"/>
              </w:rPr>
              <w:t>，</w:t>
            </w:r>
            <w:r>
              <w:rPr>
                <w:rFonts w:hint="eastAsia"/>
                <w:bCs/>
                <w:sz w:val="24"/>
                <w:highlight w:val="none"/>
                <w:lang w:val="en-US" w:eastAsia="zh-CN"/>
              </w:rPr>
              <w:t>导热油炉天然气燃烧废气经低氮燃烧装置处理后由13m高排气筒排放</w:t>
            </w:r>
            <w:r>
              <w:rPr>
                <w:rFonts w:hint="eastAsia"/>
                <w:bCs/>
                <w:sz w:val="24"/>
                <w:highlight w:val="none"/>
              </w:rPr>
              <w:t>；</w:t>
            </w:r>
          </w:p>
          <w:p w14:paraId="0CAF6CF4">
            <w:pPr>
              <w:widowControl/>
              <w:spacing w:line="360" w:lineRule="auto"/>
              <w:ind w:firstLine="480" w:firstLineChars="200"/>
              <w:rPr>
                <w:rFonts w:hint="default" w:eastAsia="宋体"/>
                <w:bCs/>
                <w:sz w:val="24"/>
                <w:lang w:val="en-US" w:eastAsia="zh-CN"/>
              </w:rPr>
            </w:pPr>
            <w:r>
              <w:rPr>
                <w:rFonts w:hint="eastAsia"/>
                <w:bCs/>
                <w:sz w:val="24"/>
                <w:highlight w:val="none"/>
              </w:rPr>
              <w:t>②根据《危险废物贮存污染控制标准》（GB18597-2023）及其他相关要求完善危废暂存间相关设施，做好防雨、防风、防晒、防渗、防漏、防腐措施，按照《危险废物识别标志设置技术规范》（HJ1276-2022）规范完善标识标牌。</w:t>
            </w:r>
          </w:p>
          <w:p w14:paraId="244B1721">
            <w:pPr>
              <w:widowControl/>
              <w:spacing w:line="360" w:lineRule="auto"/>
              <w:ind w:firstLine="480" w:firstLineChars="200"/>
              <w:rPr>
                <w:rFonts w:hint="default" w:ascii="Times New Roman" w:hAnsi="Times New Roman" w:eastAsia="宋体" w:cs="Times New Roman"/>
                <w:sz w:val="24"/>
                <w:szCs w:val="24"/>
                <w:u w:val="none"/>
                <w:lang w:val="en-US" w:eastAsia="zh-CN"/>
              </w:rPr>
            </w:pPr>
            <w:r>
              <w:rPr>
                <w:rFonts w:hint="eastAsia"/>
                <w:bCs/>
                <w:sz w:val="24"/>
                <w:lang w:val="en-US" w:eastAsia="zh-CN"/>
              </w:rPr>
              <w:t>③本次改建完成后，车辆清洗区设置隔油池，车辆清洗废水、实验室设施设备清洗废水经隔油池+三级沉淀池处理后回用于车辆清洗</w:t>
            </w:r>
            <w:r>
              <w:rPr>
                <w:rFonts w:hint="eastAsia"/>
                <w:sz w:val="24"/>
                <w:lang w:val="en-US" w:eastAsia="zh-CN"/>
              </w:rPr>
              <w:t>。</w:t>
            </w:r>
          </w:p>
        </w:tc>
      </w:tr>
    </w:tbl>
    <w:p w14:paraId="22597EAF">
      <w:pPr>
        <w:wordWrap w:val="0"/>
        <w:adjustRightInd w:val="0"/>
        <w:jc w:val="center"/>
        <w:rPr>
          <w:rFonts w:eastAsia="黑体"/>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026F27E">
      <w:pPr>
        <w:pStyle w:val="22"/>
        <w:wordWrap w:val="0"/>
        <w:adjustRightInd w:val="0"/>
        <w:snapToGrid w:val="0"/>
        <w:spacing w:before="0" w:beforeAutospacing="0" w:after="0" w:afterAutospacing="0" w:line="14" w:lineRule="auto"/>
        <w:jc w:val="center"/>
        <w:rPr>
          <w:rFonts w:ascii="Times New Roman" w:hAnsi="Times New Roman" w:eastAsia="黑体"/>
          <w:snapToGrid w:val="0"/>
          <w:sz w:val="30"/>
          <w:szCs w:val="30"/>
        </w:rPr>
      </w:pPr>
    </w:p>
    <w:p w14:paraId="7C3BE690">
      <w:pPr>
        <w:pStyle w:val="22"/>
        <w:wordWrap w:val="0"/>
        <w:spacing w:before="0" w:beforeAutospacing="0" w:after="0" w:afterAutospacing="0"/>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三、区域环境质量现状、环境保护目标及评价标准</w:t>
      </w:r>
    </w:p>
    <w:tbl>
      <w:tblPr>
        <w:tblStyle w:val="26"/>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 w:type="dxa"/>
          <w:bottom w:w="0" w:type="dxa"/>
          <w:right w:w="1" w:type="dxa"/>
        </w:tblCellMar>
      </w:tblPr>
      <w:tblGrid>
        <w:gridCol w:w="800"/>
        <w:gridCol w:w="8190"/>
      </w:tblGrid>
      <w:tr w14:paraId="43F902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 w:type="dxa"/>
            <w:bottom w:w="0" w:type="dxa"/>
            <w:right w:w="1" w:type="dxa"/>
          </w:tblCellMar>
        </w:tblPrEx>
        <w:trPr>
          <w:trHeight w:val="90" w:hRule="atLeast"/>
          <w:jc w:val="center"/>
        </w:trPr>
        <w:tc>
          <w:tcPr>
            <w:tcW w:w="800" w:type="dxa"/>
            <w:noWrap w:val="0"/>
            <w:vAlign w:val="center"/>
          </w:tcPr>
          <w:p w14:paraId="12C7617D">
            <w:pPr>
              <w:wordWrap w:val="0"/>
              <w:adjustRightInd w:val="0"/>
              <w:ind w:left="21" w:leftChars="10" w:right="21" w:rightChars="10"/>
              <w:jc w:val="center"/>
              <w:rPr>
                <w:b/>
                <w:sz w:val="24"/>
              </w:rPr>
            </w:pPr>
            <w:r>
              <w:rPr>
                <w:b/>
                <w:sz w:val="24"/>
              </w:rPr>
              <w:t>区域</w:t>
            </w:r>
          </w:p>
          <w:p w14:paraId="70D859E3">
            <w:pPr>
              <w:wordWrap w:val="0"/>
              <w:adjustRightInd w:val="0"/>
              <w:ind w:left="21" w:leftChars="10" w:right="21" w:rightChars="10"/>
              <w:jc w:val="center"/>
              <w:rPr>
                <w:b/>
                <w:sz w:val="24"/>
              </w:rPr>
            </w:pPr>
            <w:r>
              <w:rPr>
                <w:b/>
                <w:sz w:val="24"/>
              </w:rPr>
              <w:t>环境</w:t>
            </w:r>
          </w:p>
          <w:p w14:paraId="24ADF5BF">
            <w:pPr>
              <w:wordWrap w:val="0"/>
              <w:adjustRightInd w:val="0"/>
              <w:ind w:left="21" w:leftChars="10" w:right="21" w:rightChars="10"/>
              <w:jc w:val="center"/>
              <w:rPr>
                <w:b/>
                <w:sz w:val="24"/>
              </w:rPr>
            </w:pPr>
            <w:r>
              <w:rPr>
                <w:b/>
                <w:sz w:val="24"/>
              </w:rPr>
              <w:t>质量</w:t>
            </w:r>
          </w:p>
          <w:p w14:paraId="59B5F626">
            <w:pPr>
              <w:wordWrap w:val="0"/>
              <w:adjustRightInd w:val="0"/>
              <w:ind w:left="21" w:leftChars="10" w:right="21" w:rightChars="10"/>
              <w:jc w:val="center"/>
              <w:rPr>
                <w:b/>
                <w:sz w:val="24"/>
              </w:rPr>
            </w:pPr>
            <w:r>
              <w:rPr>
                <w:b/>
                <w:sz w:val="24"/>
              </w:rPr>
              <w:t>现状</w:t>
            </w:r>
          </w:p>
        </w:tc>
        <w:tc>
          <w:tcPr>
            <w:tcW w:w="8190" w:type="dxa"/>
            <w:noWrap w:val="0"/>
            <w:vAlign w:val="center"/>
          </w:tcPr>
          <w:p w14:paraId="7707E03E">
            <w:pPr>
              <w:wordWrap w:val="0"/>
              <w:spacing w:line="360" w:lineRule="auto"/>
              <w:ind w:left="21" w:leftChars="10" w:right="21" w:rightChars="10" w:firstLine="480" w:firstLineChars="200"/>
              <w:rPr>
                <w:sz w:val="24"/>
              </w:rPr>
            </w:pPr>
            <w:r>
              <w:rPr>
                <w:sz w:val="24"/>
              </w:rPr>
              <w:t>为了解该建设项目所在区域环境质量现状，本次环评采用资料复用法的方式，对本项目所在地块的环境质量现状进行分析。</w:t>
            </w:r>
          </w:p>
          <w:p w14:paraId="4A7AA207">
            <w:pPr>
              <w:wordWrap w:val="0"/>
              <w:spacing w:line="360" w:lineRule="auto"/>
              <w:ind w:left="21" w:leftChars="10" w:right="21" w:rightChars="10" w:firstLine="480" w:firstLineChars="200"/>
              <w:rPr>
                <w:b/>
                <w:sz w:val="24"/>
                <w:shd w:val="pct10" w:color="auto" w:fill="FFFFFF"/>
              </w:rPr>
            </w:pPr>
            <w:r>
              <w:rPr>
                <w:sz w:val="24"/>
              </w:rPr>
              <w:t>一、</w:t>
            </w:r>
            <w:r>
              <w:rPr>
                <w:b/>
                <w:sz w:val="24"/>
              </w:rPr>
              <w:t>环境空气质量现状</w:t>
            </w:r>
          </w:p>
          <w:p w14:paraId="0F671D9F">
            <w:pPr>
              <w:pStyle w:val="67"/>
              <w:wordWrap w:val="0"/>
              <w:overflowPunct w:val="0"/>
              <w:topLinePunct/>
              <w:adjustRightInd/>
              <w:snapToGrid/>
              <w:ind w:left="21" w:leftChars="10" w:right="21" w:rightChars="10" w:firstLine="480"/>
              <w:jc w:val="both"/>
              <w:rPr>
                <w:rFonts w:hint="default" w:ascii="Times New Roman" w:hAnsi="Times New Roman" w:eastAsia="宋体"/>
                <w:sz w:val="24"/>
                <w:lang w:val="en-US" w:eastAsia="zh-CN"/>
              </w:rPr>
            </w:pPr>
            <w:r>
              <w:rPr>
                <w:rFonts w:hint="eastAsia" w:ascii="Times New Roman" w:hAnsi="Times New Roman"/>
                <w:b/>
                <w:bCs/>
                <w:sz w:val="24"/>
                <w:lang w:eastAsia="zh-CN"/>
              </w:rPr>
              <w:t>（</w:t>
            </w:r>
            <w:r>
              <w:rPr>
                <w:rFonts w:hint="eastAsia" w:ascii="Times New Roman" w:hAnsi="Times New Roman"/>
                <w:b/>
                <w:bCs/>
                <w:sz w:val="24"/>
                <w:lang w:val="en-US" w:eastAsia="zh-CN"/>
              </w:rPr>
              <w:t>1</w:t>
            </w:r>
            <w:r>
              <w:rPr>
                <w:rFonts w:hint="eastAsia" w:ascii="Times New Roman" w:hAnsi="Times New Roman"/>
                <w:b/>
                <w:bCs/>
                <w:sz w:val="24"/>
                <w:lang w:eastAsia="zh-CN"/>
              </w:rPr>
              <w:t>）</w:t>
            </w:r>
            <w:r>
              <w:rPr>
                <w:rFonts w:hint="eastAsia" w:ascii="Times New Roman" w:hAnsi="Times New Roman"/>
                <w:b/>
                <w:bCs/>
                <w:sz w:val="24"/>
                <w:lang w:val="en-US" w:eastAsia="zh-CN"/>
              </w:rPr>
              <w:t>达标区判定</w:t>
            </w:r>
          </w:p>
          <w:p w14:paraId="7112FEC1">
            <w:pPr>
              <w:pStyle w:val="67"/>
              <w:wordWrap w:val="0"/>
              <w:overflowPunct w:val="0"/>
              <w:topLinePunct/>
              <w:adjustRightInd/>
              <w:snapToGrid/>
              <w:ind w:left="21" w:leftChars="10" w:right="21" w:rightChars="10" w:firstLine="480"/>
              <w:jc w:val="both"/>
              <w:rPr>
                <w:rFonts w:ascii="Times New Roman" w:hAnsi="Times New Roman"/>
                <w:sz w:val="24"/>
              </w:rPr>
            </w:pPr>
            <w:r>
              <w:rPr>
                <w:rFonts w:ascii="Times New Roman" w:hAnsi="Times New Roman"/>
                <w:sz w:val="24"/>
              </w:rPr>
              <w:t>根据《建设项目环境影响评价技术导则 总纲》（HJ2.1-2016）和《环境影响评价技术导则 大气环境》（HJ2.2-2018）的要求，基本污染物环境质量现状数据优先采用国家或地方生态环境主管部门公开发布的评价基准年环境质量公告或环境质量报告中的数据或结论……；其他污染物环境质量现状数据优先采用评价范围内国家或地方环境空气质量监测网中评价基准年连续1年的监测数据……在没有相关监测数据或监测数据不能满足导则规定的评价要求时，应按相应要求进行补充监测。</w:t>
            </w:r>
          </w:p>
          <w:p w14:paraId="08DFBE46">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480" w:firstLineChars="200"/>
              <w:jc w:val="both"/>
              <w:textAlignment w:val="auto"/>
              <w:rPr>
                <w:rFonts w:hint="default" w:eastAsia="宋体"/>
                <w:sz w:val="24"/>
                <w:lang w:val="en-US" w:eastAsia="zh-CN"/>
              </w:rPr>
            </w:pPr>
            <w:r>
              <w:rPr>
                <w:rFonts w:hint="eastAsia"/>
                <w:sz w:val="24"/>
              </w:rPr>
              <w:t>项目所在地属于《环境空气质量标准》（GB3095-2012）规定二类区，应采用其规定二级标准进行评价。根据</w:t>
            </w:r>
            <w:r>
              <w:rPr>
                <w:rFonts w:hint="eastAsia"/>
                <w:sz w:val="24"/>
                <w:lang w:val="en-US" w:eastAsia="zh-CN"/>
              </w:rPr>
              <w:t>达州市</w:t>
            </w:r>
            <w:r>
              <w:rPr>
                <w:rFonts w:hint="eastAsia"/>
                <w:sz w:val="24"/>
              </w:rPr>
              <w:t>生态环境局于202</w:t>
            </w:r>
            <w:r>
              <w:rPr>
                <w:rFonts w:hint="eastAsia"/>
                <w:sz w:val="24"/>
                <w:lang w:val="en-US" w:eastAsia="zh-CN"/>
              </w:rPr>
              <w:t>4</w:t>
            </w:r>
            <w:r>
              <w:rPr>
                <w:rFonts w:hint="eastAsia"/>
                <w:sz w:val="24"/>
              </w:rPr>
              <w:t>年</w:t>
            </w:r>
            <w:r>
              <w:rPr>
                <w:rFonts w:hint="eastAsia"/>
                <w:sz w:val="24"/>
                <w:lang w:val="en-US" w:eastAsia="zh-CN"/>
              </w:rPr>
              <w:t>1</w:t>
            </w:r>
            <w:r>
              <w:rPr>
                <w:rFonts w:hint="eastAsia"/>
                <w:sz w:val="24"/>
              </w:rPr>
              <w:t>月</w:t>
            </w:r>
            <w:r>
              <w:rPr>
                <w:rFonts w:hint="eastAsia"/>
                <w:sz w:val="24"/>
                <w:lang w:val="en-US" w:eastAsia="zh-CN"/>
              </w:rPr>
              <w:t>18日</w:t>
            </w:r>
            <w:r>
              <w:rPr>
                <w:rFonts w:hint="eastAsia"/>
                <w:sz w:val="24"/>
              </w:rPr>
              <w:t>发布的《达州市2023年环境空气质量状况》，2023年，</w:t>
            </w:r>
            <w:r>
              <w:rPr>
                <w:rFonts w:hint="eastAsia"/>
                <w:sz w:val="24"/>
                <w:lang w:val="en-US" w:eastAsia="zh-CN"/>
              </w:rPr>
              <w:t>达州市通川区环境空气质量现状如下表所示：</w:t>
            </w:r>
          </w:p>
          <w:p w14:paraId="5597F4B8">
            <w:pPr>
              <w:numPr>
                <w:ilvl w:val="0"/>
                <w:numId w:val="5"/>
              </w:numPr>
              <w:wordWrap w:val="0"/>
              <w:ind w:left="21" w:leftChars="10" w:right="21" w:rightChars="10" w:firstLine="0"/>
              <w:jc w:val="center"/>
              <w:rPr>
                <w:rFonts w:hint="eastAsia" w:ascii="Times New Roman" w:hAnsi="Times New Roman" w:eastAsia="宋体" w:cs="Times New Roman"/>
                <w:b/>
                <w:bCs/>
                <w:szCs w:val="22"/>
                <w:highlight w:val="none"/>
                <w:lang w:val="en-US" w:eastAsia="zh-CN"/>
              </w:rPr>
            </w:pPr>
            <w:r>
              <w:rPr>
                <w:rFonts w:hint="eastAsia" w:ascii="Times New Roman" w:hAnsi="Times New Roman" w:eastAsia="宋体" w:cs="Times New Roman"/>
                <w:b/>
                <w:bCs/>
                <w:szCs w:val="22"/>
                <w:highlight w:val="none"/>
                <w:lang w:val="en-US" w:eastAsia="zh-CN"/>
              </w:rPr>
              <w:t>2023年</w:t>
            </w:r>
            <w:r>
              <w:rPr>
                <w:rFonts w:hint="eastAsia" w:cs="Times New Roman"/>
                <w:b/>
                <w:bCs/>
                <w:szCs w:val="22"/>
                <w:highlight w:val="none"/>
                <w:lang w:val="en-US" w:eastAsia="zh-CN"/>
              </w:rPr>
              <w:t>通川区</w:t>
            </w:r>
            <w:r>
              <w:rPr>
                <w:rFonts w:hint="eastAsia" w:ascii="Times New Roman" w:hAnsi="Times New Roman" w:eastAsia="宋体" w:cs="Times New Roman"/>
                <w:b/>
                <w:bCs/>
                <w:szCs w:val="22"/>
                <w:highlight w:val="none"/>
                <w:lang w:val="en-US" w:eastAsia="zh-CN"/>
              </w:rPr>
              <w:t>空气质量现状评价表</w:t>
            </w:r>
          </w:p>
          <w:tbl>
            <w:tblPr>
              <w:tblStyle w:val="26"/>
              <w:tblW w:w="8057"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898"/>
              <w:gridCol w:w="2040"/>
              <w:gridCol w:w="1373"/>
              <w:gridCol w:w="1480"/>
              <w:gridCol w:w="1082"/>
              <w:gridCol w:w="1184"/>
            </w:tblGrid>
            <w:tr w14:paraId="6C0D2AE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557" w:type="pct"/>
                  <w:tcBorders>
                    <w:tl2br w:val="nil"/>
                    <w:tr2bl w:val="nil"/>
                  </w:tcBorders>
                  <w:noWrap w:val="0"/>
                  <w:vAlign w:val="center"/>
                </w:tcPr>
                <w:p w14:paraId="6665C5E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污染物</w:t>
                  </w:r>
                </w:p>
              </w:tc>
              <w:tc>
                <w:tcPr>
                  <w:tcW w:w="1265" w:type="pct"/>
                  <w:tcBorders>
                    <w:tl2br w:val="nil"/>
                    <w:tr2bl w:val="nil"/>
                  </w:tcBorders>
                  <w:noWrap w:val="0"/>
                  <w:vAlign w:val="center"/>
                </w:tcPr>
                <w:p w14:paraId="7D06535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评价指标</w:t>
                  </w:r>
                </w:p>
              </w:tc>
              <w:tc>
                <w:tcPr>
                  <w:tcW w:w="852" w:type="pct"/>
                  <w:tcBorders>
                    <w:tl2br w:val="nil"/>
                    <w:tr2bl w:val="nil"/>
                  </w:tcBorders>
                  <w:noWrap w:val="0"/>
                  <w:vAlign w:val="center"/>
                </w:tcPr>
                <w:p w14:paraId="1C475FD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年均浓度</w:t>
                  </w:r>
                  <w:r>
                    <w:rPr>
                      <w:rFonts w:hint="eastAsia" w:ascii="Times New Roman" w:hAnsi="Times New Roman" w:eastAsia="宋体" w:cs="Times New Roman"/>
                      <w:b/>
                      <w:bCs/>
                      <w:color w:val="auto"/>
                      <w:kern w:val="0"/>
                      <w:sz w:val="21"/>
                      <w:szCs w:val="21"/>
                      <w:lang w:eastAsia="zh-CN" w:bidi="ar"/>
                    </w:rPr>
                    <w:t>（</w:t>
                  </w:r>
                  <w:r>
                    <w:rPr>
                      <w:rFonts w:hint="eastAsia" w:ascii="Times New Roman" w:hAnsi="Times New Roman" w:eastAsia="宋体" w:cs="Times New Roman"/>
                      <w:b/>
                      <w:bCs/>
                      <w:color w:val="auto"/>
                      <w:kern w:val="0"/>
                      <w:sz w:val="21"/>
                      <w:szCs w:val="21"/>
                      <w:lang w:val="en-US" w:eastAsia="zh-CN" w:bidi="ar"/>
                    </w:rPr>
                    <w:t>μg</w:t>
                  </w:r>
                  <w:r>
                    <w:rPr>
                      <w:rFonts w:hint="default" w:ascii="Times New Roman" w:hAnsi="Times New Roman" w:eastAsia="宋体" w:cs="Times New Roman"/>
                      <w:b/>
                      <w:bCs/>
                      <w:color w:val="auto"/>
                      <w:kern w:val="0"/>
                      <w:sz w:val="21"/>
                      <w:szCs w:val="21"/>
                      <w:lang w:bidi="ar"/>
                    </w:rPr>
                    <w:t>/m</w:t>
                  </w:r>
                  <w:r>
                    <w:rPr>
                      <w:rFonts w:hint="default" w:ascii="Times New Roman" w:hAnsi="Times New Roman" w:eastAsia="宋体" w:cs="Times New Roman"/>
                      <w:b/>
                      <w:bCs/>
                      <w:color w:val="auto"/>
                      <w:kern w:val="0"/>
                      <w:sz w:val="21"/>
                      <w:szCs w:val="21"/>
                      <w:vertAlign w:val="superscript"/>
                      <w:lang w:bidi="ar"/>
                    </w:rPr>
                    <w:t>3</w:t>
                  </w:r>
                  <w:r>
                    <w:rPr>
                      <w:rFonts w:hint="eastAsia" w:ascii="Times New Roman" w:hAnsi="Times New Roman" w:eastAsia="宋体" w:cs="Times New Roman"/>
                      <w:b/>
                      <w:bCs/>
                      <w:color w:val="auto"/>
                      <w:kern w:val="0"/>
                      <w:sz w:val="21"/>
                      <w:szCs w:val="21"/>
                      <w:lang w:eastAsia="zh-CN" w:bidi="ar"/>
                    </w:rPr>
                    <w:t>）</w:t>
                  </w:r>
                </w:p>
              </w:tc>
              <w:tc>
                <w:tcPr>
                  <w:tcW w:w="918" w:type="pct"/>
                  <w:tcBorders>
                    <w:tl2br w:val="nil"/>
                    <w:tr2bl w:val="nil"/>
                  </w:tcBorders>
                  <w:noWrap w:val="0"/>
                  <w:vAlign w:val="center"/>
                </w:tcPr>
                <w:p w14:paraId="06A2BA1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标准值</w:t>
                  </w:r>
                </w:p>
                <w:p w14:paraId="145ED5E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kern w:val="0"/>
                      <w:sz w:val="21"/>
                      <w:szCs w:val="21"/>
                      <w:lang w:eastAsia="zh-CN" w:bidi="ar"/>
                    </w:rPr>
                    <w:t>（</w:t>
                  </w:r>
                  <w:r>
                    <w:rPr>
                      <w:rFonts w:hint="eastAsia" w:ascii="Times New Roman" w:hAnsi="Times New Roman" w:eastAsia="宋体" w:cs="Times New Roman"/>
                      <w:b/>
                      <w:bCs/>
                      <w:color w:val="auto"/>
                      <w:kern w:val="0"/>
                      <w:sz w:val="21"/>
                      <w:szCs w:val="21"/>
                      <w:lang w:val="en-US" w:eastAsia="zh-CN" w:bidi="ar"/>
                    </w:rPr>
                    <w:t>μg</w:t>
                  </w:r>
                  <w:r>
                    <w:rPr>
                      <w:rFonts w:hint="default" w:ascii="Times New Roman" w:hAnsi="Times New Roman" w:eastAsia="宋体" w:cs="Times New Roman"/>
                      <w:b/>
                      <w:bCs/>
                      <w:color w:val="auto"/>
                      <w:kern w:val="0"/>
                      <w:sz w:val="21"/>
                      <w:szCs w:val="21"/>
                      <w:lang w:bidi="ar"/>
                    </w:rPr>
                    <w:t>/m</w:t>
                  </w:r>
                  <w:r>
                    <w:rPr>
                      <w:rFonts w:hint="default" w:ascii="Times New Roman" w:hAnsi="Times New Roman" w:eastAsia="宋体" w:cs="Times New Roman"/>
                      <w:b/>
                      <w:bCs/>
                      <w:color w:val="auto"/>
                      <w:kern w:val="0"/>
                      <w:sz w:val="21"/>
                      <w:szCs w:val="21"/>
                      <w:vertAlign w:val="superscript"/>
                      <w:lang w:bidi="ar"/>
                    </w:rPr>
                    <w:t>3</w:t>
                  </w:r>
                  <w:r>
                    <w:rPr>
                      <w:rFonts w:hint="eastAsia" w:ascii="Times New Roman" w:hAnsi="Times New Roman" w:eastAsia="宋体" w:cs="Times New Roman"/>
                      <w:b/>
                      <w:bCs/>
                      <w:color w:val="auto"/>
                      <w:kern w:val="0"/>
                      <w:sz w:val="21"/>
                      <w:szCs w:val="21"/>
                      <w:lang w:eastAsia="zh-CN" w:bidi="ar"/>
                    </w:rPr>
                    <w:t>）</w:t>
                  </w:r>
                </w:p>
              </w:tc>
              <w:tc>
                <w:tcPr>
                  <w:tcW w:w="671" w:type="pct"/>
                  <w:tcBorders>
                    <w:tl2br w:val="nil"/>
                    <w:tr2bl w:val="nil"/>
                  </w:tcBorders>
                  <w:noWrap w:val="0"/>
                  <w:vAlign w:val="center"/>
                </w:tcPr>
                <w:p w14:paraId="1E7DD5F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占标率</w:t>
                  </w:r>
                </w:p>
              </w:tc>
              <w:tc>
                <w:tcPr>
                  <w:tcW w:w="734" w:type="pct"/>
                  <w:tcBorders>
                    <w:tl2br w:val="nil"/>
                    <w:tr2bl w:val="nil"/>
                  </w:tcBorders>
                  <w:noWrap w:val="0"/>
                  <w:vAlign w:val="center"/>
                </w:tcPr>
                <w:p w14:paraId="15FA336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达标情况</w:t>
                  </w:r>
                </w:p>
              </w:tc>
            </w:tr>
            <w:tr w14:paraId="78690F0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557" w:type="pct"/>
                  <w:tcBorders>
                    <w:tl2br w:val="nil"/>
                    <w:tr2bl w:val="nil"/>
                  </w:tcBorders>
                  <w:noWrap w:val="0"/>
                  <w:vAlign w:val="center"/>
                </w:tcPr>
                <w:p w14:paraId="306BB21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SO</w:t>
                  </w:r>
                  <w:r>
                    <w:rPr>
                      <w:rFonts w:hint="default" w:ascii="Times New Roman" w:hAnsi="Times New Roman" w:eastAsia="宋体" w:cs="Times New Roman"/>
                      <w:color w:val="auto"/>
                      <w:kern w:val="0"/>
                      <w:sz w:val="21"/>
                      <w:szCs w:val="21"/>
                      <w:vertAlign w:val="subscript"/>
                      <w:lang w:bidi="ar"/>
                    </w:rPr>
                    <w:t>2</w:t>
                  </w:r>
                </w:p>
              </w:tc>
              <w:tc>
                <w:tcPr>
                  <w:tcW w:w="1265" w:type="pct"/>
                  <w:tcBorders>
                    <w:tl2br w:val="nil"/>
                    <w:tr2bl w:val="nil"/>
                  </w:tcBorders>
                  <w:noWrap w:val="0"/>
                  <w:vAlign w:val="center"/>
                </w:tcPr>
                <w:p w14:paraId="50BD498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年平均质量浓度</w:t>
                  </w:r>
                </w:p>
              </w:tc>
              <w:tc>
                <w:tcPr>
                  <w:tcW w:w="852" w:type="pct"/>
                  <w:tcBorders>
                    <w:tl2br w:val="nil"/>
                    <w:tr2bl w:val="nil"/>
                  </w:tcBorders>
                  <w:noWrap w:val="0"/>
                  <w:vAlign w:val="center"/>
                </w:tcPr>
                <w:p w14:paraId="599199E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w:t>
                  </w:r>
                </w:p>
              </w:tc>
              <w:tc>
                <w:tcPr>
                  <w:tcW w:w="918" w:type="pct"/>
                  <w:tcBorders>
                    <w:tl2br w:val="nil"/>
                    <w:tr2bl w:val="nil"/>
                  </w:tcBorders>
                  <w:noWrap w:val="0"/>
                  <w:vAlign w:val="center"/>
                </w:tcPr>
                <w:p w14:paraId="23B7018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60</w:t>
                  </w:r>
                </w:p>
              </w:tc>
              <w:tc>
                <w:tcPr>
                  <w:tcW w:w="671" w:type="pct"/>
                  <w:tcBorders>
                    <w:tl2br w:val="nil"/>
                    <w:tr2bl w:val="nil"/>
                  </w:tcBorders>
                  <w:noWrap w:val="0"/>
                  <w:vAlign w:val="center"/>
                </w:tcPr>
                <w:p w14:paraId="2788E03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rPr>
                  </w:pPr>
                  <w:r>
                    <w:rPr>
                      <w:rFonts w:hint="eastAsia" w:cs="Times New Roman"/>
                      <w:color w:val="auto"/>
                      <w:kern w:val="0"/>
                      <w:sz w:val="21"/>
                      <w:szCs w:val="21"/>
                      <w:lang w:val="en-US" w:eastAsia="zh-CN" w:bidi="ar"/>
                    </w:rPr>
                    <w:t>15</w:t>
                  </w:r>
                  <w:r>
                    <w:rPr>
                      <w:rFonts w:hint="default" w:ascii="Times New Roman" w:hAnsi="Times New Roman" w:eastAsia="宋体" w:cs="Times New Roman"/>
                      <w:color w:val="auto"/>
                      <w:kern w:val="0"/>
                      <w:sz w:val="21"/>
                      <w:szCs w:val="21"/>
                      <w:lang w:bidi="ar"/>
                    </w:rPr>
                    <w:t>%</w:t>
                  </w:r>
                </w:p>
              </w:tc>
              <w:tc>
                <w:tcPr>
                  <w:tcW w:w="734" w:type="pct"/>
                  <w:tcBorders>
                    <w:tl2br w:val="nil"/>
                    <w:tr2bl w:val="nil"/>
                  </w:tcBorders>
                  <w:noWrap w:val="0"/>
                  <w:vAlign w:val="center"/>
                </w:tcPr>
                <w:p w14:paraId="761EE58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达标</w:t>
                  </w:r>
                </w:p>
              </w:tc>
            </w:tr>
            <w:tr w14:paraId="582FC28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557" w:type="pct"/>
                  <w:tcBorders>
                    <w:tl2br w:val="nil"/>
                    <w:tr2bl w:val="nil"/>
                  </w:tcBorders>
                  <w:noWrap w:val="0"/>
                  <w:vAlign w:val="center"/>
                </w:tcPr>
                <w:p w14:paraId="02FBD0F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NO</w:t>
                  </w:r>
                  <w:r>
                    <w:rPr>
                      <w:rFonts w:hint="default" w:ascii="Times New Roman" w:hAnsi="Times New Roman" w:eastAsia="宋体" w:cs="Times New Roman"/>
                      <w:color w:val="auto"/>
                      <w:kern w:val="0"/>
                      <w:sz w:val="21"/>
                      <w:szCs w:val="21"/>
                      <w:vertAlign w:val="subscript"/>
                      <w:lang w:bidi="ar"/>
                    </w:rPr>
                    <w:t>2</w:t>
                  </w:r>
                </w:p>
              </w:tc>
              <w:tc>
                <w:tcPr>
                  <w:tcW w:w="1265" w:type="pct"/>
                  <w:tcBorders>
                    <w:tl2br w:val="nil"/>
                    <w:tr2bl w:val="nil"/>
                  </w:tcBorders>
                  <w:noWrap w:val="0"/>
                  <w:vAlign w:val="center"/>
                </w:tcPr>
                <w:p w14:paraId="7413642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年平均质量浓度</w:t>
                  </w:r>
                </w:p>
              </w:tc>
              <w:tc>
                <w:tcPr>
                  <w:tcW w:w="852" w:type="pct"/>
                  <w:tcBorders>
                    <w:tl2br w:val="nil"/>
                    <w:tr2bl w:val="nil"/>
                  </w:tcBorders>
                  <w:noWrap w:val="0"/>
                  <w:vAlign w:val="center"/>
                </w:tcPr>
                <w:p w14:paraId="0FDB245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33</w:t>
                  </w:r>
                </w:p>
              </w:tc>
              <w:tc>
                <w:tcPr>
                  <w:tcW w:w="918" w:type="pct"/>
                  <w:tcBorders>
                    <w:tl2br w:val="nil"/>
                    <w:tr2bl w:val="nil"/>
                  </w:tcBorders>
                  <w:noWrap w:val="0"/>
                  <w:vAlign w:val="center"/>
                </w:tcPr>
                <w:p w14:paraId="270ABDF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40</w:t>
                  </w:r>
                </w:p>
              </w:tc>
              <w:tc>
                <w:tcPr>
                  <w:tcW w:w="671" w:type="pct"/>
                  <w:tcBorders>
                    <w:tl2br w:val="nil"/>
                    <w:tr2bl w:val="nil"/>
                  </w:tcBorders>
                  <w:noWrap w:val="0"/>
                  <w:vAlign w:val="center"/>
                </w:tcPr>
                <w:p w14:paraId="22CCFBF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rPr>
                  </w:pPr>
                  <w:r>
                    <w:rPr>
                      <w:rFonts w:hint="eastAsia" w:cs="Times New Roman"/>
                      <w:color w:val="auto"/>
                      <w:kern w:val="0"/>
                      <w:sz w:val="21"/>
                      <w:szCs w:val="21"/>
                      <w:lang w:val="en-US" w:eastAsia="zh-CN" w:bidi="ar"/>
                    </w:rPr>
                    <w:t>82.5</w:t>
                  </w:r>
                  <w:r>
                    <w:rPr>
                      <w:rFonts w:hint="default" w:ascii="Times New Roman" w:hAnsi="Times New Roman" w:eastAsia="宋体" w:cs="Times New Roman"/>
                      <w:color w:val="auto"/>
                      <w:kern w:val="0"/>
                      <w:sz w:val="21"/>
                      <w:szCs w:val="21"/>
                      <w:lang w:bidi="ar"/>
                    </w:rPr>
                    <w:t>%</w:t>
                  </w:r>
                </w:p>
              </w:tc>
              <w:tc>
                <w:tcPr>
                  <w:tcW w:w="734" w:type="pct"/>
                  <w:tcBorders>
                    <w:tl2br w:val="nil"/>
                    <w:tr2bl w:val="nil"/>
                  </w:tcBorders>
                  <w:noWrap w:val="0"/>
                  <w:vAlign w:val="center"/>
                </w:tcPr>
                <w:p w14:paraId="19F4EB0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达标</w:t>
                  </w:r>
                </w:p>
              </w:tc>
            </w:tr>
            <w:tr w14:paraId="0AB0BDF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65" w:hRule="atLeast"/>
                <w:jc w:val="center"/>
              </w:trPr>
              <w:tc>
                <w:tcPr>
                  <w:tcW w:w="557" w:type="pct"/>
                  <w:tcBorders>
                    <w:tl2br w:val="nil"/>
                    <w:tr2bl w:val="nil"/>
                  </w:tcBorders>
                  <w:noWrap w:val="0"/>
                  <w:vAlign w:val="center"/>
                </w:tcPr>
                <w:p w14:paraId="50FD5EB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PM</w:t>
                  </w:r>
                  <w:r>
                    <w:rPr>
                      <w:rFonts w:hint="default" w:ascii="Times New Roman" w:hAnsi="Times New Roman" w:eastAsia="宋体" w:cs="Times New Roman"/>
                      <w:color w:val="auto"/>
                      <w:kern w:val="0"/>
                      <w:sz w:val="21"/>
                      <w:szCs w:val="21"/>
                      <w:vertAlign w:val="subscript"/>
                      <w:lang w:bidi="ar"/>
                    </w:rPr>
                    <w:t>10</w:t>
                  </w:r>
                </w:p>
              </w:tc>
              <w:tc>
                <w:tcPr>
                  <w:tcW w:w="1265" w:type="pct"/>
                  <w:tcBorders>
                    <w:tl2br w:val="nil"/>
                    <w:tr2bl w:val="nil"/>
                  </w:tcBorders>
                  <w:noWrap w:val="0"/>
                  <w:vAlign w:val="center"/>
                </w:tcPr>
                <w:p w14:paraId="0DD7348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年平均质量浓度</w:t>
                  </w:r>
                </w:p>
              </w:tc>
              <w:tc>
                <w:tcPr>
                  <w:tcW w:w="852" w:type="pct"/>
                  <w:tcBorders>
                    <w:tl2br w:val="nil"/>
                    <w:tr2bl w:val="nil"/>
                  </w:tcBorders>
                  <w:noWrap w:val="0"/>
                  <w:vAlign w:val="center"/>
                </w:tcPr>
                <w:p w14:paraId="19EC28B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56</w:t>
                  </w:r>
                </w:p>
              </w:tc>
              <w:tc>
                <w:tcPr>
                  <w:tcW w:w="918" w:type="pct"/>
                  <w:tcBorders>
                    <w:tl2br w:val="nil"/>
                    <w:tr2bl w:val="nil"/>
                  </w:tcBorders>
                  <w:noWrap w:val="0"/>
                  <w:vAlign w:val="center"/>
                </w:tcPr>
                <w:p w14:paraId="506DABF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70</w:t>
                  </w:r>
                </w:p>
              </w:tc>
              <w:tc>
                <w:tcPr>
                  <w:tcW w:w="671" w:type="pct"/>
                  <w:tcBorders>
                    <w:tl2br w:val="nil"/>
                    <w:tr2bl w:val="nil"/>
                  </w:tcBorders>
                  <w:noWrap w:val="0"/>
                  <w:vAlign w:val="center"/>
                </w:tcPr>
                <w:p w14:paraId="7E41E48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rPr>
                  </w:pPr>
                  <w:r>
                    <w:rPr>
                      <w:rFonts w:hint="eastAsia" w:cs="Times New Roman"/>
                      <w:color w:val="auto"/>
                      <w:kern w:val="0"/>
                      <w:sz w:val="21"/>
                      <w:szCs w:val="21"/>
                      <w:lang w:val="en-US" w:eastAsia="zh-CN" w:bidi="ar"/>
                    </w:rPr>
                    <w:t>80</w:t>
                  </w:r>
                  <w:r>
                    <w:rPr>
                      <w:rFonts w:hint="default" w:ascii="Times New Roman" w:hAnsi="Times New Roman" w:eastAsia="宋体" w:cs="Times New Roman"/>
                      <w:color w:val="auto"/>
                      <w:kern w:val="0"/>
                      <w:sz w:val="21"/>
                      <w:szCs w:val="21"/>
                      <w:lang w:bidi="ar"/>
                    </w:rPr>
                    <w:t>%</w:t>
                  </w:r>
                </w:p>
              </w:tc>
              <w:tc>
                <w:tcPr>
                  <w:tcW w:w="734" w:type="pct"/>
                  <w:tcBorders>
                    <w:tl2br w:val="nil"/>
                    <w:tr2bl w:val="nil"/>
                  </w:tcBorders>
                  <w:noWrap w:val="0"/>
                  <w:vAlign w:val="center"/>
                </w:tcPr>
                <w:p w14:paraId="77F75D84">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达标</w:t>
                  </w:r>
                </w:p>
              </w:tc>
            </w:tr>
            <w:tr w14:paraId="57D9166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557" w:type="pct"/>
                  <w:tcBorders>
                    <w:tl2br w:val="nil"/>
                    <w:tr2bl w:val="nil"/>
                  </w:tcBorders>
                  <w:noWrap w:val="0"/>
                  <w:vAlign w:val="center"/>
                </w:tcPr>
                <w:p w14:paraId="1CE319B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PM</w:t>
                  </w:r>
                  <w:r>
                    <w:rPr>
                      <w:rFonts w:hint="default" w:ascii="Times New Roman" w:hAnsi="Times New Roman" w:eastAsia="宋体" w:cs="Times New Roman"/>
                      <w:color w:val="auto"/>
                      <w:kern w:val="0"/>
                      <w:sz w:val="21"/>
                      <w:szCs w:val="21"/>
                      <w:vertAlign w:val="subscript"/>
                      <w:lang w:bidi="ar"/>
                    </w:rPr>
                    <w:t>2.5</w:t>
                  </w:r>
                </w:p>
              </w:tc>
              <w:tc>
                <w:tcPr>
                  <w:tcW w:w="1265" w:type="pct"/>
                  <w:tcBorders>
                    <w:tl2br w:val="nil"/>
                    <w:tr2bl w:val="nil"/>
                  </w:tcBorders>
                  <w:noWrap w:val="0"/>
                  <w:vAlign w:val="center"/>
                </w:tcPr>
                <w:p w14:paraId="3730C31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年平均质量浓度</w:t>
                  </w:r>
                </w:p>
              </w:tc>
              <w:tc>
                <w:tcPr>
                  <w:tcW w:w="852" w:type="pct"/>
                  <w:tcBorders>
                    <w:tl2br w:val="nil"/>
                    <w:tr2bl w:val="nil"/>
                  </w:tcBorders>
                  <w:noWrap w:val="0"/>
                  <w:vAlign w:val="center"/>
                </w:tcPr>
                <w:p w14:paraId="29B2CD0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31</w:t>
                  </w:r>
                </w:p>
              </w:tc>
              <w:tc>
                <w:tcPr>
                  <w:tcW w:w="918" w:type="pct"/>
                  <w:tcBorders>
                    <w:tl2br w:val="nil"/>
                    <w:tr2bl w:val="nil"/>
                  </w:tcBorders>
                  <w:noWrap w:val="0"/>
                  <w:vAlign w:val="center"/>
                </w:tcPr>
                <w:p w14:paraId="25C1F66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35</w:t>
                  </w:r>
                </w:p>
              </w:tc>
              <w:tc>
                <w:tcPr>
                  <w:tcW w:w="671" w:type="pct"/>
                  <w:tcBorders>
                    <w:tl2br w:val="nil"/>
                    <w:tr2bl w:val="nil"/>
                  </w:tcBorders>
                  <w:noWrap w:val="0"/>
                  <w:vAlign w:val="center"/>
                </w:tcPr>
                <w:p w14:paraId="15E8439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rPr>
                  </w:pPr>
                  <w:r>
                    <w:rPr>
                      <w:rFonts w:hint="eastAsia" w:cs="Times New Roman"/>
                      <w:color w:val="auto"/>
                      <w:kern w:val="0"/>
                      <w:sz w:val="21"/>
                      <w:szCs w:val="21"/>
                      <w:lang w:val="en-US" w:eastAsia="zh-CN" w:bidi="ar"/>
                    </w:rPr>
                    <w:t>88.6</w:t>
                  </w:r>
                  <w:r>
                    <w:rPr>
                      <w:rFonts w:hint="default" w:ascii="Times New Roman" w:hAnsi="Times New Roman" w:eastAsia="宋体" w:cs="Times New Roman"/>
                      <w:color w:val="auto"/>
                      <w:kern w:val="0"/>
                      <w:sz w:val="21"/>
                      <w:szCs w:val="21"/>
                      <w:lang w:bidi="ar"/>
                    </w:rPr>
                    <w:t>%</w:t>
                  </w:r>
                </w:p>
              </w:tc>
              <w:tc>
                <w:tcPr>
                  <w:tcW w:w="734" w:type="pct"/>
                  <w:tcBorders>
                    <w:tl2br w:val="nil"/>
                    <w:tr2bl w:val="nil"/>
                  </w:tcBorders>
                  <w:noWrap w:val="0"/>
                  <w:vAlign w:val="center"/>
                </w:tcPr>
                <w:p w14:paraId="3A8AF4F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达标</w:t>
                  </w:r>
                </w:p>
              </w:tc>
            </w:tr>
            <w:tr w14:paraId="4FAF43E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557" w:type="pct"/>
                  <w:tcBorders>
                    <w:tl2br w:val="nil"/>
                    <w:tr2bl w:val="nil"/>
                  </w:tcBorders>
                  <w:noWrap w:val="0"/>
                  <w:vAlign w:val="center"/>
                </w:tcPr>
                <w:p w14:paraId="232E88F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CO</w:t>
                  </w:r>
                </w:p>
              </w:tc>
              <w:tc>
                <w:tcPr>
                  <w:tcW w:w="1265" w:type="pct"/>
                  <w:tcBorders>
                    <w:tl2br w:val="nil"/>
                    <w:tr2bl w:val="nil"/>
                  </w:tcBorders>
                  <w:noWrap w:val="0"/>
                  <w:vAlign w:val="center"/>
                </w:tcPr>
                <w:p w14:paraId="7F1ADC1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日均第95百分位数</w:t>
                  </w:r>
                </w:p>
              </w:tc>
              <w:tc>
                <w:tcPr>
                  <w:tcW w:w="852" w:type="pct"/>
                  <w:tcBorders>
                    <w:tl2br w:val="nil"/>
                    <w:tr2bl w:val="nil"/>
                  </w:tcBorders>
                  <w:noWrap w:val="0"/>
                  <w:vAlign w:val="center"/>
                </w:tcPr>
                <w:p w14:paraId="773A98A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1.4</w:t>
                  </w:r>
                  <w:r>
                    <w:rPr>
                      <w:rFonts w:hint="default" w:ascii="Times New Roman" w:hAnsi="Times New Roman" w:eastAsia="宋体" w:cs="Times New Roman"/>
                      <w:color w:val="auto"/>
                      <w:kern w:val="0"/>
                      <w:sz w:val="21"/>
                      <w:szCs w:val="21"/>
                      <w:lang w:bidi="ar"/>
                    </w:rPr>
                    <w:t>mg/m</w:t>
                  </w:r>
                  <w:r>
                    <w:rPr>
                      <w:rFonts w:hint="eastAsia" w:ascii="Times New Roman" w:hAnsi="Times New Roman" w:eastAsia="宋体" w:cs="Times New Roman"/>
                      <w:color w:val="auto"/>
                      <w:kern w:val="0"/>
                      <w:sz w:val="21"/>
                      <w:szCs w:val="21"/>
                      <w:vertAlign w:val="superscript"/>
                      <w:lang w:val="en-US" w:eastAsia="zh-CN" w:bidi="ar"/>
                    </w:rPr>
                    <w:t>3</w:t>
                  </w:r>
                </w:p>
              </w:tc>
              <w:tc>
                <w:tcPr>
                  <w:tcW w:w="918" w:type="pct"/>
                  <w:tcBorders>
                    <w:tl2br w:val="nil"/>
                    <w:tr2bl w:val="nil"/>
                  </w:tcBorders>
                  <w:noWrap w:val="0"/>
                  <w:vAlign w:val="center"/>
                </w:tcPr>
                <w:p w14:paraId="6483BAC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bidi="ar"/>
                    </w:rPr>
                    <w:t>4mg/m</w:t>
                  </w:r>
                  <w:r>
                    <w:rPr>
                      <w:rFonts w:hint="eastAsia" w:ascii="Times New Roman" w:hAnsi="Times New Roman" w:eastAsia="宋体" w:cs="Times New Roman"/>
                      <w:color w:val="auto"/>
                      <w:kern w:val="0"/>
                      <w:sz w:val="21"/>
                      <w:szCs w:val="21"/>
                      <w:vertAlign w:val="superscript"/>
                      <w:lang w:val="en-US" w:eastAsia="zh-CN" w:bidi="ar"/>
                    </w:rPr>
                    <w:t>3</w:t>
                  </w:r>
                </w:p>
              </w:tc>
              <w:tc>
                <w:tcPr>
                  <w:tcW w:w="671" w:type="pct"/>
                  <w:tcBorders>
                    <w:tl2br w:val="nil"/>
                    <w:tr2bl w:val="nil"/>
                  </w:tcBorders>
                  <w:noWrap w:val="0"/>
                  <w:vAlign w:val="center"/>
                </w:tcPr>
                <w:p w14:paraId="1A4A76B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rPr>
                  </w:pPr>
                  <w:r>
                    <w:rPr>
                      <w:rFonts w:hint="eastAsia" w:cs="Times New Roman"/>
                      <w:color w:val="auto"/>
                      <w:kern w:val="0"/>
                      <w:sz w:val="21"/>
                      <w:szCs w:val="21"/>
                      <w:lang w:val="en-US" w:eastAsia="zh-CN" w:bidi="ar"/>
                    </w:rPr>
                    <w:t>35</w:t>
                  </w:r>
                  <w:r>
                    <w:rPr>
                      <w:rFonts w:hint="default" w:ascii="Times New Roman" w:hAnsi="Times New Roman" w:eastAsia="宋体" w:cs="Times New Roman"/>
                      <w:color w:val="auto"/>
                      <w:kern w:val="0"/>
                      <w:sz w:val="21"/>
                      <w:szCs w:val="21"/>
                      <w:lang w:bidi="ar"/>
                    </w:rPr>
                    <w:t>%</w:t>
                  </w:r>
                </w:p>
              </w:tc>
              <w:tc>
                <w:tcPr>
                  <w:tcW w:w="734" w:type="pct"/>
                  <w:tcBorders>
                    <w:tl2br w:val="nil"/>
                    <w:tr2bl w:val="nil"/>
                  </w:tcBorders>
                  <w:noWrap w:val="0"/>
                  <w:vAlign w:val="center"/>
                </w:tcPr>
                <w:p w14:paraId="132DDC2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达标</w:t>
                  </w:r>
                </w:p>
              </w:tc>
            </w:tr>
            <w:tr w14:paraId="0BC6E9C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557" w:type="pct"/>
                  <w:tcBorders>
                    <w:tl2br w:val="nil"/>
                    <w:tr2bl w:val="nil"/>
                  </w:tcBorders>
                  <w:noWrap w:val="0"/>
                  <w:vAlign w:val="center"/>
                </w:tcPr>
                <w:p w14:paraId="6408FB6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O</w:t>
                  </w:r>
                  <w:r>
                    <w:rPr>
                      <w:rFonts w:hint="default" w:ascii="Times New Roman" w:hAnsi="Times New Roman" w:eastAsia="宋体" w:cs="Times New Roman"/>
                      <w:color w:val="auto"/>
                      <w:kern w:val="0"/>
                      <w:sz w:val="21"/>
                      <w:szCs w:val="21"/>
                      <w:vertAlign w:val="subscript"/>
                      <w:lang w:bidi="ar"/>
                    </w:rPr>
                    <w:t>3</w:t>
                  </w:r>
                </w:p>
              </w:tc>
              <w:tc>
                <w:tcPr>
                  <w:tcW w:w="1265" w:type="pct"/>
                  <w:tcBorders>
                    <w:tl2br w:val="nil"/>
                    <w:tr2bl w:val="nil"/>
                  </w:tcBorders>
                  <w:noWrap w:val="0"/>
                  <w:vAlign w:val="center"/>
                </w:tcPr>
                <w:p w14:paraId="529CB77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日最大8小时均值</w:t>
                  </w:r>
                </w:p>
              </w:tc>
              <w:tc>
                <w:tcPr>
                  <w:tcW w:w="852" w:type="pct"/>
                  <w:tcBorders>
                    <w:tl2br w:val="nil"/>
                    <w:tr2bl w:val="nil"/>
                  </w:tcBorders>
                  <w:noWrap w:val="0"/>
                  <w:vAlign w:val="center"/>
                </w:tcPr>
                <w:p w14:paraId="3BE922A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124</w:t>
                  </w:r>
                </w:p>
              </w:tc>
              <w:tc>
                <w:tcPr>
                  <w:tcW w:w="918" w:type="pct"/>
                  <w:tcBorders>
                    <w:tl2br w:val="nil"/>
                    <w:tr2bl w:val="nil"/>
                  </w:tcBorders>
                  <w:noWrap w:val="0"/>
                  <w:vAlign w:val="center"/>
                </w:tcPr>
                <w:p w14:paraId="4BF9C04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160</w:t>
                  </w:r>
                </w:p>
              </w:tc>
              <w:tc>
                <w:tcPr>
                  <w:tcW w:w="671" w:type="pct"/>
                  <w:tcBorders>
                    <w:tl2br w:val="nil"/>
                    <w:tr2bl w:val="nil"/>
                  </w:tcBorders>
                  <w:noWrap w:val="0"/>
                  <w:vAlign w:val="center"/>
                </w:tcPr>
                <w:p w14:paraId="6C06E69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rPr>
                  </w:pPr>
                  <w:r>
                    <w:rPr>
                      <w:rFonts w:hint="eastAsia" w:cs="Times New Roman"/>
                      <w:color w:val="auto"/>
                      <w:kern w:val="0"/>
                      <w:sz w:val="21"/>
                      <w:szCs w:val="21"/>
                      <w:lang w:val="en-US" w:eastAsia="zh-CN" w:bidi="ar"/>
                    </w:rPr>
                    <w:t>77.5</w:t>
                  </w:r>
                  <w:r>
                    <w:rPr>
                      <w:rFonts w:hint="default" w:ascii="Times New Roman" w:hAnsi="Times New Roman" w:eastAsia="宋体" w:cs="Times New Roman"/>
                      <w:color w:val="auto"/>
                      <w:kern w:val="0"/>
                      <w:sz w:val="21"/>
                      <w:szCs w:val="21"/>
                      <w:lang w:bidi="ar"/>
                    </w:rPr>
                    <w:t>%</w:t>
                  </w:r>
                </w:p>
              </w:tc>
              <w:tc>
                <w:tcPr>
                  <w:tcW w:w="734" w:type="pct"/>
                  <w:tcBorders>
                    <w:tl2br w:val="nil"/>
                    <w:tr2bl w:val="nil"/>
                  </w:tcBorders>
                  <w:noWrap w:val="0"/>
                  <w:vAlign w:val="center"/>
                </w:tcPr>
                <w:p w14:paraId="05A311C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达标</w:t>
                  </w:r>
                </w:p>
              </w:tc>
            </w:tr>
          </w:tbl>
          <w:p w14:paraId="632E9D2F">
            <w:pPr>
              <w:wordWrap w:val="0"/>
              <w:spacing w:line="240" w:lineRule="auto"/>
              <w:ind w:left="21" w:leftChars="10" w:right="21" w:rightChars="10" w:firstLine="420" w:firstLineChars="200"/>
              <w:jc w:val="center"/>
              <w:rPr>
                <w:rFonts w:hint="eastAsia"/>
                <w:sz w:val="21"/>
                <w:szCs w:val="21"/>
              </w:rPr>
            </w:pPr>
          </w:p>
          <w:p w14:paraId="4C8F792D">
            <w:pPr>
              <w:wordWrap w:val="0"/>
              <w:spacing w:line="360" w:lineRule="auto"/>
              <w:ind w:left="21" w:leftChars="10" w:right="21" w:rightChars="10" w:firstLine="480" w:firstLineChars="200"/>
              <w:rPr>
                <w:rFonts w:hint="default" w:eastAsia="宋体"/>
                <w:b w:val="0"/>
                <w:bCs w:val="0"/>
                <w:sz w:val="24"/>
                <w:lang w:val="en-US" w:eastAsia="zh-CN"/>
              </w:rPr>
            </w:pPr>
            <w:r>
              <w:rPr>
                <w:rFonts w:hint="eastAsia"/>
                <w:sz w:val="24"/>
              </w:rPr>
              <w:t>202</w:t>
            </w:r>
            <w:r>
              <w:rPr>
                <w:rFonts w:hint="eastAsia"/>
                <w:sz w:val="24"/>
                <w:lang w:val="en-US" w:eastAsia="zh-CN"/>
              </w:rPr>
              <w:t>3</w:t>
            </w:r>
            <w:r>
              <w:rPr>
                <w:rFonts w:hint="eastAsia"/>
                <w:sz w:val="24"/>
              </w:rPr>
              <w:t>年，</w:t>
            </w:r>
            <w:r>
              <w:rPr>
                <w:rFonts w:hint="eastAsia"/>
                <w:sz w:val="24"/>
                <w:lang w:val="en-US" w:eastAsia="zh-CN"/>
              </w:rPr>
              <w:t>达州市通川区</w:t>
            </w:r>
            <w:r>
              <w:rPr>
                <w:rFonts w:hint="eastAsia"/>
                <w:sz w:val="24"/>
              </w:rPr>
              <w:t>SO</w:t>
            </w:r>
            <w:r>
              <w:rPr>
                <w:rFonts w:hint="eastAsia"/>
                <w:sz w:val="24"/>
                <w:vertAlign w:val="subscript"/>
              </w:rPr>
              <w:t>2</w:t>
            </w:r>
            <w:r>
              <w:rPr>
                <w:rFonts w:hint="eastAsia"/>
                <w:sz w:val="24"/>
              </w:rPr>
              <w:t>、NO</w:t>
            </w:r>
            <w:r>
              <w:rPr>
                <w:rFonts w:hint="eastAsia"/>
                <w:sz w:val="24"/>
                <w:vertAlign w:val="subscript"/>
              </w:rPr>
              <w:t>2</w:t>
            </w:r>
            <w:r>
              <w:rPr>
                <w:rFonts w:hint="eastAsia"/>
                <w:sz w:val="24"/>
              </w:rPr>
              <w:t>、PM</w:t>
            </w:r>
            <w:r>
              <w:rPr>
                <w:rFonts w:hint="eastAsia"/>
                <w:sz w:val="24"/>
                <w:vertAlign w:val="subscript"/>
              </w:rPr>
              <w:t>10</w:t>
            </w:r>
            <w:r>
              <w:rPr>
                <w:rFonts w:hint="eastAsia"/>
                <w:sz w:val="24"/>
              </w:rPr>
              <w:t>、</w:t>
            </w:r>
            <w:r>
              <w:rPr>
                <w:rFonts w:hint="eastAsia"/>
                <w:sz w:val="24"/>
                <w:lang w:val="en-US" w:eastAsia="zh-CN"/>
              </w:rPr>
              <w:t>PM</w:t>
            </w:r>
            <w:r>
              <w:rPr>
                <w:rFonts w:hint="eastAsia"/>
                <w:sz w:val="24"/>
                <w:vertAlign w:val="subscript"/>
                <w:lang w:val="en-US" w:eastAsia="zh-CN"/>
              </w:rPr>
              <w:t>2.5</w:t>
            </w:r>
            <w:r>
              <w:rPr>
                <w:rFonts w:hint="eastAsia"/>
                <w:sz w:val="24"/>
                <w:lang w:val="en-US" w:eastAsia="zh-CN"/>
              </w:rPr>
              <w:t>、O</w:t>
            </w:r>
            <w:r>
              <w:rPr>
                <w:rFonts w:hint="eastAsia"/>
                <w:sz w:val="24"/>
                <w:vertAlign w:val="subscript"/>
                <w:lang w:val="en-US" w:eastAsia="zh-CN"/>
              </w:rPr>
              <w:t>3</w:t>
            </w:r>
            <w:r>
              <w:rPr>
                <w:rFonts w:hint="eastAsia"/>
                <w:sz w:val="24"/>
                <w:lang w:val="en-US" w:eastAsia="zh-CN"/>
              </w:rPr>
              <w:t>、</w:t>
            </w:r>
            <w:r>
              <w:rPr>
                <w:rFonts w:hint="eastAsia"/>
                <w:sz w:val="24"/>
              </w:rPr>
              <w:t>CO浓度</w:t>
            </w:r>
            <w:r>
              <w:rPr>
                <w:rFonts w:hint="eastAsia"/>
                <w:sz w:val="24"/>
                <w:lang w:val="en-US" w:eastAsia="zh-CN"/>
              </w:rPr>
              <w:t>均能</w:t>
            </w:r>
            <w:r>
              <w:rPr>
                <w:rFonts w:hint="eastAsia"/>
                <w:sz w:val="24"/>
              </w:rPr>
              <w:t>达到《环境空气质量标准》（GB3095-2012）二级标准</w:t>
            </w:r>
            <w:r>
              <w:rPr>
                <w:rFonts w:hint="eastAsia"/>
                <w:sz w:val="24"/>
                <w:lang w:eastAsia="zh-CN"/>
              </w:rPr>
              <w:t>，</w:t>
            </w:r>
            <w:r>
              <w:rPr>
                <w:rFonts w:hint="eastAsia"/>
                <w:sz w:val="24"/>
                <w:lang w:val="en-US" w:eastAsia="zh-CN"/>
              </w:rPr>
              <w:t>通川区属于</w:t>
            </w:r>
            <w:r>
              <w:rPr>
                <w:rFonts w:hint="eastAsia"/>
                <w:b/>
                <w:bCs/>
                <w:sz w:val="24"/>
                <w:lang w:val="en-US" w:eastAsia="zh-CN"/>
              </w:rPr>
              <w:t>达标区</w:t>
            </w:r>
            <w:r>
              <w:rPr>
                <w:rFonts w:hint="eastAsia"/>
                <w:sz w:val="24"/>
                <w:lang w:val="en-US" w:eastAsia="zh-CN"/>
              </w:rPr>
              <w:t>。</w:t>
            </w:r>
          </w:p>
          <w:p w14:paraId="7A3F7DE9">
            <w:pPr>
              <w:wordWrap w:val="0"/>
              <w:spacing w:line="360" w:lineRule="auto"/>
              <w:ind w:left="21" w:leftChars="10" w:right="21" w:rightChars="10" w:firstLine="482" w:firstLineChars="200"/>
              <w:rPr>
                <w:rFonts w:hint="eastAsia"/>
                <w:b w:val="0"/>
                <w:bCs w:val="0"/>
                <w:sz w:val="24"/>
              </w:rPr>
            </w:pPr>
            <w:r>
              <w:rPr>
                <w:rFonts w:hint="eastAsia"/>
                <w:b/>
                <w:bCs/>
                <w:sz w:val="24"/>
              </w:rPr>
              <w:t>（</w:t>
            </w:r>
            <w:r>
              <w:rPr>
                <w:rFonts w:hint="eastAsia"/>
                <w:b/>
                <w:bCs/>
                <w:sz w:val="24"/>
                <w:lang w:val="en-US" w:eastAsia="zh-CN"/>
              </w:rPr>
              <w:t>2</w:t>
            </w:r>
            <w:r>
              <w:rPr>
                <w:rFonts w:hint="eastAsia"/>
                <w:b/>
                <w:bCs/>
                <w:sz w:val="24"/>
              </w:rPr>
              <w:t>）特征污染物</w:t>
            </w:r>
          </w:p>
          <w:p w14:paraId="52CE3DA4">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480" w:firstLineChars="200"/>
              <w:textAlignment w:val="auto"/>
              <w:rPr>
                <w:rFonts w:hint="default"/>
                <w:b w:val="0"/>
                <w:bCs w:val="0"/>
                <w:sz w:val="24"/>
                <w:highlight w:val="none"/>
                <w:lang w:val="en-US" w:eastAsia="zh-CN"/>
              </w:rPr>
            </w:pPr>
            <w:r>
              <w:rPr>
                <w:rFonts w:hint="default"/>
                <w:b w:val="0"/>
                <w:bCs w:val="0"/>
                <w:sz w:val="24"/>
                <w:highlight w:val="none"/>
                <w:lang w:val="en-US" w:eastAsia="zh-CN"/>
              </w:rPr>
              <w:t>本项目排放大气污染物中含有</w:t>
            </w:r>
            <w:r>
              <w:rPr>
                <w:rFonts w:hint="eastAsia" w:ascii="Times New Roman" w:hAnsi="Times New Roman" w:cs="Times New Roman"/>
                <w:sz w:val="24"/>
                <w:lang w:eastAsia="zh-CN"/>
              </w:rPr>
              <w:t>苯并[a]芘（</w:t>
            </w:r>
            <w:r>
              <w:rPr>
                <w:rFonts w:hint="eastAsia" w:ascii="Times New Roman" w:hAnsi="Times New Roman" w:cs="Times New Roman"/>
                <w:sz w:val="24"/>
                <w:lang w:val="en-US" w:eastAsia="zh-CN"/>
              </w:rPr>
              <w:t>BaP</w:t>
            </w:r>
            <w:r>
              <w:rPr>
                <w:rFonts w:hint="eastAsia" w:ascii="Times New Roman" w:hAnsi="Times New Roman" w:cs="Times New Roman"/>
                <w:sz w:val="24"/>
                <w:lang w:eastAsia="zh-CN"/>
              </w:rPr>
              <w:t>）</w:t>
            </w:r>
            <w:r>
              <w:rPr>
                <w:rFonts w:hint="default"/>
                <w:b w:val="0"/>
                <w:bCs w:val="0"/>
                <w:sz w:val="24"/>
                <w:highlight w:val="none"/>
                <w:lang w:val="en-US" w:eastAsia="zh-CN"/>
              </w:rPr>
              <w:t>，属于《有毒有害大气污染物名录》中的因子，且厂界外500米范围内存在环境空气保护目标，根据《建设项目环境影响报告表编制技术指南（污染影响类）》，本项目需设置大气专项评价，需按照环境影响评价相关技术导则开展专项评价工作。</w:t>
            </w:r>
          </w:p>
          <w:p w14:paraId="0AB847C1">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480" w:firstLineChars="200"/>
              <w:textAlignment w:val="auto"/>
              <w:rPr>
                <w:rFonts w:hint="default"/>
                <w:b w:val="0"/>
                <w:bCs w:val="0"/>
                <w:sz w:val="24"/>
                <w:highlight w:val="none"/>
                <w:lang w:val="en-US" w:eastAsia="zh-CN"/>
              </w:rPr>
            </w:pPr>
            <w:r>
              <w:rPr>
                <w:rFonts w:hint="default"/>
                <w:b w:val="0"/>
                <w:bCs w:val="0"/>
                <w:sz w:val="24"/>
                <w:highlight w:val="none"/>
                <w:lang w:val="en-US" w:eastAsia="zh-CN"/>
              </w:rPr>
              <w:t>根据大气预测分析结果，本项目属于</w:t>
            </w:r>
            <w:r>
              <w:rPr>
                <w:rFonts w:hint="eastAsia"/>
                <w:b w:val="0"/>
                <w:bCs w:val="0"/>
                <w:sz w:val="24"/>
                <w:highlight w:val="none"/>
                <w:lang w:val="en-US" w:eastAsia="zh-CN"/>
              </w:rPr>
              <w:t>二</w:t>
            </w:r>
            <w:r>
              <w:rPr>
                <w:rFonts w:hint="default"/>
                <w:b w:val="0"/>
                <w:bCs w:val="0"/>
                <w:sz w:val="24"/>
                <w:highlight w:val="none"/>
                <w:lang w:val="en-US" w:eastAsia="zh-CN"/>
              </w:rPr>
              <w:t>级评价项目，根据《环境影响评价技术导则 大气环境》（HJ2.2-2018），</w:t>
            </w:r>
            <w:r>
              <w:rPr>
                <w:rFonts w:hint="eastAsia"/>
                <w:b w:val="0"/>
                <w:bCs w:val="0"/>
                <w:sz w:val="24"/>
                <w:highlight w:val="none"/>
                <w:lang w:val="en-US" w:eastAsia="zh-CN"/>
              </w:rPr>
              <w:t>二</w:t>
            </w:r>
            <w:r>
              <w:rPr>
                <w:rFonts w:hint="default"/>
                <w:b w:val="0"/>
                <w:bCs w:val="0"/>
                <w:sz w:val="24"/>
                <w:highlight w:val="none"/>
                <w:lang w:val="en-US" w:eastAsia="zh-CN"/>
              </w:rPr>
              <w:t>级评价项目</w:t>
            </w:r>
            <w:r>
              <w:rPr>
                <w:rFonts w:hint="eastAsia"/>
                <w:b w:val="0"/>
                <w:bCs w:val="0"/>
                <w:sz w:val="24"/>
                <w:highlight w:val="none"/>
                <w:lang w:val="en-US" w:eastAsia="zh-CN"/>
              </w:rPr>
              <w:t>应当调查评价范围内有环境质量标准的评价因子的环境质量监测数据或进行补充监测，用于评价项目所在区域污染物环境质量现状。</w:t>
            </w:r>
          </w:p>
          <w:p w14:paraId="64344086">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480" w:firstLineChars="200"/>
              <w:textAlignment w:val="auto"/>
              <w:rPr>
                <w:rFonts w:hint="eastAsia"/>
                <w:b w:val="0"/>
                <w:bCs w:val="0"/>
                <w:sz w:val="24"/>
                <w:highlight w:val="none"/>
              </w:rPr>
            </w:pPr>
            <w:r>
              <w:rPr>
                <w:rFonts w:hint="eastAsia"/>
                <w:b w:val="0"/>
                <w:bCs w:val="0"/>
                <w:sz w:val="24"/>
                <w:highlight w:val="none"/>
              </w:rPr>
              <w:t>为了解区域大气环境（</w:t>
            </w:r>
            <w:r>
              <w:rPr>
                <w:rFonts w:hint="eastAsia"/>
                <w:b w:val="0"/>
                <w:bCs w:val="0"/>
                <w:sz w:val="24"/>
                <w:highlight w:val="none"/>
                <w:lang w:val="en-US" w:eastAsia="zh-CN"/>
              </w:rPr>
              <w:t>总悬浮颗粒物（TSP）、苯并[a]芘（BaP）、氮氧化物（NO</w:t>
            </w:r>
            <w:r>
              <w:rPr>
                <w:rFonts w:hint="eastAsia"/>
                <w:b w:val="0"/>
                <w:bCs w:val="0"/>
                <w:sz w:val="24"/>
                <w:highlight w:val="none"/>
                <w:vertAlign w:val="subscript"/>
                <w:lang w:val="en-US" w:eastAsia="zh-CN"/>
              </w:rPr>
              <w:t>x</w:t>
            </w:r>
            <w:r>
              <w:rPr>
                <w:rFonts w:hint="eastAsia"/>
                <w:b w:val="0"/>
                <w:bCs w:val="0"/>
                <w:sz w:val="24"/>
                <w:highlight w:val="none"/>
                <w:lang w:val="en-US" w:eastAsia="zh-CN"/>
              </w:rPr>
              <w:t>）</w:t>
            </w:r>
            <w:r>
              <w:rPr>
                <w:rFonts w:hint="eastAsia"/>
                <w:b w:val="0"/>
                <w:bCs w:val="0"/>
                <w:sz w:val="24"/>
                <w:highlight w:val="none"/>
              </w:rPr>
              <w:t>）质量现状，本次评价</w:t>
            </w:r>
            <w:r>
              <w:rPr>
                <w:rFonts w:hint="eastAsia"/>
                <w:b w:val="0"/>
                <w:bCs w:val="0"/>
                <w:sz w:val="24"/>
                <w:highlight w:val="none"/>
                <w:lang w:val="en-US" w:eastAsia="zh-CN"/>
              </w:rPr>
              <w:t>采用</w:t>
            </w:r>
            <w:r>
              <w:rPr>
                <w:rFonts w:hint="eastAsia"/>
                <w:b w:val="0"/>
                <w:bCs w:val="0"/>
                <w:sz w:val="24"/>
                <w:highlight w:val="none"/>
              </w:rPr>
              <w:t>四川环华盛锦环境检测有限公司于202</w:t>
            </w:r>
            <w:r>
              <w:rPr>
                <w:rFonts w:hint="eastAsia"/>
                <w:b w:val="0"/>
                <w:bCs w:val="0"/>
                <w:sz w:val="24"/>
                <w:highlight w:val="none"/>
                <w:lang w:val="en-US" w:eastAsia="zh-CN"/>
              </w:rPr>
              <w:t>5</w:t>
            </w:r>
            <w:r>
              <w:rPr>
                <w:rFonts w:hint="eastAsia"/>
                <w:b w:val="0"/>
                <w:bCs w:val="0"/>
                <w:sz w:val="24"/>
                <w:highlight w:val="none"/>
              </w:rPr>
              <w:t>年</w:t>
            </w:r>
            <w:r>
              <w:rPr>
                <w:rFonts w:hint="eastAsia"/>
                <w:b w:val="0"/>
                <w:bCs w:val="0"/>
                <w:sz w:val="24"/>
                <w:highlight w:val="none"/>
                <w:lang w:val="en-US" w:eastAsia="zh-CN"/>
              </w:rPr>
              <w:t>3</w:t>
            </w:r>
            <w:r>
              <w:rPr>
                <w:rFonts w:hint="eastAsia"/>
                <w:b w:val="0"/>
                <w:bCs w:val="0"/>
                <w:sz w:val="24"/>
                <w:highlight w:val="none"/>
              </w:rPr>
              <w:t>月</w:t>
            </w:r>
            <w:r>
              <w:rPr>
                <w:rFonts w:hint="eastAsia"/>
                <w:b w:val="0"/>
                <w:bCs w:val="0"/>
                <w:sz w:val="24"/>
                <w:highlight w:val="none"/>
                <w:lang w:val="en-US" w:eastAsia="zh-CN"/>
              </w:rPr>
              <w:t>1</w:t>
            </w:r>
            <w:r>
              <w:rPr>
                <w:rFonts w:hint="eastAsia"/>
                <w:b w:val="0"/>
                <w:bCs w:val="0"/>
                <w:sz w:val="24"/>
                <w:highlight w:val="none"/>
              </w:rPr>
              <w:t>0日</w:t>
            </w:r>
            <w:r>
              <w:rPr>
                <w:rFonts w:hint="eastAsia"/>
                <w:b w:val="0"/>
                <w:bCs w:val="0"/>
                <w:sz w:val="24"/>
                <w:highlight w:val="none"/>
                <w:lang w:val="en-US" w:eastAsia="zh-CN"/>
              </w:rPr>
              <w:t>-3</w:t>
            </w:r>
            <w:r>
              <w:rPr>
                <w:rFonts w:hint="eastAsia"/>
                <w:b w:val="0"/>
                <w:bCs w:val="0"/>
                <w:sz w:val="24"/>
                <w:highlight w:val="none"/>
              </w:rPr>
              <w:t>月</w:t>
            </w:r>
            <w:r>
              <w:rPr>
                <w:rFonts w:hint="eastAsia"/>
                <w:b w:val="0"/>
                <w:bCs w:val="0"/>
                <w:sz w:val="24"/>
                <w:highlight w:val="none"/>
                <w:lang w:val="en-US" w:eastAsia="zh-CN"/>
              </w:rPr>
              <w:t>18</w:t>
            </w:r>
            <w:r>
              <w:rPr>
                <w:rFonts w:hint="eastAsia"/>
                <w:b w:val="0"/>
                <w:bCs w:val="0"/>
                <w:sz w:val="24"/>
                <w:highlight w:val="none"/>
              </w:rPr>
              <w:t>日对区域大气环境质量现状监测</w:t>
            </w:r>
            <w:r>
              <w:rPr>
                <w:rFonts w:hint="eastAsia"/>
                <w:b w:val="0"/>
                <w:bCs w:val="0"/>
                <w:sz w:val="24"/>
                <w:highlight w:val="none"/>
                <w:lang w:val="en-US" w:eastAsia="zh-CN"/>
              </w:rPr>
              <w:t>数据进行评价</w:t>
            </w:r>
            <w:r>
              <w:rPr>
                <w:rFonts w:hint="eastAsia"/>
                <w:b w:val="0"/>
                <w:bCs w:val="0"/>
                <w:sz w:val="24"/>
                <w:highlight w:val="none"/>
              </w:rPr>
              <w:t>。</w:t>
            </w:r>
          </w:p>
          <w:p w14:paraId="7B8A2EE5">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480" w:firstLineChars="200"/>
              <w:textAlignment w:val="auto"/>
              <w:rPr>
                <w:rFonts w:hint="eastAsia"/>
                <w:b w:val="0"/>
                <w:bCs w:val="0"/>
                <w:sz w:val="24"/>
                <w:highlight w:val="none"/>
              </w:rPr>
            </w:pPr>
            <w:r>
              <w:rPr>
                <w:rFonts w:hint="eastAsia"/>
                <w:b w:val="0"/>
                <w:bCs w:val="0"/>
                <w:sz w:val="24"/>
                <w:highlight w:val="none"/>
              </w:rPr>
              <w:t>1）监测项目</w:t>
            </w:r>
          </w:p>
          <w:p w14:paraId="1BDBD93D">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480" w:firstLineChars="200"/>
              <w:textAlignment w:val="auto"/>
              <w:rPr>
                <w:rFonts w:hint="eastAsia"/>
                <w:b w:val="0"/>
                <w:bCs w:val="0"/>
                <w:sz w:val="24"/>
                <w:highlight w:val="none"/>
              </w:rPr>
            </w:pPr>
            <w:r>
              <w:rPr>
                <w:rFonts w:hint="eastAsia"/>
                <w:b w:val="0"/>
                <w:bCs w:val="0"/>
                <w:sz w:val="24"/>
                <w:highlight w:val="none"/>
                <w:lang w:val="en-US" w:eastAsia="zh-CN"/>
              </w:rPr>
              <w:t>总悬浮颗粒物（TSP）、苯并[a]芘（BaP）、氮氧化物（NO</w:t>
            </w:r>
            <w:r>
              <w:rPr>
                <w:rFonts w:hint="eastAsia"/>
                <w:b w:val="0"/>
                <w:bCs w:val="0"/>
                <w:sz w:val="24"/>
                <w:highlight w:val="none"/>
                <w:vertAlign w:val="subscript"/>
                <w:lang w:val="en-US" w:eastAsia="zh-CN"/>
              </w:rPr>
              <w:t>x</w:t>
            </w:r>
            <w:r>
              <w:rPr>
                <w:rFonts w:hint="eastAsia"/>
                <w:b w:val="0"/>
                <w:bCs w:val="0"/>
                <w:sz w:val="24"/>
                <w:highlight w:val="none"/>
                <w:lang w:val="en-US" w:eastAsia="zh-CN"/>
              </w:rPr>
              <w:t>）</w:t>
            </w:r>
          </w:p>
          <w:p w14:paraId="558FDA7C">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480" w:firstLineChars="200"/>
              <w:textAlignment w:val="auto"/>
              <w:rPr>
                <w:rFonts w:hint="eastAsia"/>
                <w:b w:val="0"/>
                <w:bCs w:val="0"/>
                <w:sz w:val="24"/>
                <w:highlight w:val="none"/>
              </w:rPr>
            </w:pPr>
            <w:r>
              <w:rPr>
                <w:rFonts w:hint="eastAsia"/>
                <w:b w:val="0"/>
                <w:bCs w:val="0"/>
                <w:sz w:val="24"/>
                <w:highlight w:val="none"/>
              </w:rPr>
              <w:t>2）监测时间</w:t>
            </w:r>
          </w:p>
          <w:p w14:paraId="26187AD3">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480" w:firstLineChars="200"/>
              <w:textAlignment w:val="auto"/>
              <w:rPr>
                <w:rFonts w:hint="eastAsia"/>
                <w:b w:val="0"/>
                <w:bCs w:val="0"/>
                <w:sz w:val="24"/>
                <w:highlight w:val="none"/>
              </w:rPr>
            </w:pPr>
            <w:r>
              <w:rPr>
                <w:rFonts w:hint="eastAsia"/>
                <w:b w:val="0"/>
                <w:bCs w:val="0"/>
                <w:sz w:val="24"/>
                <w:highlight w:val="none"/>
              </w:rPr>
              <w:t>202</w:t>
            </w:r>
            <w:r>
              <w:rPr>
                <w:rFonts w:hint="eastAsia"/>
                <w:b w:val="0"/>
                <w:bCs w:val="0"/>
                <w:sz w:val="24"/>
                <w:highlight w:val="none"/>
                <w:lang w:val="en-US" w:eastAsia="zh-CN"/>
              </w:rPr>
              <w:t>5</w:t>
            </w:r>
            <w:r>
              <w:rPr>
                <w:rFonts w:hint="eastAsia"/>
                <w:b w:val="0"/>
                <w:bCs w:val="0"/>
                <w:sz w:val="24"/>
                <w:highlight w:val="none"/>
              </w:rPr>
              <w:t>年</w:t>
            </w:r>
            <w:r>
              <w:rPr>
                <w:rFonts w:hint="eastAsia"/>
                <w:b w:val="0"/>
                <w:bCs w:val="0"/>
                <w:sz w:val="24"/>
                <w:highlight w:val="none"/>
                <w:lang w:val="en-US" w:eastAsia="zh-CN"/>
              </w:rPr>
              <w:t>3</w:t>
            </w:r>
            <w:r>
              <w:rPr>
                <w:rFonts w:hint="eastAsia"/>
                <w:b w:val="0"/>
                <w:bCs w:val="0"/>
                <w:sz w:val="24"/>
                <w:highlight w:val="none"/>
              </w:rPr>
              <w:t>月</w:t>
            </w:r>
            <w:r>
              <w:rPr>
                <w:rFonts w:hint="eastAsia"/>
                <w:b w:val="0"/>
                <w:bCs w:val="0"/>
                <w:sz w:val="24"/>
                <w:highlight w:val="none"/>
                <w:lang w:val="en-US" w:eastAsia="zh-CN"/>
              </w:rPr>
              <w:t>1</w:t>
            </w:r>
            <w:r>
              <w:rPr>
                <w:rFonts w:hint="eastAsia"/>
                <w:b w:val="0"/>
                <w:bCs w:val="0"/>
                <w:sz w:val="24"/>
                <w:highlight w:val="none"/>
              </w:rPr>
              <w:t>0日</w:t>
            </w:r>
            <w:r>
              <w:rPr>
                <w:rFonts w:hint="eastAsia"/>
                <w:b w:val="0"/>
                <w:bCs w:val="0"/>
                <w:sz w:val="24"/>
                <w:highlight w:val="none"/>
                <w:lang w:val="en-US" w:eastAsia="zh-CN"/>
              </w:rPr>
              <w:t>-3</w:t>
            </w:r>
            <w:r>
              <w:rPr>
                <w:rFonts w:hint="eastAsia"/>
                <w:b w:val="0"/>
                <w:bCs w:val="0"/>
                <w:sz w:val="24"/>
                <w:highlight w:val="none"/>
              </w:rPr>
              <w:t>月</w:t>
            </w:r>
            <w:r>
              <w:rPr>
                <w:rFonts w:hint="eastAsia"/>
                <w:b w:val="0"/>
                <w:bCs w:val="0"/>
                <w:sz w:val="24"/>
                <w:highlight w:val="none"/>
                <w:lang w:val="en-US" w:eastAsia="zh-CN"/>
              </w:rPr>
              <w:t>17</w:t>
            </w:r>
            <w:r>
              <w:rPr>
                <w:rFonts w:hint="eastAsia"/>
                <w:b w:val="0"/>
                <w:bCs w:val="0"/>
                <w:sz w:val="24"/>
                <w:highlight w:val="none"/>
              </w:rPr>
              <w:t>日，共7天。</w:t>
            </w:r>
          </w:p>
          <w:p w14:paraId="20A4058F">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480" w:firstLineChars="200"/>
              <w:textAlignment w:val="auto"/>
              <w:rPr>
                <w:rFonts w:hint="default" w:eastAsia="宋体"/>
                <w:b w:val="0"/>
                <w:bCs w:val="0"/>
                <w:sz w:val="24"/>
                <w:highlight w:val="none"/>
                <w:lang w:val="en-US" w:eastAsia="zh-CN"/>
              </w:rPr>
            </w:pPr>
            <w:r>
              <w:rPr>
                <w:rFonts w:hint="eastAsia"/>
                <w:b w:val="0"/>
                <w:bCs w:val="0"/>
                <w:sz w:val="24"/>
                <w:highlight w:val="none"/>
                <w:lang w:val="en-US" w:eastAsia="zh-CN"/>
              </w:rPr>
              <w:t>3）监测频次</w:t>
            </w:r>
          </w:p>
          <w:p w14:paraId="4FB509B0">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480" w:firstLineChars="200"/>
              <w:textAlignment w:val="auto"/>
              <w:rPr>
                <w:rFonts w:hint="default"/>
                <w:b w:val="0"/>
                <w:bCs w:val="0"/>
                <w:sz w:val="24"/>
                <w:highlight w:val="none"/>
                <w:lang w:val="en-US"/>
              </w:rPr>
            </w:pPr>
            <w:r>
              <w:rPr>
                <w:rFonts w:hint="eastAsia"/>
                <w:b w:val="0"/>
                <w:bCs w:val="0"/>
                <w:sz w:val="24"/>
                <w:highlight w:val="none"/>
                <w:lang w:val="en-US" w:eastAsia="zh-CN"/>
              </w:rPr>
              <w:t>总悬浮颗粒物（TSP）、苯并[a]芘（BaP）监测日均值，氮氧化物（NO</w:t>
            </w:r>
            <w:r>
              <w:rPr>
                <w:rFonts w:hint="eastAsia"/>
                <w:b w:val="0"/>
                <w:bCs w:val="0"/>
                <w:sz w:val="24"/>
                <w:highlight w:val="none"/>
                <w:vertAlign w:val="subscript"/>
                <w:lang w:val="en-US" w:eastAsia="zh-CN"/>
              </w:rPr>
              <w:t>x</w:t>
            </w:r>
            <w:r>
              <w:rPr>
                <w:rFonts w:hint="eastAsia"/>
                <w:b w:val="0"/>
                <w:bCs w:val="0"/>
                <w:sz w:val="24"/>
                <w:highlight w:val="none"/>
                <w:lang w:val="en-US" w:eastAsia="zh-CN"/>
              </w:rPr>
              <w:t>）监测日均值和小时均值。</w:t>
            </w:r>
          </w:p>
          <w:p w14:paraId="577514F6">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480" w:firstLineChars="200"/>
              <w:textAlignment w:val="auto"/>
              <w:rPr>
                <w:rFonts w:hint="eastAsia"/>
                <w:b w:val="0"/>
                <w:bCs w:val="0"/>
                <w:sz w:val="24"/>
                <w:highlight w:val="none"/>
              </w:rPr>
            </w:pPr>
            <w:r>
              <w:rPr>
                <w:rFonts w:hint="eastAsia"/>
                <w:b w:val="0"/>
                <w:bCs w:val="0"/>
                <w:sz w:val="24"/>
                <w:highlight w:val="none"/>
                <w:lang w:val="en-US" w:eastAsia="zh-CN"/>
              </w:rPr>
              <w:t>4</w:t>
            </w:r>
            <w:r>
              <w:rPr>
                <w:rFonts w:hint="eastAsia"/>
                <w:b w:val="0"/>
                <w:bCs w:val="0"/>
                <w:sz w:val="24"/>
                <w:highlight w:val="none"/>
              </w:rPr>
              <w:t>）监测结果</w:t>
            </w:r>
          </w:p>
          <w:p w14:paraId="09550BDB">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480" w:firstLineChars="200"/>
              <w:textAlignment w:val="auto"/>
              <w:rPr>
                <w:rFonts w:hint="eastAsia" w:eastAsia="宋体"/>
                <w:b w:val="0"/>
                <w:bCs w:val="0"/>
                <w:sz w:val="24"/>
                <w:highlight w:val="none"/>
                <w:lang w:eastAsia="zh-CN"/>
              </w:rPr>
            </w:pPr>
            <w:r>
              <w:rPr>
                <w:rFonts w:hint="eastAsia"/>
                <w:b w:val="0"/>
                <w:bCs w:val="0"/>
                <w:sz w:val="24"/>
                <w:highlight w:val="none"/>
              </w:rPr>
              <w:t>本次大气环境质量现状监测数据见</w:t>
            </w:r>
            <w:r>
              <w:rPr>
                <w:rFonts w:hint="eastAsia"/>
                <w:b w:val="0"/>
                <w:bCs w:val="0"/>
                <w:sz w:val="24"/>
                <w:highlight w:val="none"/>
                <w:lang w:val="en-US" w:eastAsia="zh-CN"/>
              </w:rPr>
              <w:t>下</w:t>
            </w:r>
            <w:r>
              <w:rPr>
                <w:rFonts w:hint="eastAsia"/>
                <w:b w:val="0"/>
                <w:bCs w:val="0"/>
                <w:sz w:val="24"/>
                <w:highlight w:val="none"/>
              </w:rPr>
              <w:t>表</w:t>
            </w:r>
            <w:r>
              <w:rPr>
                <w:rFonts w:hint="eastAsia"/>
                <w:b w:val="0"/>
                <w:bCs w:val="0"/>
                <w:sz w:val="24"/>
                <w:highlight w:val="none"/>
                <w:lang w:eastAsia="zh-CN"/>
              </w:rPr>
              <w:t>：</w:t>
            </w:r>
          </w:p>
          <w:p w14:paraId="4ED8DD34">
            <w:pPr>
              <w:numPr>
                <w:ilvl w:val="0"/>
                <w:numId w:val="5"/>
              </w:numPr>
              <w:wordWrap w:val="0"/>
              <w:ind w:left="21" w:leftChars="10" w:right="21" w:rightChars="10" w:firstLine="0"/>
              <w:jc w:val="center"/>
              <w:rPr>
                <w:rFonts w:hint="eastAsia" w:ascii="Times New Roman" w:hAnsi="Times New Roman" w:eastAsia="宋体" w:cs="Times New Roman"/>
                <w:b/>
                <w:bCs/>
                <w:szCs w:val="22"/>
                <w:highlight w:val="none"/>
                <w:lang w:val="en-US" w:eastAsia="zh-CN"/>
              </w:rPr>
            </w:pPr>
            <w:r>
              <w:rPr>
                <w:rFonts w:hint="eastAsia" w:ascii="Times New Roman" w:hAnsi="Times New Roman" w:eastAsia="宋体" w:cs="Times New Roman"/>
                <w:b/>
                <w:bCs/>
                <w:szCs w:val="22"/>
                <w:highlight w:val="none"/>
                <w:lang w:val="en-US" w:eastAsia="zh-CN"/>
              </w:rPr>
              <w:t>环境空气检测结果表</w:t>
            </w:r>
            <w:r>
              <w:rPr>
                <w:rFonts w:hint="eastAsia" w:cs="Times New Roman"/>
                <w:b/>
                <w:bCs/>
                <w:szCs w:val="22"/>
                <w:highlight w:val="none"/>
                <w:lang w:val="en-US" w:eastAsia="zh-CN"/>
              </w:rPr>
              <w:t>（日均值）</w:t>
            </w:r>
            <w:r>
              <w:rPr>
                <w:rFonts w:hint="eastAsia" w:ascii="Times New Roman" w:hAnsi="Times New Roman" w:eastAsia="宋体" w:cs="Times New Roman"/>
                <w:b/>
                <w:bCs/>
                <w:szCs w:val="22"/>
                <w:highlight w:val="none"/>
                <w:lang w:val="en-US" w:eastAsia="zh-CN"/>
              </w:rPr>
              <w:t xml:space="preserve">     单位：mg/m</w:t>
            </w:r>
            <w:r>
              <w:rPr>
                <w:rFonts w:hint="eastAsia" w:ascii="Times New Roman" w:hAnsi="Times New Roman" w:eastAsia="宋体" w:cs="Times New Roman"/>
                <w:b/>
                <w:bCs/>
                <w:szCs w:val="22"/>
                <w:highlight w:val="none"/>
                <w:vertAlign w:val="superscript"/>
                <w:lang w:val="en-US" w:eastAsia="zh-CN"/>
              </w:rPr>
              <w:t>3</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99"/>
              <w:gridCol w:w="899"/>
              <w:gridCol w:w="899"/>
              <w:gridCol w:w="899"/>
              <w:gridCol w:w="899"/>
              <w:gridCol w:w="899"/>
              <w:gridCol w:w="900"/>
              <w:gridCol w:w="900"/>
              <w:gridCol w:w="900"/>
            </w:tblGrid>
            <w:tr w14:paraId="4DF86AF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99" w:type="dxa"/>
                  <w:vMerge w:val="restart"/>
                  <w:tcBorders>
                    <w:tl2br w:val="nil"/>
                    <w:tr2bl w:val="nil"/>
                  </w:tcBorders>
                  <w:vAlign w:val="center"/>
                </w:tcPr>
                <w:p w14:paraId="30831FD9">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z w:val="21"/>
                      <w:szCs w:val="21"/>
                      <w:highlight w:val="none"/>
                      <w:vertAlign w:val="baseline"/>
                    </w:rPr>
                    <w:t>监测点编号及位置</w:t>
                  </w:r>
                </w:p>
              </w:tc>
              <w:tc>
                <w:tcPr>
                  <w:tcW w:w="899" w:type="dxa"/>
                  <w:vMerge w:val="restart"/>
                  <w:tcBorders>
                    <w:tl2br w:val="nil"/>
                    <w:tr2bl w:val="nil"/>
                  </w:tcBorders>
                  <w:vAlign w:val="center"/>
                </w:tcPr>
                <w:p w14:paraId="7C096CDB">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z w:val="21"/>
                      <w:szCs w:val="21"/>
                      <w:highlight w:val="none"/>
                      <w:vertAlign w:val="baseline"/>
                      <w:lang w:val="en-US" w:eastAsia="zh-CN"/>
                    </w:rPr>
                    <w:t>监测</w:t>
                  </w:r>
                  <w:r>
                    <w:rPr>
                      <w:rFonts w:hint="default" w:ascii="Times New Roman" w:hAnsi="Times New Roman" w:eastAsia="宋体" w:cs="Times New Roman"/>
                      <w:b w:val="0"/>
                      <w:bCs w:val="0"/>
                      <w:sz w:val="21"/>
                      <w:szCs w:val="21"/>
                      <w:highlight w:val="none"/>
                      <w:vertAlign w:val="baseline"/>
                    </w:rPr>
                    <w:t>因子</w:t>
                  </w:r>
                </w:p>
              </w:tc>
              <w:tc>
                <w:tcPr>
                  <w:tcW w:w="6296" w:type="dxa"/>
                  <w:gridSpan w:val="7"/>
                  <w:tcBorders>
                    <w:tl2br w:val="nil"/>
                    <w:tr2bl w:val="nil"/>
                  </w:tcBorders>
                  <w:vAlign w:val="center"/>
                </w:tcPr>
                <w:p w14:paraId="122B7132">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z w:val="21"/>
                      <w:szCs w:val="21"/>
                      <w:highlight w:val="none"/>
                      <w:vertAlign w:val="baseline"/>
                      <w:lang w:val="en-US" w:eastAsia="zh-CN"/>
                    </w:rPr>
                    <w:t>监测</w:t>
                  </w:r>
                  <w:r>
                    <w:rPr>
                      <w:rFonts w:hint="default" w:ascii="Times New Roman" w:hAnsi="Times New Roman" w:eastAsia="宋体" w:cs="Times New Roman"/>
                      <w:b w:val="0"/>
                      <w:bCs w:val="0"/>
                      <w:sz w:val="21"/>
                      <w:szCs w:val="21"/>
                      <w:highlight w:val="none"/>
                      <w:vertAlign w:val="baseline"/>
                    </w:rPr>
                    <w:t>日期及检测结果</w:t>
                  </w:r>
                </w:p>
              </w:tc>
            </w:tr>
            <w:tr w14:paraId="146D4D1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99" w:type="dxa"/>
                  <w:vMerge w:val="continue"/>
                  <w:tcBorders>
                    <w:tl2br w:val="nil"/>
                    <w:tr2bl w:val="nil"/>
                  </w:tcBorders>
                  <w:vAlign w:val="center"/>
                </w:tcPr>
                <w:p w14:paraId="77109E01">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rPr>
                  </w:pPr>
                </w:p>
              </w:tc>
              <w:tc>
                <w:tcPr>
                  <w:tcW w:w="899" w:type="dxa"/>
                  <w:vMerge w:val="continue"/>
                  <w:tcBorders>
                    <w:tl2br w:val="nil"/>
                    <w:tr2bl w:val="nil"/>
                  </w:tcBorders>
                  <w:vAlign w:val="center"/>
                </w:tcPr>
                <w:p w14:paraId="0352706C">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rPr>
                  </w:pPr>
                </w:p>
              </w:tc>
              <w:tc>
                <w:tcPr>
                  <w:tcW w:w="899" w:type="dxa"/>
                  <w:tcBorders>
                    <w:tl2br w:val="nil"/>
                    <w:tr2bl w:val="nil"/>
                  </w:tcBorders>
                  <w:vAlign w:val="center"/>
                </w:tcPr>
                <w:p w14:paraId="7837BE1B">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z w:val="21"/>
                      <w:szCs w:val="21"/>
                      <w:highlight w:val="none"/>
                      <w:vertAlign w:val="baseline"/>
                    </w:rPr>
                    <w:t>3月10日～3月11日</w:t>
                  </w:r>
                </w:p>
              </w:tc>
              <w:tc>
                <w:tcPr>
                  <w:tcW w:w="899" w:type="dxa"/>
                  <w:tcBorders>
                    <w:tl2br w:val="nil"/>
                    <w:tr2bl w:val="nil"/>
                  </w:tcBorders>
                  <w:vAlign w:val="center"/>
                </w:tcPr>
                <w:p w14:paraId="02185015">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z w:val="21"/>
                      <w:szCs w:val="21"/>
                      <w:highlight w:val="none"/>
                      <w:vertAlign w:val="baseline"/>
                    </w:rPr>
                    <w:t>3月1</w:t>
                  </w:r>
                  <w:r>
                    <w:rPr>
                      <w:rFonts w:hint="default" w:ascii="Times New Roman" w:hAnsi="Times New Roman" w:eastAsia="宋体" w:cs="Times New Roman"/>
                      <w:b w:val="0"/>
                      <w:bCs w:val="0"/>
                      <w:sz w:val="21"/>
                      <w:szCs w:val="21"/>
                      <w:highlight w:val="none"/>
                      <w:vertAlign w:val="baseline"/>
                      <w:lang w:val="en-US" w:eastAsia="zh-CN"/>
                    </w:rPr>
                    <w:t>1</w:t>
                  </w:r>
                  <w:r>
                    <w:rPr>
                      <w:rFonts w:hint="default" w:ascii="Times New Roman" w:hAnsi="Times New Roman" w:eastAsia="宋体" w:cs="Times New Roman"/>
                      <w:b w:val="0"/>
                      <w:bCs w:val="0"/>
                      <w:sz w:val="21"/>
                      <w:szCs w:val="21"/>
                      <w:highlight w:val="none"/>
                      <w:vertAlign w:val="baseline"/>
                    </w:rPr>
                    <w:t>日～3月1</w:t>
                  </w:r>
                  <w:r>
                    <w:rPr>
                      <w:rFonts w:hint="default" w:ascii="Times New Roman" w:hAnsi="Times New Roman" w:eastAsia="宋体" w:cs="Times New Roman"/>
                      <w:b w:val="0"/>
                      <w:bCs w:val="0"/>
                      <w:sz w:val="21"/>
                      <w:szCs w:val="21"/>
                      <w:highlight w:val="none"/>
                      <w:vertAlign w:val="baseline"/>
                      <w:lang w:val="en-US" w:eastAsia="zh-CN"/>
                    </w:rPr>
                    <w:t>2</w:t>
                  </w:r>
                  <w:r>
                    <w:rPr>
                      <w:rFonts w:hint="default" w:ascii="Times New Roman" w:hAnsi="Times New Roman" w:eastAsia="宋体" w:cs="Times New Roman"/>
                      <w:b w:val="0"/>
                      <w:bCs w:val="0"/>
                      <w:sz w:val="21"/>
                      <w:szCs w:val="21"/>
                      <w:highlight w:val="none"/>
                      <w:vertAlign w:val="baseline"/>
                    </w:rPr>
                    <w:t>日</w:t>
                  </w:r>
                </w:p>
              </w:tc>
              <w:tc>
                <w:tcPr>
                  <w:tcW w:w="899" w:type="dxa"/>
                  <w:tcBorders>
                    <w:tl2br w:val="nil"/>
                    <w:tr2bl w:val="nil"/>
                  </w:tcBorders>
                  <w:vAlign w:val="center"/>
                </w:tcPr>
                <w:p w14:paraId="15B3EDFD">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z w:val="21"/>
                      <w:szCs w:val="21"/>
                      <w:highlight w:val="none"/>
                      <w:vertAlign w:val="baseline"/>
                    </w:rPr>
                    <w:t>3月1</w:t>
                  </w:r>
                  <w:r>
                    <w:rPr>
                      <w:rFonts w:hint="default" w:ascii="Times New Roman" w:hAnsi="Times New Roman" w:eastAsia="宋体" w:cs="Times New Roman"/>
                      <w:b w:val="0"/>
                      <w:bCs w:val="0"/>
                      <w:sz w:val="21"/>
                      <w:szCs w:val="21"/>
                      <w:highlight w:val="none"/>
                      <w:vertAlign w:val="baseline"/>
                      <w:lang w:val="en-US" w:eastAsia="zh-CN"/>
                    </w:rPr>
                    <w:t>2</w:t>
                  </w:r>
                  <w:r>
                    <w:rPr>
                      <w:rFonts w:hint="default" w:ascii="Times New Roman" w:hAnsi="Times New Roman" w:eastAsia="宋体" w:cs="Times New Roman"/>
                      <w:b w:val="0"/>
                      <w:bCs w:val="0"/>
                      <w:sz w:val="21"/>
                      <w:szCs w:val="21"/>
                      <w:highlight w:val="none"/>
                      <w:vertAlign w:val="baseline"/>
                    </w:rPr>
                    <w:t>日～3月1</w:t>
                  </w:r>
                  <w:r>
                    <w:rPr>
                      <w:rFonts w:hint="default" w:ascii="Times New Roman" w:hAnsi="Times New Roman" w:eastAsia="宋体" w:cs="Times New Roman"/>
                      <w:b w:val="0"/>
                      <w:bCs w:val="0"/>
                      <w:sz w:val="21"/>
                      <w:szCs w:val="21"/>
                      <w:highlight w:val="none"/>
                      <w:vertAlign w:val="baseline"/>
                      <w:lang w:val="en-US" w:eastAsia="zh-CN"/>
                    </w:rPr>
                    <w:t>3</w:t>
                  </w:r>
                  <w:r>
                    <w:rPr>
                      <w:rFonts w:hint="default" w:ascii="Times New Roman" w:hAnsi="Times New Roman" w:eastAsia="宋体" w:cs="Times New Roman"/>
                      <w:b w:val="0"/>
                      <w:bCs w:val="0"/>
                      <w:sz w:val="21"/>
                      <w:szCs w:val="21"/>
                      <w:highlight w:val="none"/>
                      <w:vertAlign w:val="baseline"/>
                    </w:rPr>
                    <w:t>日</w:t>
                  </w:r>
                </w:p>
              </w:tc>
              <w:tc>
                <w:tcPr>
                  <w:tcW w:w="899" w:type="dxa"/>
                  <w:tcBorders>
                    <w:tl2br w:val="nil"/>
                    <w:tr2bl w:val="nil"/>
                  </w:tcBorders>
                  <w:vAlign w:val="center"/>
                </w:tcPr>
                <w:p w14:paraId="716FB9A5">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z w:val="21"/>
                      <w:szCs w:val="21"/>
                      <w:highlight w:val="none"/>
                      <w:vertAlign w:val="baseline"/>
                    </w:rPr>
                    <w:t>3月1</w:t>
                  </w:r>
                  <w:r>
                    <w:rPr>
                      <w:rFonts w:hint="default" w:ascii="Times New Roman" w:hAnsi="Times New Roman" w:eastAsia="宋体" w:cs="Times New Roman"/>
                      <w:b w:val="0"/>
                      <w:bCs w:val="0"/>
                      <w:sz w:val="21"/>
                      <w:szCs w:val="21"/>
                      <w:highlight w:val="none"/>
                      <w:vertAlign w:val="baseline"/>
                      <w:lang w:val="en-US" w:eastAsia="zh-CN"/>
                    </w:rPr>
                    <w:t>3</w:t>
                  </w:r>
                  <w:r>
                    <w:rPr>
                      <w:rFonts w:hint="default" w:ascii="Times New Roman" w:hAnsi="Times New Roman" w:eastAsia="宋体" w:cs="Times New Roman"/>
                      <w:b w:val="0"/>
                      <w:bCs w:val="0"/>
                      <w:sz w:val="21"/>
                      <w:szCs w:val="21"/>
                      <w:highlight w:val="none"/>
                      <w:vertAlign w:val="baseline"/>
                    </w:rPr>
                    <w:t>日～3月1</w:t>
                  </w:r>
                  <w:r>
                    <w:rPr>
                      <w:rFonts w:hint="default" w:ascii="Times New Roman" w:hAnsi="Times New Roman" w:eastAsia="宋体" w:cs="Times New Roman"/>
                      <w:b w:val="0"/>
                      <w:bCs w:val="0"/>
                      <w:sz w:val="21"/>
                      <w:szCs w:val="21"/>
                      <w:highlight w:val="none"/>
                      <w:vertAlign w:val="baseline"/>
                      <w:lang w:val="en-US" w:eastAsia="zh-CN"/>
                    </w:rPr>
                    <w:t>4</w:t>
                  </w:r>
                  <w:r>
                    <w:rPr>
                      <w:rFonts w:hint="default" w:ascii="Times New Roman" w:hAnsi="Times New Roman" w:eastAsia="宋体" w:cs="Times New Roman"/>
                      <w:b w:val="0"/>
                      <w:bCs w:val="0"/>
                      <w:sz w:val="21"/>
                      <w:szCs w:val="21"/>
                      <w:highlight w:val="none"/>
                      <w:vertAlign w:val="baseline"/>
                    </w:rPr>
                    <w:t>日</w:t>
                  </w:r>
                </w:p>
              </w:tc>
              <w:tc>
                <w:tcPr>
                  <w:tcW w:w="900" w:type="dxa"/>
                  <w:tcBorders>
                    <w:tl2br w:val="nil"/>
                    <w:tr2bl w:val="nil"/>
                  </w:tcBorders>
                  <w:vAlign w:val="center"/>
                </w:tcPr>
                <w:p w14:paraId="5B553557">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z w:val="21"/>
                      <w:szCs w:val="21"/>
                      <w:highlight w:val="none"/>
                      <w:vertAlign w:val="baseline"/>
                    </w:rPr>
                    <w:t>3月1</w:t>
                  </w:r>
                  <w:r>
                    <w:rPr>
                      <w:rFonts w:hint="default" w:ascii="Times New Roman" w:hAnsi="Times New Roman" w:eastAsia="宋体" w:cs="Times New Roman"/>
                      <w:b w:val="0"/>
                      <w:bCs w:val="0"/>
                      <w:sz w:val="21"/>
                      <w:szCs w:val="21"/>
                      <w:highlight w:val="none"/>
                      <w:vertAlign w:val="baseline"/>
                      <w:lang w:val="en-US" w:eastAsia="zh-CN"/>
                    </w:rPr>
                    <w:t>4</w:t>
                  </w:r>
                  <w:r>
                    <w:rPr>
                      <w:rFonts w:hint="default" w:ascii="Times New Roman" w:hAnsi="Times New Roman" w:eastAsia="宋体" w:cs="Times New Roman"/>
                      <w:b w:val="0"/>
                      <w:bCs w:val="0"/>
                      <w:sz w:val="21"/>
                      <w:szCs w:val="21"/>
                      <w:highlight w:val="none"/>
                      <w:vertAlign w:val="baseline"/>
                    </w:rPr>
                    <w:t>日～3月1</w:t>
                  </w:r>
                  <w:r>
                    <w:rPr>
                      <w:rFonts w:hint="default" w:ascii="Times New Roman" w:hAnsi="Times New Roman" w:eastAsia="宋体" w:cs="Times New Roman"/>
                      <w:b w:val="0"/>
                      <w:bCs w:val="0"/>
                      <w:sz w:val="21"/>
                      <w:szCs w:val="21"/>
                      <w:highlight w:val="none"/>
                      <w:vertAlign w:val="baseline"/>
                      <w:lang w:val="en-US" w:eastAsia="zh-CN"/>
                    </w:rPr>
                    <w:t>5</w:t>
                  </w:r>
                  <w:r>
                    <w:rPr>
                      <w:rFonts w:hint="default" w:ascii="Times New Roman" w:hAnsi="Times New Roman" w:eastAsia="宋体" w:cs="Times New Roman"/>
                      <w:b w:val="0"/>
                      <w:bCs w:val="0"/>
                      <w:sz w:val="21"/>
                      <w:szCs w:val="21"/>
                      <w:highlight w:val="none"/>
                      <w:vertAlign w:val="baseline"/>
                    </w:rPr>
                    <w:t>日</w:t>
                  </w:r>
                </w:p>
              </w:tc>
              <w:tc>
                <w:tcPr>
                  <w:tcW w:w="900" w:type="dxa"/>
                  <w:tcBorders>
                    <w:tl2br w:val="nil"/>
                    <w:tr2bl w:val="nil"/>
                  </w:tcBorders>
                  <w:vAlign w:val="center"/>
                </w:tcPr>
                <w:p w14:paraId="27C7BE5E">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z w:val="21"/>
                      <w:szCs w:val="21"/>
                      <w:highlight w:val="none"/>
                      <w:vertAlign w:val="baseline"/>
                    </w:rPr>
                    <w:t>3月1</w:t>
                  </w:r>
                  <w:r>
                    <w:rPr>
                      <w:rFonts w:hint="default" w:ascii="Times New Roman" w:hAnsi="Times New Roman" w:eastAsia="宋体" w:cs="Times New Roman"/>
                      <w:b w:val="0"/>
                      <w:bCs w:val="0"/>
                      <w:sz w:val="21"/>
                      <w:szCs w:val="21"/>
                      <w:highlight w:val="none"/>
                      <w:vertAlign w:val="baseline"/>
                      <w:lang w:val="en-US" w:eastAsia="zh-CN"/>
                    </w:rPr>
                    <w:t>5</w:t>
                  </w:r>
                  <w:r>
                    <w:rPr>
                      <w:rFonts w:hint="default" w:ascii="Times New Roman" w:hAnsi="Times New Roman" w:eastAsia="宋体" w:cs="Times New Roman"/>
                      <w:b w:val="0"/>
                      <w:bCs w:val="0"/>
                      <w:sz w:val="21"/>
                      <w:szCs w:val="21"/>
                      <w:highlight w:val="none"/>
                      <w:vertAlign w:val="baseline"/>
                    </w:rPr>
                    <w:t>日～3月1</w:t>
                  </w:r>
                  <w:r>
                    <w:rPr>
                      <w:rFonts w:hint="default" w:ascii="Times New Roman" w:hAnsi="Times New Roman" w:eastAsia="宋体" w:cs="Times New Roman"/>
                      <w:b w:val="0"/>
                      <w:bCs w:val="0"/>
                      <w:sz w:val="21"/>
                      <w:szCs w:val="21"/>
                      <w:highlight w:val="none"/>
                      <w:vertAlign w:val="baseline"/>
                      <w:lang w:val="en-US" w:eastAsia="zh-CN"/>
                    </w:rPr>
                    <w:t>6</w:t>
                  </w:r>
                  <w:r>
                    <w:rPr>
                      <w:rFonts w:hint="default" w:ascii="Times New Roman" w:hAnsi="Times New Roman" w:eastAsia="宋体" w:cs="Times New Roman"/>
                      <w:b w:val="0"/>
                      <w:bCs w:val="0"/>
                      <w:sz w:val="21"/>
                      <w:szCs w:val="21"/>
                      <w:highlight w:val="none"/>
                      <w:vertAlign w:val="baseline"/>
                    </w:rPr>
                    <w:t>日</w:t>
                  </w:r>
                </w:p>
              </w:tc>
              <w:tc>
                <w:tcPr>
                  <w:tcW w:w="900" w:type="dxa"/>
                  <w:tcBorders>
                    <w:tl2br w:val="nil"/>
                    <w:tr2bl w:val="nil"/>
                  </w:tcBorders>
                  <w:vAlign w:val="center"/>
                </w:tcPr>
                <w:p w14:paraId="464A9578">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z w:val="21"/>
                      <w:szCs w:val="21"/>
                      <w:highlight w:val="none"/>
                      <w:vertAlign w:val="baseline"/>
                    </w:rPr>
                    <w:t>3月1</w:t>
                  </w:r>
                  <w:r>
                    <w:rPr>
                      <w:rFonts w:hint="default" w:ascii="Times New Roman" w:hAnsi="Times New Roman" w:eastAsia="宋体" w:cs="Times New Roman"/>
                      <w:b w:val="0"/>
                      <w:bCs w:val="0"/>
                      <w:sz w:val="21"/>
                      <w:szCs w:val="21"/>
                      <w:highlight w:val="none"/>
                      <w:vertAlign w:val="baseline"/>
                      <w:lang w:val="en-US" w:eastAsia="zh-CN"/>
                    </w:rPr>
                    <w:t>6</w:t>
                  </w:r>
                  <w:r>
                    <w:rPr>
                      <w:rFonts w:hint="default" w:ascii="Times New Roman" w:hAnsi="Times New Roman" w:eastAsia="宋体" w:cs="Times New Roman"/>
                      <w:b w:val="0"/>
                      <w:bCs w:val="0"/>
                      <w:sz w:val="21"/>
                      <w:szCs w:val="21"/>
                      <w:highlight w:val="none"/>
                      <w:vertAlign w:val="baseline"/>
                    </w:rPr>
                    <w:t>日～3月1</w:t>
                  </w:r>
                  <w:r>
                    <w:rPr>
                      <w:rFonts w:hint="default" w:ascii="Times New Roman" w:hAnsi="Times New Roman" w:eastAsia="宋体" w:cs="Times New Roman"/>
                      <w:b w:val="0"/>
                      <w:bCs w:val="0"/>
                      <w:sz w:val="21"/>
                      <w:szCs w:val="21"/>
                      <w:highlight w:val="none"/>
                      <w:vertAlign w:val="baseline"/>
                      <w:lang w:val="en-US" w:eastAsia="zh-CN"/>
                    </w:rPr>
                    <w:t>7</w:t>
                  </w:r>
                  <w:r>
                    <w:rPr>
                      <w:rFonts w:hint="default" w:ascii="Times New Roman" w:hAnsi="Times New Roman" w:eastAsia="宋体" w:cs="Times New Roman"/>
                      <w:b w:val="0"/>
                      <w:bCs w:val="0"/>
                      <w:sz w:val="21"/>
                      <w:szCs w:val="21"/>
                      <w:highlight w:val="none"/>
                      <w:vertAlign w:val="baseline"/>
                    </w:rPr>
                    <w:t>日</w:t>
                  </w:r>
                </w:p>
              </w:tc>
            </w:tr>
            <w:tr w14:paraId="532B47A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8" w:hRule="atLeast"/>
                <w:jc w:val="center"/>
              </w:trPr>
              <w:tc>
                <w:tcPr>
                  <w:tcW w:w="899" w:type="dxa"/>
                  <w:vMerge w:val="restart"/>
                  <w:tcBorders>
                    <w:tl2br w:val="nil"/>
                    <w:tr2bl w:val="nil"/>
                  </w:tcBorders>
                  <w:vAlign w:val="center"/>
                </w:tcPr>
                <w:p w14:paraId="01D96C38">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G1，项目所在厂区下风向</w:t>
                  </w:r>
                </w:p>
              </w:tc>
              <w:tc>
                <w:tcPr>
                  <w:tcW w:w="899" w:type="dxa"/>
                  <w:tcBorders>
                    <w:tl2br w:val="nil"/>
                    <w:tr2bl w:val="nil"/>
                  </w:tcBorders>
                  <w:vAlign w:val="center"/>
                </w:tcPr>
                <w:p w14:paraId="2B0DAB42">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TSP</w:t>
                  </w:r>
                </w:p>
              </w:tc>
              <w:tc>
                <w:tcPr>
                  <w:tcW w:w="899" w:type="dxa"/>
                  <w:tcBorders>
                    <w:tl2br w:val="nil"/>
                    <w:tr2bl w:val="nil"/>
                  </w:tcBorders>
                  <w:vAlign w:val="center"/>
                </w:tcPr>
                <w:p w14:paraId="457A4B6D">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0.112</w:t>
                  </w:r>
                </w:p>
              </w:tc>
              <w:tc>
                <w:tcPr>
                  <w:tcW w:w="899" w:type="dxa"/>
                  <w:tcBorders>
                    <w:tl2br w:val="nil"/>
                    <w:tr2bl w:val="nil"/>
                  </w:tcBorders>
                  <w:vAlign w:val="center"/>
                </w:tcPr>
                <w:p w14:paraId="6913988E">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0.082</w:t>
                  </w:r>
                </w:p>
              </w:tc>
              <w:tc>
                <w:tcPr>
                  <w:tcW w:w="899" w:type="dxa"/>
                  <w:tcBorders>
                    <w:tl2br w:val="nil"/>
                    <w:tr2bl w:val="nil"/>
                  </w:tcBorders>
                  <w:vAlign w:val="center"/>
                </w:tcPr>
                <w:p w14:paraId="6F6798D7">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0.075</w:t>
                  </w:r>
                </w:p>
              </w:tc>
              <w:tc>
                <w:tcPr>
                  <w:tcW w:w="899" w:type="dxa"/>
                  <w:tcBorders>
                    <w:tl2br w:val="nil"/>
                    <w:tr2bl w:val="nil"/>
                  </w:tcBorders>
                  <w:vAlign w:val="center"/>
                </w:tcPr>
                <w:p w14:paraId="2A02FC0C">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0.062</w:t>
                  </w:r>
                </w:p>
              </w:tc>
              <w:tc>
                <w:tcPr>
                  <w:tcW w:w="900" w:type="dxa"/>
                  <w:tcBorders>
                    <w:tl2br w:val="nil"/>
                    <w:tr2bl w:val="nil"/>
                  </w:tcBorders>
                  <w:vAlign w:val="center"/>
                </w:tcPr>
                <w:p w14:paraId="38C24C15">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0.057</w:t>
                  </w:r>
                </w:p>
              </w:tc>
              <w:tc>
                <w:tcPr>
                  <w:tcW w:w="900" w:type="dxa"/>
                  <w:tcBorders>
                    <w:tl2br w:val="nil"/>
                    <w:tr2bl w:val="nil"/>
                  </w:tcBorders>
                  <w:vAlign w:val="center"/>
                </w:tcPr>
                <w:p w14:paraId="004A6114">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0.088</w:t>
                  </w:r>
                </w:p>
              </w:tc>
              <w:tc>
                <w:tcPr>
                  <w:tcW w:w="900" w:type="dxa"/>
                  <w:tcBorders>
                    <w:tl2br w:val="nil"/>
                    <w:tr2bl w:val="nil"/>
                  </w:tcBorders>
                  <w:vAlign w:val="center"/>
                </w:tcPr>
                <w:p w14:paraId="0E4306AA">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0.074</w:t>
                  </w:r>
                </w:p>
              </w:tc>
            </w:tr>
            <w:tr w14:paraId="32E6737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99" w:type="dxa"/>
                  <w:vMerge w:val="continue"/>
                  <w:tcBorders>
                    <w:tl2br w:val="nil"/>
                    <w:tr2bl w:val="nil"/>
                  </w:tcBorders>
                  <w:vAlign w:val="center"/>
                </w:tcPr>
                <w:p w14:paraId="78065235">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rPr>
                  </w:pPr>
                </w:p>
              </w:tc>
              <w:tc>
                <w:tcPr>
                  <w:tcW w:w="899" w:type="dxa"/>
                  <w:tcBorders>
                    <w:tl2br w:val="nil"/>
                    <w:tr2bl w:val="nil"/>
                  </w:tcBorders>
                  <w:vAlign w:val="center"/>
                </w:tcPr>
                <w:p w14:paraId="23E30891">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lang w:eastAsia="zh-CN"/>
                    </w:rPr>
                  </w:pPr>
                  <w:r>
                    <w:rPr>
                      <w:rFonts w:hint="default" w:ascii="Times New Roman" w:hAnsi="Times New Roman" w:eastAsia="宋体" w:cs="Times New Roman"/>
                      <w:b w:val="0"/>
                      <w:bCs w:val="0"/>
                      <w:sz w:val="21"/>
                      <w:szCs w:val="21"/>
                      <w:highlight w:val="none"/>
                      <w:vertAlign w:val="baseline"/>
                    </w:rPr>
                    <w:t>苯并[a]芘</w:t>
                  </w:r>
                  <w:r>
                    <w:rPr>
                      <w:rFonts w:hint="default" w:ascii="Times New Roman" w:hAnsi="Times New Roman" w:eastAsia="宋体" w:cs="Times New Roman"/>
                      <w:b w:val="0"/>
                      <w:bCs w:val="0"/>
                      <w:sz w:val="21"/>
                      <w:szCs w:val="21"/>
                      <w:highlight w:val="none"/>
                      <w:vertAlign w:val="baseline"/>
                      <w:lang w:eastAsia="zh-CN"/>
                    </w:rPr>
                    <w:t>（</w:t>
                  </w:r>
                  <w:r>
                    <w:rPr>
                      <w:rFonts w:hint="default" w:ascii="Times New Roman" w:hAnsi="Times New Roman" w:eastAsia="宋体" w:cs="Times New Roman"/>
                      <w:b w:val="0"/>
                      <w:bCs w:val="0"/>
                      <w:sz w:val="21"/>
                      <w:szCs w:val="21"/>
                      <w:highlight w:val="none"/>
                      <w:vertAlign w:val="baseline"/>
                      <w:lang w:val="en-US" w:eastAsia="zh-CN"/>
                    </w:rPr>
                    <w:t>ng/m</w:t>
                  </w:r>
                  <w:r>
                    <w:rPr>
                      <w:rFonts w:hint="default" w:ascii="Times New Roman" w:hAnsi="Times New Roman" w:eastAsia="宋体" w:cs="Times New Roman"/>
                      <w:b w:val="0"/>
                      <w:bCs w:val="0"/>
                      <w:sz w:val="21"/>
                      <w:szCs w:val="21"/>
                      <w:highlight w:val="none"/>
                      <w:vertAlign w:val="superscript"/>
                      <w:lang w:val="en-US" w:eastAsia="zh-CN"/>
                    </w:rPr>
                    <w:t>3</w:t>
                  </w:r>
                  <w:r>
                    <w:rPr>
                      <w:rFonts w:hint="default" w:ascii="Times New Roman" w:hAnsi="Times New Roman" w:eastAsia="宋体" w:cs="Times New Roman"/>
                      <w:b w:val="0"/>
                      <w:bCs w:val="0"/>
                      <w:sz w:val="21"/>
                      <w:szCs w:val="21"/>
                      <w:highlight w:val="none"/>
                      <w:vertAlign w:val="baseline"/>
                      <w:lang w:eastAsia="zh-CN"/>
                    </w:rPr>
                    <w:t>）</w:t>
                  </w:r>
                </w:p>
              </w:tc>
              <w:tc>
                <w:tcPr>
                  <w:tcW w:w="899" w:type="dxa"/>
                  <w:tcBorders>
                    <w:tl2br w:val="nil"/>
                    <w:tr2bl w:val="nil"/>
                  </w:tcBorders>
                  <w:vAlign w:val="center"/>
                </w:tcPr>
                <w:p w14:paraId="0FCD7E42">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0.3</w:t>
                  </w:r>
                </w:p>
              </w:tc>
              <w:tc>
                <w:tcPr>
                  <w:tcW w:w="899" w:type="dxa"/>
                  <w:tcBorders>
                    <w:tl2br w:val="nil"/>
                    <w:tr2bl w:val="nil"/>
                  </w:tcBorders>
                  <w:vAlign w:val="center"/>
                </w:tcPr>
                <w:p w14:paraId="344DA764">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0.5</w:t>
                  </w:r>
                </w:p>
              </w:tc>
              <w:tc>
                <w:tcPr>
                  <w:tcW w:w="899" w:type="dxa"/>
                  <w:tcBorders>
                    <w:tl2br w:val="nil"/>
                    <w:tr2bl w:val="nil"/>
                  </w:tcBorders>
                  <w:vAlign w:val="center"/>
                </w:tcPr>
                <w:p w14:paraId="769D3D6C">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0.2</w:t>
                  </w:r>
                </w:p>
              </w:tc>
              <w:tc>
                <w:tcPr>
                  <w:tcW w:w="899" w:type="dxa"/>
                  <w:tcBorders>
                    <w:tl2br w:val="nil"/>
                    <w:tr2bl w:val="nil"/>
                  </w:tcBorders>
                  <w:vAlign w:val="center"/>
                </w:tcPr>
                <w:p w14:paraId="33B650CB">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0.1</w:t>
                  </w:r>
                </w:p>
              </w:tc>
              <w:tc>
                <w:tcPr>
                  <w:tcW w:w="900" w:type="dxa"/>
                  <w:tcBorders>
                    <w:tl2br w:val="nil"/>
                    <w:tr2bl w:val="nil"/>
                  </w:tcBorders>
                  <w:vAlign w:val="center"/>
                </w:tcPr>
                <w:p w14:paraId="7951F1F0">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0.2</w:t>
                  </w:r>
                </w:p>
              </w:tc>
              <w:tc>
                <w:tcPr>
                  <w:tcW w:w="900" w:type="dxa"/>
                  <w:tcBorders>
                    <w:tl2br w:val="nil"/>
                    <w:tr2bl w:val="nil"/>
                  </w:tcBorders>
                  <w:vAlign w:val="center"/>
                </w:tcPr>
                <w:p w14:paraId="1DAFECB9">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0.2</w:t>
                  </w:r>
                </w:p>
              </w:tc>
              <w:tc>
                <w:tcPr>
                  <w:tcW w:w="900" w:type="dxa"/>
                  <w:tcBorders>
                    <w:tl2br w:val="nil"/>
                    <w:tr2bl w:val="nil"/>
                  </w:tcBorders>
                  <w:vAlign w:val="center"/>
                </w:tcPr>
                <w:p w14:paraId="151EA16B">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0.2</w:t>
                  </w:r>
                </w:p>
              </w:tc>
            </w:tr>
            <w:tr w14:paraId="5E1FF53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99" w:type="dxa"/>
                  <w:vMerge w:val="continue"/>
                  <w:tcBorders>
                    <w:tl2br w:val="nil"/>
                    <w:tr2bl w:val="nil"/>
                  </w:tcBorders>
                  <w:vAlign w:val="center"/>
                </w:tcPr>
                <w:p w14:paraId="59F2B86B">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rPr>
                  </w:pPr>
                </w:p>
              </w:tc>
              <w:tc>
                <w:tcPr>
                  <w:tcW w:w="899" w:type="dxa"/>
                  <w:tcBorders>
                    <w:tl2br w:val="nil"/>
                    <w:tr2bl w:val="nil"/>
                  </w:tcBorders>
                  <w:vAlign w:val="center"/>
                </w:tcPr>
                <w:p w14:paraId="3BD0EFFF">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z w:val="21"/>
                      <w:szCs w:val="21"/>
                      <w:highlight w:val="none"/>
                      <w:vertAlign w:val="baseline"/>
                    </w:rPr>
                    <w:t>NO</w:t>
                  </w:r>
                  <w:r>
                    <w:rPr>
                      <w:rFonts w:hint="default" w:ascii="Times New Roman" w:hAnsi="Times New Roman" w:eastAsia="宋体" w:cs="Times New Roman"/>
                      <w:b w:val="0"/>
                      <w:bCs w:val="0"/>
                      <w:sz w:val="21"/>
                      <w:szCs w:val="21"/>
                      <w:highlight w:val="none"/>
                      <w:vertAlign w:val="subscript"/>
                    </w:rPr>
                    <w:t>x</w:t>
                  </w:r>
                </w:p>
              </w:tc>
              <w:tc>
                <w:tcPr>
                  <w:tcW w:w="899" w:type="dxa"/>
                  <w:tcBorders>
                    <w:tl2br w:val="nil"/>
                    <w:tr2bl w:val="nil"/>
                  </w:tcBorders>
                  <w:vAlign w:val="center"/>
                </w:tcPr>
                <w:p w14:paraId="2A4C3CDF">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0.031</w:t>
                  </w:r>
                </w:p>
              </w:tc>
              <w:tc>
                <w:tcPr>
                  <w:tcW w:w="899" w:type="dxa"/>
                  <w:tcBorders>
                    <w:tl2br w:val="nil"/>
                    <w:tr2bl w:val="nil"/>
                  </w:tcBorders>
                  <w:vAlign w:val="center"/>
                </w:tcPr>
                <w:p w14:paraId="1EF7906A">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0.031</w:t>
                  </w:r>
                </w:p>
              </w:tc>
              <w:tc>
                <w:tcPr>
                  <w:tcW w:w="899" w:type="dxa"/>
                  <w:tcBorders>
                    <w:tl2br w:val="nil"/>
                    <w:tr2bl w:val="nil"/>
                  </w:tcBorders>
                  <w:vAlign w:val="center"/>
                </w:tcPr>
                <w:p w14:paraId="79DB32C1">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0.031</w:t>
                  </w:r>
                </w:p>
              </w:tc>
              <w:tc>
                <w:tcPr>
                  <w:tcW w:w="899" w:type="dxa"/>
                  <w:tcBorders>
                    <w:tl2br w:val="nil"/>
                    <w:tr2bl w:val="nil"/>
                  </w:tcBorders>
                  <w:vAlign w:val="center"/>
                </w:tcPr>
                <w:p w14:paraId="029FAAB6">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0.032</w:t>
                  </w:r>
                </w:p>
              </w:tc>
              <w:tc>
                <w:tcPr>
                  <w:tcW w:w="900" w:type="dxa"/>
                  <w:tcBorders>
                    <w:tl2br w:val="nil"/>
                    <w:tr2bl w:val="nil"/>
                  </w:tcBorders>
                  <w:vAlign w:val="center"/>
                </w:tcPr>
                <w:p w14:paraId="6480F56A">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0.031</w:t>
                  </w:r>
                </w:p>
              </w:tc>
              <w:tc>
                <w:tcPr>
                  <w:tcW w:w="900" w:type="dxa"/>
                  <w:tcBorders>
                    <w:tl2br w:val="nil"/>
                    <w:tr2bl w:val="nil"/>
                  </w:tcBorders>
                  <w:vAlign w:val="center"/>
                </w:tcPr>
                <w:p w14:paraId="4ECD180D">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0.032</w:t>
                  </w:r>
                </w:p>
              </w:tc>
              <w:tc>
                <w:tcPr>
                  <w:tcW w:w="900" w:type="dxa"/>
                  <w:tcBorders>
                    <w:tl2br w:val="nil"/>
                    <w:tr2bl w:val="nil"/>
                  </w:tcBorders>
                  <w:vAlign w:val="center"/>
                </w:tcPr>
                <w:p w14:paraId="42DF58CF">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0.033</w:t>
                  </w:r>
                </w:p>
              </w:tc>
            </w:tr>
          </w:tbl>
          <w:p w14:paraId="2CFABF85">
            <w:pPr>
              <w:wordWrap w:val="0"/>
              <w:spacing w:line="240" w:lineRule="auto"/>
              <w:ind w:left="21" w:leftChars="10" w:right="21" w:rightChars="10" w:firstLine="420" w:firstLineChars="200"/>
              <w:jc w:val="center"/>
              <w:rPr>
                <w:rFonts w:hint="eastAsia"/>
                <w:b w:val="0"/>
                <w:bCs w:val="0"/>
                <w:sz w:val="21"/>
                <w:szCs w:val="21"/>
                <w:highlight w:val="none"/>
              </w:rPr>
            </w:pPr>
          </w:p>
          <w:p w14:paraId="4D550D9F">
            <w:pPr>
              <w:numPr>
                <w:ilvl w:val="0"/>
                <w:numId w:val="5"/>
              </w:numPr>
              <w:wordWrap w:val="0"/>
              <w:ind w:left="21" w:leftChars="10" w:right="21" w:rightChars="10" w:firstLine="0"/>
              <w:jc w:val="center"/>
              <w:rPr>
                <w:rFonts w:hint="eastAsia" w:ascii="Times New Roman" w:hAnsi="Times New Roman" w:eastAsia="宋体" w:cs="Times New Roman"/>
                <w:b/>
                <w:bCs/>
                <w:szCs w:val="22"/>
                <w:highlight w:val="none"/>
                <w:lang w:val="en-US" w:eastAsia="zh-CN"/>
              </w:rPr>
            </w:pPr>
            <w:r>
              <w:rPr>
                <w:rFonts w:hint="eastAsia" w:ascii="Times New Roman" w:hAnsi="Times New Roman" w:eastAsia="宋体" w:cs="Times New Roman"/>
                <w:b/>
                <w:bCs/>
                <w:szCs w:val="22"/>
                <w:highlight w:val="none"/>
                <w:lang w:val="en-US" w:eastAsia="zh-CN"/>
              </w:rPr>
              <w:t>环境空气检测结果表</w:t>
            </w:r>
            <w:r>
              <w:rPr>
                <w:rFonts w:hint="eastAsia" w:cs="Times New Roman"/>
                <w:b/>
                <w:bCs/>
                <w:szCs w:val="22"/>
                <w:highlight w:val="none"/>
                <w:lang w:val="en-US" w:eastAsia="zh-CN"/>
              </w:rPr>
              <w:t>（小时均值）</w:t>
            </w:r>
            <w:r>
              <w:rPr>
                <w:rFonts w:hint="eastAsia" w:ascii="Times New Roman" w:hAnsi="Times New Roman" w:eastAsia="宋体" w:cs="Times New Roman"/>
                <w:b/>
                <w:bCs/>
                <w:szCs w:val="22"/>
                <w:highlight w:val="none"/>
                <w:lang w:val="en-US" w:eastAsia="zh-CN"/>
              </w:rPr>
              <w:t xml:space="preserve">     单位：mg/m</w:t>
            </w:r>
            <w:r>
              <w:rPr>
                <w:rFonts w:hint="eastAsia" w:ascii="Times New Roman" w:hAnsi="Times New Roman" w:eastAsia="宋体" w:cs="Times New Roman"/>
                <w:b/>
                <w:bCs/>
                <w:szCs w:val="22"/>
                <w:highlight w:val="none"/>
                <w:vertAlign w:val="superscript"/>
                <w:lang w:val="en-US" w:eastAsia="zh-CN"/>
              </w:rPr>
              <w:t>3</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228"/>
              <w:gridCol w:w="800"/>
              <w:gridCol w:w="1217"/>
              <w:gridCol w:w="1217"/>
              <w:gridCol w:w="1218"/>
              <w:gridCol w:w="1218"/>
              <w:gridCol w:w="1218"/>
            </w:tblGrid>
            <w:tr w14:paraId="410FF12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28" w:type="dxa"/>
                  <w:vMerge w:val="restart"/>
                  <w:tcBorders>
                    <w:tl2br w:val="nil"/>
                    <w:tr2bl w:val="nil"/>
                  </w:tcBorders>
                  <w:vAlign w:val="center"/>
                </w:tcPr>
                <w:p w14:paraId="4779C208">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检测点位</w:t>
                  </w:r>
                </w:p>
              </w:tc>
              <w:tc>
                <w:tcPr>
                  <w:tcW w:w="800" w:type="dxa"/>
                  <w:vMerge w:val="restart"/>
                  <w:tcBorders>
                    <w:tl2br w:val="nil"/>
                    <w:tr2bl w:val="nil"/>
                  </w:tcBorders>
                  <w:vAlign w:val="center"/>
                </w:tcPr>
                <w:p w14:paraId="7479B357">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检测项目</w:t>
                  </w:r>
                </w:p>
              </w:tc>
              <w:tc>
                <w:tcPr>
                  <w:tcW w:w="1217" w:type="dxa"/>
                  <w:vMerge w:val="restart"/>
                  <w:tcBorders>
                    <w:tl2br w:val="nil"/>
                    <w:tr2bl w:val="nil"/>
                  </w:tcBorders>
                  <w:vAlign w:val="center"/>
                </w:tcPr>
                <w:p w14:paraId="32A9D9A9">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采样日期（2025年）</w:t>
                  </w:r>
                </w:p>
              </w:tc>
              <w:tc>
                <w:tcPr>
                  <w:tcW w:w="4871" w:type="dxa"/>
                  <w:gridSpan w:val="4"/>
                  <w:tcBorders>
                    <w:tl2br w:val="nil"/>
                    <w:tr2bl w:val="nil"/>
                  </w:tcBorders>
                  <w:vAlign w:val="center"/>
                </w:tcPr>
                <w:p w14:paraId="7688C543">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检测结果</w:t>
                  </w:r>
                </w:p>
              </w:tc>
            </w:tr>
            <w:tr w14:paraId="1D37AE3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28" w:type="dxa"/>
                  <w:vMerge w:val="continue"/>
                  <w:tcBorders>
                    <w:tl2br w:val="nil"/>
                    <w:tr2bl w:val="nil"/>
                  </w:tcBorders>
                  <w:vAlign w:val="center"/>
                </w:tcPr>
                <w:p w14:paraId="21F91E54">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800" w:type="dxa"/>
                  <w:vMerge w:val="continue"/>
                  <w:tcBorders>
                    <w:tl2br w:val="nil"/>
                    <w:tr2bl w:val="nil"/>
                  </w:tcBorders>
                  <w:vAlign w:val="center"/>
                </w:tcPr>
                <w:p w14:paraId="6CF13839">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1217" w:type="dxa"/>
                  <w:vMerge w:val="continue"/>
                  <w:tcBorders>
                    <w:tl2br w:val="nil"/>
                    <w:tr2bl w:val="nil"/>
                  </w:tcBorders>
                  <w:vAlign w:val="center"/>
                </w:tcPr>
                <w:p w14:paraId="07C459EF">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1217" w:type="dxa"/>
                  <w:tcBorders>
                    <w:tl2br w:val="nil"/>
                    <w:tr2bl w:val="nil"/>
                  </w:tcBorders>
                  <w:vAlign w:val="center"/>
                </w:tcPr>
                <w:p w14:paraId="22A9B57F">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第1次</w:t>
                  </w:r>
                </w:p>
              </w:tc>
              <w:tc>
                <w:tcPr>
                  <w:tcW w:w="1218" w:type="dxa"/>
                  <w:tcBorders>
                    <w:tl2br w:val="nil"/>
                    <w:tr2bl w:val="nil"/>
                  </w:tcBorders>
                  <w:vAlign w:val="center"/>
                </w:tcPr>
                <w:p w14:paraId="5B7991FC">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第2次</w:t>
                  </w:r>
                </w:p>
              </w:tc>
              <w:tc>
                <w:tcPr>
                  <w:tcW w:w="1218" w:type="dxa"/>
                  <w:tcBorders>
                    <w:tl2br w:val="nil"/>
                    <w:tr2bl w:val="nil"/>
                  </w:tcBorders>
                  <w:vAlign w:val="center"/>
                </w:tcPr>
                <w:p w14:paraId="0006671C">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第3次</w:t>
                  </w:r>
                </w:p>
              </w:tc>
              <w:tc>
                <w:tcPr>
                  <w:tcW w:w="1218" w:type="dxa"/>
                  <w:tcBorders>
                    <w:tl2br w:val="nil"/>
                    <w:tr2bl w:val="nil"/>
                  </w:tcBorders>
                  <w:vAlign w:val="center"/>
                </w:tcPr>
                <w:p w14:paraId="006C1718">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第4次</w:t>
                  </w:r>
                </w:p>
              </w:tc>
            </w:tr>
            <w:tr w14:paraId="3591422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28" w:type="dxa"/>
                  <w:vMerge w:val="restart"/>
                  <w:tcBorders>
                    <w:tl2br w:val="nil"/>
                    <w:tr2bl w:val="nil"/>
                  </w:tcBorders>
                  <w:vAlign w:val="center"/>
                </w:tcPr>
                <w:p w14:paraId="1007DB4C">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G1，项目所在厂区下风向</w:t>
                  </w:r>
                </w:p>
              </w:tc>
              <w:tc>
                <w:tcPr>
                  <w:tcW w:w="800" w:type="dxa"/>
                  <w:vMerge w:val="restart"/>
                  <w:tcBorders>
                    <w:tl2br w:val="nil"/>
                    <w:tr2bl w:val="nil"/>
                  </w:tcBorders>
                  <w:vAlign w:val="center"/>
                </w:tcPr>
                <w:p w14:paraId="3690F001">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rPr>
                    <w:t>NO</w:t>
                  </w:r>
                  <w:r>
                    <w:rPr>
                      <w:rFonts w:hint="default" w:ascii="Times New Roman" w:hAnsi="Times New Roman" w:eastAsia="宋体" w:cs="Times New Roman"/>
                      <w:b w:val="0"/>
                      <w:bCs w:val="0"/>
                      <w:sz w:val="21"/>
                      <w:szCs w:val="21"/>
                      <w:highlight w:val="none"/>
                      <w:vertAlign w:val="subscript"/>
                    </w:rPr>
                    <w:t>x</w:t>
                  </w:r>
                </w:p>
              </w:tc>
              <w:tc>
                <w:tcPr>
                  <w:tcW w:w="1217" w:type="dxa"/>
                  <w:tcBorders>
                    <w:tl2br w:val="nil"/>
                    <w:tr2bl w:val="nil"/>
                  </w:tcBorders>
                  <w:vAlign w:val="center"/>
                </w:tcPr>
                <w:p w14:paraId="39E63DD5">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3月10日</w:t>
                  </w:r>
                </w:p>
              </w:tc>
              <w:tc>
                <w:tcPr>
                  <w:tcW w:w="1217" w:type="dxa"/>
                  <w:tcBorders>
                    <w:tl2br w:val="nil"/>
                    <w:tr2bl w:val="nil"/>
                  </w:tcBorders>
                  <w:vAlign w:val="center"/>
                </w:tcPr>
                <w:p w14:paraId="6EA19F13">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0.038</w:t>
                  </w:r>
                </w:p>
              </w:tc>
              <w:tc>
                <w:tcPr>
                  <w:tcW w:w="1218" w:type="dxa"/>
                  <w:tcBorders>
                    <w:tl2br w:val="nil"/>
                    <w:tr2bl w:val="nil"/>
                  </w:tcBorders>
                  <w:shd w:val="clear" w:color="auto" w:fill="auto"/>
                  <w:vAlign w:val="center"/>
                </w:tcPr>
                <w:p w14:paraId="0118B923">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0.057</w:t>
                  </w:r>
                </w:p>
              </w:tc>
              <w:tc>
                <w:tcPr>
                  <w:tcW w:w="1218" w:type="dxa"/>
                  <w:tcBorders>
                    <w:tl2br w:val="nil"/>
                    <w:tr2bl w:val="nil"/>
                  </w:tcBorders>
                  <w:shd w:val="clear" w:color="auto" w:fill="auto"/>
                  <w:vAlign w:val="center"/>
                </w:tcPr>
                <w:p w14:paraId="6BF1A2B0">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0.038</w:t>
                  </w:r>
                </w:p>
              </w:tc>
              <w:tc>
                <w:tcPr>
                  <w:tcW w:w="1218" w:type="dxa"/>
                  <w:tcBorders>
                    <w:tl2br w:val="nil"/>
                    <w:tr2bl w:val="nil"/>
                  </w:tcBorders>
                  <w:vAlign w:val="center"/>
                </w:tcPr>
                <w:p w14:paraId="713EE9B1">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0.040</w:t>
                  </w:r>
                </w:p>
              </w:tc>
            </w:tr>
            <w:tr w14:paraId="06BA9AC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28" w:type="dxa"/>
                  <w:vMerge w:val="continue"/>
                  <w:tcBorders>
                    <w:tl2br w:val="nil"/>
                    <w:tr2bl w:val="nil"/>
                  </w:tcBorders>
                  <w:vAlign w:val="center"/>
                </w:tcPr>
                <w:p w14:paraId="0C3DE665">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800" w:type="dxa"/>
                  <w:vMerge w:val="continue"/>
                  <w:tcBorders>
                    <w:tl2br w:val="nil"/>
                    <w:tr2bl w:val="nil"/>
                  </w:tcBorders>
                  <w:vAlign w:val="center"/>
                </w:tcPr>
                <w:p w14:paraId="5C9B29F0">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1217" w:type="dxa"/>
                  <w:tcBorders>
                    <w:tl2br w:val="nil"/>
                    <w:tr2bl w:val="nil"/>
                  </w:tcBorders>
                  <w:vAlign w:val="center"/>
                </w:tcPr>
                <w:p w14:paraId="06704CA5">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3月11日</w:t>
                  </w:r>
                </w:p>
              </w:tc>
              <w:tc>
                <w:tcPr>
                  <w:tcW w:w="1217" w:type="dxa"/>
                  <w:tcBorders>
                    <w:tl2br w:val="nil"/>
                    <w:tr2bl w:val="nil"/>
                  </w:tcBorders>
                  <w:vAlign w:val="center"/>
                </w:tcPr>
                <w:p w14:paraId="6DD6C8CD">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0.038</w:t>
                  </w:r>
                </w:p>
              </w:tc>
              <w:tc>
                <w:tcPr>
                  <w:tcW w:w="1218" w:type="dxa"/>
                  <w:tcBorders>
                    <w:tl2br w:val="nil"/>
                    <w:tr2bl w:val="nil"/>
                  </w:tcBorders>
                  <w:vAlign w:val="center"/>
                </w:tcPr>
                <w:p w14:paraId="4B0537D8">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0.038</w:t>
                  </w:r>
                </w:p>
              </w:tc>
              <w:tc>
                <w:tcPr>
                  <w:tcW w:w="1218" w:type="dxa"/>
                  <w:tcBorders>
                    <w:tl2br w:val="nil"/>
                    <w:tr2bl w:val="nil"/>
                  </w:tcBorders>
                  <w:vAlign w:val="center"/>
                </w:tcPr>
                <w:p w14:paraId="74E5A2C6">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0.036</w:t>
                  </w:r>
                </w:p>
              </w:tc>
              <w:tc>
                <w:tcPr>
                  <w:tcW w:w="1218" w:type="dxa"/>
                  <w:tcBorders>
                    <w:tl2br w:val="nil"/>
                    <w:tr2bl w:val="nil"/>
                  </w:tcBorders>
                  <w:vAlign w:val="center"/>
                </w:tcPr>
                <w:p w14:paraId="722FC087">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0.039</w:t>
                  </w:r>
                </w:p>
              </w:tc>
            </w:tr>
            <w:tr w14:paraId="7291158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28" w:type="dxa"/>
                  <w:vMerge w:val="continue"/>
                  <w:tcBorders>
                    <w:tl2br w:val="nil"/>
                    <w:tr2bl w:val="nil"/>
                  </w:tcBorders>
                  <w:vAlign w:val="center"/>
                </w:tcPr>
                <w:p w14:paraId="3DB21D21">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800" w:type="dxa"/>
                  <w:vMerge w:val="continue"/>
                  <w:tcBorders>
                    <w:tl2br w:val="nil"/>
                    <w:tr2bl w:val="nil"/>
                  </w:tcBorders>
                  <w:vAlign w:val="center"/>
                </w:tcPr>
                <w:p w14:paraId="0F74C7A7">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1217" w:type="dxa"/>
                  <w:tcBorders>
                    <w:tl2br w:val="nil"/>
                    <w:tr2bl w:val="nil"/>
                  </w:tcBorders>
                  <w:vAlign w:val="center"/>
                </w:tcPr>
                <w:p w14:paraId="71BBC25D">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3月12日</w:t>
                  </w:r>
                </w:p>
              </w:tc>
              <w:tc>
                <w:tcPr>
                  <w:tcW w:w="1217" w:type="dxa"/>
                  <w:tcBorders>
                    <w:tl2br w:val="nil"/>
                    <w:tr2bl w:val="nil"/>
                  </w:tcBorders>
                  <w:vAlign w:val="center"/>
                </w:tcPr>
                <w:p w14:paraId="436DC559">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0.037</w:t>
                  </w:r>
                </w:p>
              </w:tc>
              <w:tc>
                <w:tcPr>
                  <w:tcW w:w="1218" w:type="dxa"/>
                  <w:tcBorders>
                    <w:tl2br w:val="nil"/>
                    <w:tr2bl w:val="nil"/>
                  </w:tcBorders>
                  <w:vAlign w:val="center"/>
                </w:tcPr>
                <w:p w14:paraId="383926D9">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0.039</w:t>
                  </w:r>
                </w:p>
              </w:tc>
              <w:tc>
                <w:tcPr>
                  <w:tcW w:w="1218" w:type="dxa"/>
                  <w:tcBorders>
                    <w:tl2br w:val="nil"/>
                    <w:tr2bl w:val="nil"/>
                  </w:tcBorders>
                  <w:vAlign w:val="center"/>
                </w:tcPr>
                <w:p w14:paraId="457466A4">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0.035</w:t>
                  </w:r>
                </w:p>
              </w:tc>
              <w:tc>
                <w:tcPr>
                  <w:tcW w:w="1218" w:type="dxa"/>
                  <w:tcBorders>
                    <w:tl2br w:val="nil"/>
                    <w:tr2bl w:val="nil"/>
                  </w:tcBorders>
                  <w:vAlign w:val="center"/>
                </w:tcPr>
                <w:p w14:paraId="76CF057F">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0.038</w:t>
                  </w:r>
                </w:p>
              </w:tc>
            </w:tr>
            <w:tr w14:paraId="2FA4B9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28" w:type="dxa"/>
                  <w:vMerge w:val="continue"/>
                  <w:tcBorders>
                    <w:tl2br w:val="nil"/>
                    <w:tr2bl w:val="nil"/>
                  </w:tcBorders>
                  <w:vAlign w:val="center"/>
                </w:tcPr>
                <w:p w14:paraId="1F0F8D3C">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800" w:type="dxa"/>
                  <w:vMerge w:val="continue"/>
                  <w:tcBorders>
                    <w:tl2br w:val="nil"/>
                    <w:tr2bl w:val="nil"/>
                  </w:tcBorders>
                  <w:vAlign w:val="center"/>
                </w:tcPr>
                <w:p w14:paraId="31DB1E0A">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1217" w:type="dxa"/>
                  <w:tcBorders>
                    <w:tl2br w:val="nil"/>
                    <w:tr2bl w:val="nil"/>
                  </w:tcBorders>
                  <w:vAlign w:val="center"/>
                </w:tcPr>
                <w:p w14:paraId="5098A563">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3月13日</w:t>
                  </w:r>
                </w:p>
              </w:tc>
              <w:tc>
                <w:tcPr>
                  <w:tcW w:w="1217" w:type="dxa"/>
                  <w:tcBorders>
                    <w:tl2br w:val="nil"/>
                    <w:tr2bl w:val="nil"/>
                  </w:tcBorders>
                  <w:vAlign w:val="center"/>
                </w:tcPr>
                <w:p w14:paraId="7BFA5E3E">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0.039</w:t>
                  </w:r>
                </w:p>
              </w:tc>
              <w:tc>
                <w:tcPr>
                  <w:tcW w:w="1218" w:type="dxa"/>
                  <w:tcBorders>
                    <w:tl2br w:val="nil"/>
                    <w:tr2bl w:val="nil"/>
                  </w:tcBorders>
                  <w:shd w:val="clear" w:color="auto" w:fill="auto"/>
                  <w:vAlign w:val="center"/>
                </w:tcPr>
                <w:p w14:paraId="6255442A">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0.037</w:t>
                  </w:r>
                </w:p>
              </w:tc>
              <w:tc>
                <w:tcPr>
                  <w:tcW w:w="1218" w:type="dxa"/>
                  <w:tcBorders>
                    <w:tl2br w:val="nil"/>
                    <w:tr2bl w:val="nil"/>
                  </w:tcBorders>
                  <w:shd w:val="clear" w:color="auto" w:fill="auto"/>
                  <w:vAlign w:val="center"/>
                </w:tcPr>
                <w:p w14:paraId="751B7A5D">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0.038</w:t>
                  </w:r>
                </w:p>
              </w:tc>
              <w:tc>
                <w:tcPr>
                  <w:tcW w:w="1218" w:type="dxa"/>
                  <w:tcBorders>
                    <w:tl2br w:val="nil"/>
                    <w:tr2bl w:val="nil"/>
                  </w:tcBorders>
                  <w:shd w:val="clear" w:color="auto" w:fill="auto"/>
                  <w:vAlign w:val="center"/>
                </w:tcPr>
                <w:p w14:paraId="5C6FE9D6">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0.037</w:t>
                  </w:r>
                </w:p>
              </w:tc>
            </w:tr>
            <w:tr w14:paraId="3D5AC5C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28" w:type="dxa"/>
                  <w:vMerge w:val="continue"/>
                  <w:tcBorders>
                    <w:tl2br w:val="nil"/>
                    <w:tr2bl w:val="nil"/>
                  </w:tcBorders>
                  <w:vAlign w:val="center"/>
                </w:tcPr>
                <w:p w14:paraId="27DDB29B">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800" w:type="dxa"/>
                  <w:vMerge w:val="continue"/>
                  <w:tcBorders>
                    <w:tl2br w:val="nil"/>
                    <w:tr2bl w:val="nil"/>
                  </w:tcBorders>
                  <w:vAlign w:val="center"/>
                </w:tcPr>
                <w:p w14:paraId="3512FCC4">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1217" w:type="dxa"/>
                  <w:tcBorders>
                    <w:tl2br w:val="nil"/>
                    <w:tr2bl w:val="nil"/>
                  </w:tcBorders>
                  <w:vAlign w:val="center"/>
                </w:tcPr>
                <w:p w14:paraId="41255A57">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3月14日</w:t>
                  </w:r>
                </w:p>
              </w:tc>
              <w:tc>
                <w:tcPr>
                  <w:tcW w:w="1217" w:type="dxa"/>
                  <w:tcBorders>
                    <w:tl2br w:val="nil"/>
                    <w:tr2bl w:val="nil"/>
                  </w:tcBorders>
                  <w:vAlign w:val="center"/>
                </w:tcPr>
                <w:p w14:paraId="6B91DD5C">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0.038</w:t>
                  </w:r>
                </w:p>
              </w:tc>
              <w:tc>
                <w:tcPr>
                  <w:tcW w:w="1218" w:type="dxa"/>
                  <w:tcBorders>
                    <w:tl2br w:val="nil"/>
                    <w:tr2bl w:val="nil"/>
                  </w:tcBorders>
                  <w:vAlign w:val="center"/>
                </w:tcPr>
                <w:p w14:paraId="302C7FC8">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0.036</w:t>
                  </w:r>
                </w:p>
              </w:tc>
              <w:tc>
                <w:tcPr>
                  <w:tcW w:w="1218" w:type="dxa"/>
                  <w:tcBorders>
                    <w:tl2br w:val="nil"/>
                    <w:tr2bl w:val="nil"/>
                  </w:tcBorders>
                  <w:vAlign w:val="center"/>
                </w:tcPr>
                <w:p w14:paraId="25659216">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0.037</w:t>
                  </w:r>
                </w:p>
              </w:tc>
              <w:tc>
                <w:tcPr>
                  <w:tcW w:w="1218" w:type="dxa"/>
                  <w:tcBorders>
                    <w:tl2br w:val="nil"/>
                    <w:tr2bl w:val="nil"/>
                  </w:tcBorders>
                  <w:vAlign w:val="center"/>
                </w:tcPr>
                <w:p w14:paraId="62DB2A27">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0.037</w:t>
                  </w:r>
                </w:p>
              </w:tc>
            </w:tr>
            <w:tr w14:paraId="552CA54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28" w:type="dxa"/>
                  <w:vMerge w:val="continue"/>
                  <w:tcBorders>
                    <w:tl2br w:val="nil"/>
                    <w:tr2bl w:val="nil"/>
                  </w:tcBorders>
                  <w:vAlign w:val="center"/>
                </w:tcPr>
                <w:p w14:paraId="46A0DD0E">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800" w:type="dxa"/>
                  <w:vMerge w:val="continue"/>
                  <w:tcBorders>
                    <w:tl2br w:val="nil"/>
                    <w:tr2bl w:val="nil"/>
                  </w:tcBorders>
                  <w:vAlign w:val="center"/>
                </w:tcPr>
                <w:p w14:paraId="19B7F569">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1217" w:type="dxa"/>
                  <w:tcBorders>
                    <w:tl2br w:val="nil"/>
                    <w:tr2bl w:val="nil"/>
                  </w:tcBorders>
                  <w:vAlign w:val="center"/>
                </w:tcPr>
                <w:p w14:paraId="0167D10F">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3月15日</w:t>
                  </w:r>
                </w:p>
              </w:tc>
              <w:tc>
                <w:tcPr>
                  <w:tcW w:w="1217" w:type="dxa"/>
                  <w:tcBorders>
                    <w:tl2br w:val="nil"/>
                    <w:tr2bl w:val="nil"/>
                  </w:tcBorders>
                  <w:vAlign w:val="center"/>
                </w:tcPr>
                <w:p w14:paraId="0EC3F3FD">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0.039</w:t>
                  </w:r>
                </w:p>
              </w:tc>
              <w:tc>
                <w:tcPr>
                  <w:tcW w:w="1218" w:type="dxa"/>
                  <w:tcBorders>
                    <w:tl2br w:val="nil"/>
                    <w:tr2bl w:val="nil"/>
                  </w:tcBorders>
                  <w:vAlign w:val="center"/>
                </w:tcPr>
                <w:p w14:paraId="5337E05B">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0.037</w:t>
                  </w:r>
                </w:p>
              </w:tc>
              <w:tc>
                <w:tcPr>
                  <w:tcW w:w="1218" w:type="dxa"/>
                  <w:tcBorders>
                    <w:tl2br w:val="nil"/>
                    <w:tr2bl w:val="nil"/>
                  </w:tcBorders>
                  <w:vAlign w:val="center"/>
                </w:tcPr>
                <w:p w14:paraId="63D8FE88">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0.038</w:t>
                  </w:r>
                </w:p>
              </w:tc>
              <w:tc>
                <w:tcPr>
                  <w:tcW w:w="1218" w:type="dxa"/>
                  <w:tcBorders>
                    <w:tl2br w:val="nil"/>
                    <w:tr2bl w:val="nil"/>
                  </w:tcBorders>
                  <w:vAlign w:val="center"/>
                </w:tcPr>
                <w:p w14:paraId="165E609B">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0.036</w:t>
                  </w:r>
                </w:p>
              </w:tc>
            </w:tr>
            <w:tr w14:paraId="50A3DC8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28" w:type="dxa"/>
                  <w:vMerge w:val="continue"/>
                  <w:tcBorders>
                    <w:tl2br w:val="nil"/>
                    <w:tr2bl w:val="nil"/>
                  </w:tcBorders>
                  <w:vAlign w:val="center"/>
                </w:tcPr>
                <w:p w14:paraId="28B21E8C">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800" w:type="dxa"/>
                  <w:vMerge w:val="continue"/>
                  <w:tcBorders>
                    <w:tl2br w:val="nil"/>
                    <w:tr2bl w:val="nil"/>
                  </w:tcBorders>
                  <w:vAlign w:val="center"/>
                </w:tcPr>
                <w:p w14:paraId="1BE6A8F7">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1217" w:type="dxa"/>
                  <w:tcBorders>
                    <w:tl2br w:val="nil"/>
                    <w:tr2bl w:val="nil"/>
                  </w:tcBorders>
                  <w:vAlign w:val="center"/>
                </w:tcPr>
                <w:p w14:paraId="78526594">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3月16日</w:t>
                  </w:r>
                </w:p>
              </w:tc>
              <w:tc>
                <w:tcPr>
                  <w:tcW w:w="1217" w:type="dxa"/>
                  <w:tcBorders>
                    <w:tl2br w:val="nil"/>
                    <w:tr2bl w:val="nil"/>
                  </w:tcBorders>
                  <w:vAlign w:val="center"/>
                </w:tcPr>
                <w:p w14:paraId="7A28CC07">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0.037</w:t>
                  </w:r>
                </w:p>
              </w:tc>
              <w:tc>
                <w:tcPr>
                  <w:tcW w:w="1218" w:type="dxa"/>
                  <w:tcBorders>
                    <w:tl2br w:val="nil"/>
                    <w:tr2bl w:val="nil"/>
                  </w:tcBorders>
                  <w:vAlign w:val="center"/>
                </w:tcPr>
                <w:p w14:paraId="2C9448BE">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0.037</w:t>
                  </w:r>
                </w:p>
              </w:tc>
              <w:tc>
                <w:tcPr>
                  <w:tcW w:w="1218" w:type="dxa"/>
                  <w:tcBorders>
                    <w:tl2br w:val="nil"/>
                    <w:tr2bl w:val="nil"/>
                  </w:tcBorders>
                  <w:vAlign w:val="center"/>
                </w:tcPr>
                <w:p w14:paraId="2C5B995F">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0.037</w:t>
                  </w:r>
                </w:p>
              </w:tc>
              <w:tc>
                <w:tcPr>
                  <w:tcW w:w="1218" w:type="dxa"/>
                  <w:tcBorders>
                    <w:tl2br w:val="nil"/>
                    <w:tr2bl w:val="nil"/>
                  </w:tcBorders>
                  <w:vAlign w:val="center"/>
                </w:tcPr>
                <w:p w14:paraId="3B2DAEA5">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0.037</w:t>
                  </w:r>
                </w:p>
              </w:tc>
            </w:tr>
          </w:tbl>
          <w:p w14:paraId="4FDA6733">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420" w:firstLineChars="200"/>
              <w:jc w:val="center"/>
              <w:textAlignment w:val="auto"/>
              <w:rPr>
                <w:rFonts w:hint="eastAsia"/>
                <w:sz w:val="21"/>
                <w:szCs w:val="21"/>
                <w:highlight w:val="none"/>
                <w:lang w:val="en-US" w:eastAsia="zh-CN"/>
              </w:rPr>
            </w:pPr>
          </w:p>
          <w:p w14:paraId="04AE5AEB">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480" w:firstLineChars="200"/>
              <w:jc w:val="both"/>
              <w:textAlignment w:val="auto"/>
              <w:rPr>
                <w:rFonts w:hint="eastAsia"/>
                <w:sz w:val="24"/>
                <w:highlight w:val="none"/>
                <w:lang w:val="en-US" w:eastAsia="zh-CN"/>
              </w:rPr>
            </w:pPr>
            <w:r>
              <w:rPr>
                <w:rFonts w:hint="eastAsia"/>
                <w:sz w:val="24"/>
                <w:highlight w:val="none"/>
                <w:lang w:val="en-US" w:eastAsia="zh-CN"/>
              </w:rPr>
              <w:t>5）现状评价方法</w:t>
            </w:r>
          </w:p>
          <w:p w14:paraId="54F1E048">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480" w:firstLineChars="200"/>
              <w:jc w:val="both"/>
              <w:textAlignment w:val="auto"/>
              <w:rPr>
                <w:rFonts w:hint="eastAsia"/>
                <w:sz w:val="24"/>
                <w:highlight w:val="none"/>
                <w:lang w:val="en-US" w:eastAsia="zh-CN"/>
              </w:rPr>
            </w:pPr>
            <w:r>
              <w:rPr>
                <w:rFonts w:hint="eastAsia"/>
                <w:sz w:val="24"/>
                <w:highlight w:val="none"/>
                <w:lang w:val="en-US" w:eastAsia="zh-CN"/>
              </w:rPr>
              <w:t>采用最大浓度占标率法，公式为：</w:t>
            </w:r>
          </w:p>
          <w:p w14:paraId="72158357">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sz w:val="24"/>
                <w:highlight w:val="none"/>
                <w:lang w:val="en-US" w:eastAsia="zh-CN"/>
              </w:rPr>
            </w:pPr>
            <w:r>
              <w:rPr>
                <w:rFonts w:hint="eastAsia"/>
                <w:sz w:val="24"/>
                <w:highlight w:val="none"/>
                <w:lang w:val="en-US" w:eastAsia="zh-CN"/>
              </w:rPr>
              <w:drawing>
                <wp:inline distT="0" distB="0" distL="114300" distR="114300">
                  <wp:extent cx="1736090" cy="309245"/>
                  <wp:effectExtent l="0" t="0" r="16510" b="14605"/>
                  <wp:docPr id="142" name="图片 142" descr="QQ20250314-17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QQ20250314-171209"/>
                          <pic:cNvPicPr>
                            <a:picLocks noChangeAspect="1"/>
                          </pic:cNvPicPr>
                        </pic:nvPicPr>
                        <pic:blipFill>
                          <a:blip r:embed="rId15"/>
                          <a:stretch>
                            <a:fillRect/>
                          </a:stretch>
                        </pic:blipFill>
                        <pic:spPr>
                          <a:xfrm>
                            <a:off x="0" y="0"/>
                            <a:ext cx="1736090" cy="309245"/>
                          </a:xfrm>
                          <a:prstGeom prst="rect">
                            <a:avLst/>
                          </a:prstGeom>
                        </pic:spPr>
                      </pic:pic>
                    </a:graphicData>
                  </a:graphic>
                </wp:inline>
              </w:drawing>
            </w:r>
          </w:p>
          <w:p w14:paraId="53FEBE1C">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480" w:firstLineChars="200"/>
              <w:jc w:val="both"/>
              <w:textAlignment w:val="auto"/>
              <w:rPr>
                <w:rFonts w:hint="eastAsia"/>
                <w:sz w:val="24"/>
                <w:highlight w:val="none"/>
                <w:lang w:val="en-US" w:eastAsia="zh-CN"/>
              </w:rPr>
            </w:pPr>
            <w:r>
              <w:rPr>
                <w:rFonts w:hint="eastAsia"/>
                <w:sz w:val="24"/>
                <w:highlight w:val="none"/>
                <w:lang w:val="en-US" w:eastAsia="zh-CN"/>
              </w:rPr>
              <w:t>式中：P</w:t>
            </w:r>
            <w:r>
              <w:rPr>
                <w:rFonts w:hint="eastAsia"/>
                <w:sz w:val="24"/>
                <w:highlight w:val="none"/>
                <w:vertAlign w:val="subscript"/>
                <w:lang w:val="en-US" w:eastAsia="zh-CN"/>
              </w:rPr>
              <w:t>i</w:t>
            </w:r>
            <w:r>
              <w:rPr>
                <w:rFonts w:hint="eastAsia"/>
                <w:sz w:val="24"/>
                <w:highlight w:val="none"/>
                <w:lang w:val="en-US" w:eastAsia="zh-CN"/>
              </w:rPr>
              <w:t>——第i个污染物的最大地面空气浓度占标率；%</w:t>
            </w:r>
          </w:p>
          <w:p w14:paraId="357CD6BC">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1200" w:firstLineChars="500"/>
              <w:jc w:val="both"/>
              <w:textAlignment w:val="auto"/>
              <w:rPr>
                <w:rFonts w:hint="eastAsia"/>
                <w:sz w:val="24"/>
                <w:highlight w:val="none"/>
                <w:lang w:val="en-US" w:eastAsia="zh-CN"/>
              </w:rPr>
            </w:pPr>
            <w:r>
              <w:rPr>
                <w:rFonts w:hint="eastAsia"/>
                <w:sz w:val="24"/>
                <w:highlight w:val="none"/>
                <w:lang w:val="en-US" w:eastAsia="zh-CN"/>
              </w:rPr>
              <w:t>C</w:t>
            </w:r>
            <w:r>
              <w:rPr>
                <w:rFonts w:hint="eastAsia"/>
                <w:sz w:val="24"/>
                <w:highlight w:val="none"/>
                <w:vertAlign w:val="subscript"/>
                <w:lang w:val="en-US" w:eastAsia="zh-CN"/>
              </w:rPr>
              <w:t>i</w:t>
            </w:r>
            <w:r>
              <w:rPr>
                <w:rFonts w:hint="eastAsia"/>
                <w:sz w:val="24"/>
                <w:highlight w:val="none"/>
                <w:lang w:val="en-US" w:eastAsia="zh-CN"/>
              </w:rPr>
              <w:t>——第i个污染物实测浓度值，mg/m</w:t>
            </w:r>
            <w:r>
              <w:rPr>
                <w:rFonts w:hint="eastAsia"/>
                <w:sz w:val="24"/>
                <w:highlight w:val="none"/>
                <w:vertAlign w:val="superscript"/>
                <w:lang w:val="en-US" w:eastAsia="zh-CN"/>
              </w:rPr>
              <w:t>3</w:t>
            </w:r>
            <w:r>
              <w:rPr>
                <w:rFonts w:hint="eastAsia"/>
                <w:sz w:val="24"/>
                <w:highlight w:val="none"/>
                <w:lang w:val="en-US" w:eastAsia="zh-CN"/>
              </w:rPr>
              <w:t>；</w:t>
            </w:r>
          </w:p>
          <w:p w14:paraId="263E7BEC">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1200" w:firstLineChars="500"/>
              <w:jc w:val="both"/>
              <w:textAlignment w:val="auto"/>
              <w:rPr>
                <w:rFonts w:hint="eastAsia"/>
                <w:sz w:val="24"/>
                <w:highlight w:val="none"/>
                <w:lang w:val="en-US" w:eastAsia="zh-CN"/>
              </w:rPr>
            </w:pPr>
            <w:r>
              <w:rPr>
                <w:rFonts w:hint="eastAsia"/>
                <w:sz w:val="24"/>
                <w:highlight w:val="none"/>
                <w:lang w:val="en-US" w:eastAsia="zh-CN"/>
              </w:rPr>
              <w:t>S</w:t>
            </w:r>
            <w:r>
              <w:rPr>
                <w:rFonts w:hint="eastAsia"/>
                <w:sz w:val="24"/>
                <w:highlight w:val="none"/>
                <w:vertAlign w:val="subscript"/>
                <w:lang w:val="en-US" w:eastAsia="zh-CN"/>
              </w:rPr>
              <w:t>i</w:t>
            </w:r>
            <w:r>
              <w:rPr>
                <w:rFonts w:hint="eastAsia"/>
                <w:sz w:val="24"/>
                <w:highlight w:val="none"/>
                <w:lang w:val="en-US" w:eastAsia="zh-CN"/>
              </w:rPr>
              <w:t>——第i个污染物评价标准限值，mg/m</w:t>
            </w:r>
            <w:r>
              <w:rPr>
                <w:rFonts w:hint="eastAsia"/>
                <w:sz w:val="24"/>
                <w:highlight w:val="none"/>
                <w:vertAlign w:val="superscript"/>
                <w:lang w:val="en-US" w:eastAsia="zh-CN"/>
              </w:rPr>
              <w:t>3</w:t>
            </w:r>
            <w:r>
              <w:rPr>
                <w:rFonts w:hint="eastAsia"/>
                <w:sz w:val="24"/>
                <w:highlight w:val="none"/>
                <w:lang w:val="en-US" w:eastAsia="zh-CN"/>
              </w:rPr>
              <w:t>。</w:t>
            </w:r>
          </w:p>
          <w:p w14:paraId="434DD02F">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480" w:firstLineChars="200"/>
              <w:jc w:val="both"/>
              <w:textAlignment w:val="auto"/>
              <w:rPr>
                <w:rFonts w:hint="default"/>
                <w:sz w:val="24"/>
                <w:highlight w:val="none"/>
                <w:lang w:val="en-US" w:eastAsia="zh-CN"/>
              </w:rPr>
            </w:pPr>
            <w:r>
              <w:rPr>
                <w:rFonts w:hint="eastAsia"/>
                <w:sz w:val="24"/>
                <w:highlight w:val="none"/>
                <w:lang w:val="en-US" w:eastAsia="zh-CN"/>
              </w:rPr>
              <w:t>当P</w:t>
            </w:r>
            <w:r>
              <w:rPr>
                <w:rFonts w:hint="eastAsia"/>
                <w:sz w:val="24"/>
                <w:highlight w:val="none"/>
                <w:vertAlign w:val="subscript"/>
                <w:lang w:val="en-US" w:eastAsia="zh-CN"/>
              </w:rPr>
              <w:t>i</w:t>
            </w:r>
            <w:r>
              <w:rPr>
                <w:rFonts w:hint="eastAsia"/>
                <w:sz w:val="24"/>
                <w:highlight w:val="none"/>
                <w:lang w:val="en-US" w:eastAsia="zh-CN"/>
              </w:rPr>
              <w:t>值大于1.0时，表明大气环境已受到该项评价因子所表征的污染物的污染。P</w:t>
            </w:r>
            <w:r>
              <w:rPr>
                <w:rFonts w:hint="eastAsia"/>
                <w:sz w:val="24"/>
                <w:highlight w:val="none"/>
                <w:vertAlign w:val="subscript"/>
                <w:lang w:val="en-US" w:eastAsia="zh-CN"/>
              </w:rPr>
              <w:t>i</w:t>
            </w:r>
            <w:r>
              <w:rPr>
                <w:rFonts w:hint="eastAsia"/>
                <w:sz w:val="24"/>
                <w:highlight w:val="none"/>
                <w:lang w:val="en-US" w:eastAsia="zh-CN"/>
              </w:rPr>
              <w:t>值越大，受污染程度越重；P</w:t>
            </w:r>
            <w:r>
              <w:rPr>
                <w:rFonts w:hint="eastAsia"/>
                <w:sz w:val="24"/>
                <w:highlight w:val="none"/>
                <w:vertAlign w:val="subscript"/>
                <w:lang w:val="en-US" w:eastAsia="zh-CN"/>
              </w:rPr>
              <w:t>i</w:t>
            </w:r>
            <w:r>
              <w:rPr>
                <w:rFonts w:hint="eastAsia"/>
                <w:sz w:val="24"/>
                <w:highlight w:val="none"/>
                <w:lang w:val="en-US" w:eastAsia="zh-CN"/>
              </w:rPr>
              <w:t>值越小，受污染程度越轻。</w:t>
            </w:r>
          </w:p>
          <w:p w14:paraId="451A9A28">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480" w:firstLineChars="200"/>
              <w:jc w:val="both"/>
              <w:textAlignment w:val="auto"/>
              <w:rPr>
                <w:rFonts w:hint="eastAsia" w:eastAsia="宋体"/>
                <w:sz w:val="24"/>
                <w:highlight w:val="none"/>
                <w:lang w:eastAsia="zh-CN"/>
              </w:rPr>
            </w:pPr>
            <w:r>
              <w:rPr>
                <w:rFonts w:hint="eastAsia"/>
                <w:sz w:val="24"/>
                <w:highlight w:val="none"/>
                <w:lang w:val="en-US" w:eastAsia="zh-CN"/>
              </w:rPr>
              <w:t>6）</w:t>
            </w:r>
            <w:r>
              <w:rPr>
                <w:rFonts w:hint="eastAsia"/>
                <w:sz w:val="24"/>
                <w:highlight w:val="none"/>
              </w:rPr>
              <w:t>现状评价结果</w:t>
            </w:r>
          </w:p>
          <w:p w14:paraId="049CB501">
            <w:pPr>
              <w:numPr>
                <w:ilvl w:val="0"/>
                <w:numId w:val="5"/>
              </w:numPr>
              <w:wordWrap w:val="0"/>
              <w:ind w:left="21" w:leftChars="10" w:right="21" w:rightChars="10" w:firstLine="0"/>
              <w:jc w:val="center"/>
              <w:rPr>
                <w:rFonts w:hint="eastAsia" w:ascii="Times New Roman" w:hAnsi="Times New Roman" w:eastAsia="宋体" w:cs="Times New Roman"/>
                <w:b/>
                <w:bCs/>
                <w:szCs w:val="22"/>
                <w:highlight w:val="none"/>
                <w:lang w:val="en-US" w:eastAsia="zh-CN"/>
              </w:rPr>
            </w:pPr>
            <w:r>
              <w:rPr>
                <w:rFonts w:hint="eastAsia" w:ascii="Times New Roman" w:hAnsi="Times New Roman" w:eastAsia="宋体" w:cs="Times New Roman"/>
                <w:b/>
                <w:bCs/>
                <w:szCs w:val="22"/>
                <w:highlight w:val="none"/>
                <w:lang w:val="en-US" w:eastAsia="zh-CN"/>
              </w:rPr>
              <w:t>质量现状评价结果</w:t>
            </w:r>
          </w:p>
          <w:tbl>
            <w:tblPr>
              <w:tblStyle w:val="27"/>
              <w:tblW w:w="8175"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36"/>
              <w:gridCol w:w="900"/>
              <w:gridCol w:w="1850"/>
              <w:gridCol w:w="1640"/>
              <w:gridCol w:w="1086"/>
              <w:gridCol w:w="1363"/>
            </w:tblGrid>
            <w:tr w14:paraId="47CF58A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336" w:type="dxa"/>
                  <w:tcBorders>
                    <w:tl2br w:val="nil"/>
                    <w:tr2bl w:val="nil"/>
                  </w:tcBorders>
                  <w:noWrap w:val="0"/>
                  <w:vAlign w:val="center"/>
                </w:tcPr>
                <w:p w14:paraId="571DA9D1">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sz w:val="21"/>
                      <w:szCs w:val="21"/>
                      <w:highlight w:val="none"/>
                      <w:vertAlign w:val="baseline"/>
                    </w:rPr>
                    <w:t>采样点</w:t>
                  </w:r>
                </w:p>
              </w:tc>
              <w:tc>
                <w:tcPr>
                  <w:tcW w:w="900" w:type="dxa"/>
                  <w:tcBorders>
                    <w:tl2br w:val="nil"/>
                    <w:tr2bl w:val="nil"/>
                  </w:tcBorders>
                  <w:noWrap w:val="0"/>
                  <w:vAlign w:val="center"/>
                </w:tcPr>
                <w:p w14:paraId="4CF34D6E">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sz w:val="21"/>
                      <w:szCs w:val="21"/>
                      <w:highlight w:val="none"/>
                      <w:vertAlign w:val="baseline"/>
                    </w:rPr>
                    <w:t>名称</w:t>
                  </w:r>
                </w:p>
              </w:tc>
              <w:tc>
                <w:tcPr>
                  <w:tcW w:w="1850" w:type="dxa"/>
                  <w:tcBorders>
                    <w:tl2br w:val="nil"/>
                    <w:tr2bl w:val="nil"/>
                  </w:tcBorders>
                  <w:noWrap w:val="0"/>
                  <w:vAlign w:val="center"/>
                </w:tcPr>
                <w:p w14:paraId="52178C7D">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sz w:val="21"/>
                      <w:szCs w:val="21"/>
                      <w:highlight w:val="none"/>
                      <w:vertAlign w:val="baseline"/>
                    </w:rPr>
                    <w:t>监测浓度最大值（mg/m</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sz w:val="21"/>
                      <w:szCs w:val="21"/>
                      <w:highlight w:val="none"/>
                      <w:vertAlign w:val="baseline"/>
                    </w:rPr>
                    <w:t>）</w:t>
                  </w:r>
                </w:p>
              </w:tc>
              <w:tc>
                <w:tcPr>
                  <w:tcW w:w="1640" w:type="dxa"/>
                  <w:tcBorders>
                    <w:tl2br w:val="nil"/>
                    <w:tr2bl w:val="nil"/>
                  </w:tcBorders>
                  <w:noWrap w:val="0"/>
                  <w:vAlign w:val="center"/>
                </w:tcPr>
                <w:p w14:paraId="65403FA4">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sz w:val="21"/>
                      <w:szCs w:val="21"/>
                      <w:highlight w:val="none"/>
                      <w:vertAlign w:val="baseline"/>
                    </w:rPr>
                    <w:t>参考浓度限值（mg/m</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sz w:val="21"/>
                      <w:szCs w:val="21"/>
                      <w:highlight w:val="none"/>
                      <w:vertAlign w:val="baseline"/>
                    </w:rPr>
                    <w:t>）</w:t>
                  </w:r>
                </w:p>
              </w:tc>
              <w:tc>
                <w:tcPr>
                  <w:tcW w:w="1086" w:type="dxa"/>
                  <w:tcBorders>
                    <w:tl2br w:val="nil"/>
                    <w:tr2bl w:val="nil"/>
                  </w:tcBorders>
                  <w:noWrap w:val="0"/>
                  <w:vAlign w:val="center"/>
                </w:tcPr>
                <w:p w14:paraId="239A0D32">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sz w:val="21"/>
                      <w:szCs w:val="21"/>
                      <w:highlight w:val="none"/>
                      <w:vertAlign w:val="baseline"/>
                    </w:rPr>
                    <w:t>超标率</w:t>
                  </w:r>
                </w:p>
              </w:tc>
              <w:tc>
                <w:tcPr>
                  <w:tcW w:w="1363" w:type="dxa"/>
                  <w:tcBorders>
                    <w:tl2br w:val="nil"/>
                    <w:tr2bl w:val="nil"/>
                  </w:tcBorders>
                  <w:noWrap w:val="0"/>
                  <w:vAlign w:val="center"/>
                </w:tcPr>
                <w:p w14:paraId="76FEDB9A">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sz w:val="21"/>
                      <w:szCs w:val="21"/>
                      <w:highlight w:val="none"/>
                      <w:vertAlign w:val="baseline"/>
                    </w:rPr>
                    <w:t>超达标情况</w:t>
                  </w:r>
                </w:p>
              </w:tc>
            </w:tr>
            <w:tr w14:paraId="188ECE0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336" w:type="dxa"/>
                  <w:vMerge w:val="restart"/>
                  <w:tcBorders>
                    <w:tl2br w:val="nil"/>
                    <w:tr2bl w:val="nil"/>
                  </w:tcBorders>
                  <w:noWrap w:val="0"/>
                  <w:vAlign w:val="center"/>
                </w:tcPr>
                <w:p w14:paraId="56C8FECB">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sz w:val="21"/>
                      <w:szCs w:val="21"/>
                      <w:highlight w:val="none"/>
                      <w:vertAlign w:val="baseline"/>
                    </w:rPr>
                    <w:t>G1，项目所在厂区下风向</w:t>
                  </w:r>
                </w:p>
              </w:tc>
              <w:tc>
                <w:tcPr>
                  <w:tcW w:w="900" w:type="dxa"/>
                  <w:tcBorders>
                    <w:tl2br w:val="nil"/>
                    <w:tr2bl w:val="nil"/>
                  </w:tcBorders>
                  <w:noWrap w:val="0"/>
                  <w:vAlign w:val="center"/>
                </w:tcPr>
                <w:p w14:paraId="3343EC89">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b w:val="0"/>
                      <w:bCs w:val="0"/>
                      <w:sz w:val="21"/>
                      <w:szCs w:val="21"/>
                      <w:highlight w:val="none"/>
                      <w:vertAlign w:val="baseline"/>
                      <w:lang w:val="en-US" w:eastAsia="zh-CN"/>
                    </w:rPr>
                    <w:t>TSP</w:t>
                  </w:r>
                </w:p>
              </w:tc>
              <w:tc>
                <w:tcPr>
                  <w:tcW w:w="1850" w:type="dxa"/>
                  <w:tcBorders>
                    <w:tl2br w:val="nil"/>
                    <w:tr2bl w:val="nil"/>
                  </w:tcBorders>
                  <w:noWrap w:val="0"/>
                  <w:vAlign w:val="center"/>
                </w:tcPr>
                <w:p w14:paraId="6B42C57F">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0.112</w:t>
                  </w:r>
                </w:p>
              </w:tc>
              <w:tc>
                <w:tcPr>
                  <w:tcW w:w="1640" w:type="dxa"/>
                  <w:tcBorders>
                    <w:tl2br w:val="nil"/>
                    <w:tr2bl w:val="nil"/>
                  </w:tcBorders>
                  <w:noWrap w:val="0"/>
                  <w:vAlign w:val="center"/>
                </w:tcPr>
                <w:p w14:paraId="3269B0A6">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0.3</w:t>
                  </w:r>
                  <w:r>
                    <w:rPr>
                      <w:rFonts w:hint="eastAsia" w:cs="Times New Roman"/>
                      <w:sz w:val="21"/>
                      <w:szCs w:val="21"/>
                      <w:highlight w:val="none"/>
                      <w:vertAlign w:val="baseline"/>
                      <w:lang w:val="en-US" w:eastAsia="zh-CN"/>
                    </w:rPr>
                    <w:t>（日均值）</w:t>
                  </w:r>
                </w:p>
              </w:tc>
              <w:tc>
                <w:tcPr>
                  <w:tcW w:w="1086" w:type="dxa"/>
                  <w:tcBorders>
                    <w:tl2br w:val="nil"/>
                    <w:tr2bl w:val="nil"/>
                  </w:tcBorders>
                  <w:noWrap w:val="0"/>
                  <w:vAlign w:val="center"/>
                </w:tcPr>
                <w:p w14:paraId="70F0E8E8">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sz w:val="21"/>
                      <w:szCs w:val="21"/>
                      <w:highlight w:val="none"/>
                      <w:vertAlign w:val="baseline"/>
                    </w:rPr>
                    <w:t>0</w:t>
                  </w:r>
                </w:p>
              </w:tc>
              <w:tc>
                <w:tcPr>
                  <w:tcW w:w="1363" w:type="dxa"/>
                  <w:tcBorders>
                    <w:tl2br w:val="nil"/>
                    <w:tr2bl w:val="nil"/>
                  </w:tcBorders>
                  <w:noWrap w:val="0"/>
                  <w:vAlign w:val="center"/>
                </w:tcPr>
                <w:p w14:paraId="03FD151F">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sz w:val="21"/>
                      <w:szCs w:val="21"/>
                      <w:highlight w:val="none"/>
                      <w:vertAlign w:val="baseline"/>
                    </w:rPr>
                    <w:t>达标</w:t>
                  </w:r>
                </w:p>
              </w:tc>
            </w:tr>
            <w:tr w14:paraId="0A734B7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336" w:type="dxa"/>
                  <w:vMerge w:val="continue"/>
                  <w:tcBorders>
                    <w:tl2br w:val="nil"/>
                    <w:tr2bl w:val="nil"/>
                  </w:tcBorders>
                  <w:noWrap w:val="0"/>
                  <w:vAlign w:val="center"/>
                </w:tcPr>
                <w:p w14:paraId="3B291CDF">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rPr>
                  </w:pPr>
                </w:p>
              </w:tc>
              <w:tc>
                <w:tcPr>
                  <w:tcW w:w="900" w:type="dxa"/>
                  <w:tcBorders>
                    <w:tl2br w:val="nil"/>
                    <w:tr2bl w:val="nil"/>
                  </w:tcBorders>
                  <w:noWrap w:val="0"/>
                  <w:vAlign w:val="center"/>
                </w:tcPr>
                <w:p w14:paraId="376B024B">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rPr>
                    <w:t>苯并[a]芘</w:t>
                  </w:r>
                  <w:r>
                    <w:rPr>
                      <w:rFonts w:hint="default" w:ascii="Times New Roman" w:hAnsi="Times New Roman" w:eastAsia="宋体" w:cs="Times New Roman"/>
                      <w:sz w:val="21"/>
                      <w:szCs w:val="21"/>
                      <w:highlight w:val="none"/>
                      <w:vertAlign w:val="baseline"/>
                    </w:rPr>
                    <w:t>（</w:t>
                  </w:r>
                  <w:r>
                    <w:rPr>
                      <w:rFonts w:hint="eastAsia" w:ascii="Times New Roman" w:hAnsi="Times New Roman" w:eastAsia="宋体" w:cs="Times New Roman"/>
                      <w:sz w:val="21"/>
                      <w:szCs w:val="21"/>
                      <w:highlight w:val="none"/>
                      <w:vertAlign w:val="baseline"/>
                      <w:lang w:val="en-US" w:eastAsia="zh-CN"/>
                    </w:rPr>
                    <w:t>n</w:t>
                  </w:r>
                  <w:r>
                    <w:rPr>
                      <w:rFonts w:hint="default" w:ascii="Times New Roman" w:hAnsi="Times New Roman" w:eastAsia="宋体" w:cs="Times New Roman"/>
                      <w:sz w:val="21"/>
                      <w:szCs w:val="21"/>
                      <w:highlight w:val="none"/>
                      <w:vertAlign w:val="baseline"/>
                    </w:rPr>
                    <w:t>g/m</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sz w:val="21"/>
                      <w:szCs w:val="21"/>
                      <w:highlight w:val="none"/>
                      <w:vertAlign w:val="baseline"/>
                    </w:rPr>
                    <w:t>）</w:t>
                  </w:r>
                </w:p>
              </w:tc>
              <w:tc>
                <w:tcPr>
                  <w:tcW w:w="1850" w:type="dxa"/>
                  <w:tcBorders>
                    <w:tl2br w:val="nil"/>
                    <w:tr2bl w:val="nil"/>
                  </w:tcBorders>
                  <w:noWrap w:val="0"/>
                  <w:vAlign w:val="center"/>
                </w:tcPr>
                <w:p w14:paraId="0463FC5D">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0.5</w:t>
                  </w:r>
                </w:p>
              </w:tc>
              <w:tc>
                <w:tcPr>
                  <w:tcW w:w="1640" w:type="dxa"/>
                  <w:tcBorders>
                    <w:tl2br w:val="nil"/>
                    <w:tr2bl w:val="nil"/>
                  </w:tcBorders>
                  <w:noWrap w:val="0"/>
                  <w:vAlign w:val="center"/>
                </w:tcPr>
                <w:p w14:paraId="13588471">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2.5</w:t>
                  </w:r>
                  <w:r>
                    <w:rPr>
                      <w:rFonts w:hint="eastAsia" w:cs="Times New Roman"/>
                      <w:sz w:val="21"/>
                      <w:szCs w:val="21"/>
                      <w:highlight w:val="none"/>
                      <w:vertAlign w:val="baseline"/>
                      <w:lang w:val="en-US" w:eastAsia="zh-CN"/>
                    </w:rPr>
                    <w:t>（日均值）</w:t>
                  </w:r>
                </w:p>
              </w:tc>
              <w:tc>
                <w:tcPr>
                  <w:tcW w:w="1086" w:type="dxa"/>
                  <w:tcBorders>
                    <w:tl2br w:val="nil"/>
                    <w:tr2bl w:val="nil"/>
                  </w:tcBorders>
                  <w:noWrap w:val="0"/>
                  <w:vAlign w:val="center"/>
                </w:tcPr>
                <w:p w14:paraId="624B47F5">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w:t>
                  </w:r>
                </w:p>
              </w:tc>
              <w:tc>
                <w:tcPr>
                  <w:tcW w:w="1363" w:type="dxa"/>
                  <w:tcBorders>
                    <w:tl2br w:val="nil"/>
                    <w:tr2bl w:val="nil"/>
                  </w:tcBorders>
                  <w:noWrap w:val="0"/>
                  <w:vAlign w:val="center"/>
                </w:tcPr>
                <w:p w14:paraId="4C312F3C">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达标</w:t>
                  </w:r>
                </w:p>
              </w:tc>
            </w:tr>
            <w:tr w14:paraId="4FE6AC3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336" w:type="dxa"/>
                  <w:vMerge w:val="continue"/>
                  <w:tcBorders>
                    <w:tl2br w:val="nil"/>
                    <w:tr2bl w:val="nil"/>
                  </w:tcBorders>
                  <w:noWrap w:val="0"/>
                  <w:vAlign w:val="center"/>
                </w:tcPr>
                <w:p w14:paraId="088C52A4">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rPr>
                  </w:pPr>
                </w:p>
              </w:tc>
              <w:tc>
                <w:tcPr>
                  <w:tcW w:w="900" w:type="dxa"/>
                  <w:vMerge w:val="restart"/>
                  <w:tcBorders>
                    <w:tl2br w:val="nil"/>
                    <w:tr2bl w:val="nil"/>
                  </w:tcBorders>
                  <w:noWrap w:val="0"/>
                  <w:vAlign w:val="center"/>
                </w:tcPr>
                <w:p w14:paraId="44669609">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rPr>
                    <w:t>NO</w:t>
                  </w:r>
                  <w:r>
                    <w:rPr>
                      <w:rFonts w:hint="default" w:ascii="Times New Roman" w:hAnsi="Times New Roman" w:eastAsia="宋体" w:cs="Times New Roman"/>
                      <w:b w:val="0"/>
                      <w:bCs w:val="0"/>
                      <w:sz w:val="21"/>
                      <w:szCs w:val="21"/>
                      <w:highlight w:val="none"/>
                      <w:vertAlign w:val="subscript"/>
                    </w:rPr>
                    <w:t>x</w:t>
                  </w:r>
                </w:p>
              </w:tc>
              <w:tc>
                <w:tcPr>
                  <w:tcW w:w="1850" w:type="dxa"/>
                  <w:tcBorders>
                    <w:tl2br w:val="nil"/>
                    <w:tr2bl w:val="nil"/>
                  </w:tcBorders>
                  <w:noWrap w:val="0"/>
                  <w:vAlign w:val="center"/>
                </w:tcPr>
                <w:p w14:paraId="368BFD26">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0.033</w:t>
                  </w:r>
                </w:p>
              </w:tc>
              <w:tc>
                <w:tcPr>
                  <w:tcW w:w="1640" w:type="dxa"/>
                  <w:tcBorders>
                    <w:tl2br w:val="nil"/>
                    <w:tr2bl w:val="nil"/>
                  </w:tcBorders>
                  <w:noWrap w:val="0"/>
                  <w:vAlign w:val="center"/>
                </w:tcPr>
                <w:p w14:paraId="1F0BD2E4">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0.1</w:t>
                  </w:r>
                  <w:r>
                    <w:rPr>
                      <w:rFonts w:hint="eastAsia" w:cs="Times New Roman"/>
                      <w:sz w:val="21"/>
                      <w:szCs w:val="21"/>
                      <w:highlight w:val="none"/>
                      <w:vertAlign w:val="baseline"/>
                      <w:lang w:val="en-US" w:eastAsia="zh-CN"/>
                    </w:rPr>
                    <w:t>（日均值）</w:t>
                  </w:r>
                </w:p>
              </w:tc>
              <w:tc>
                <w:tcPr>
                  <w:tcW w:w="1086" w:type="dxa"/>
                  <w:tcBorders>
                    <w:tl2br w:val="nil"/>
                    <w:tr2bl w:val="nil"/>
                  </w:tcBorders>
                  <w:noWrap w:val="0"/>
                  <w:vAlign w:val="center"/>
                </w:tcPr>
                <w:p w14:paraId="625C520A">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0</w:t>
                  </w:r>
                </w:p>
              </w:tc>
              <w:tc>
                <w:tcPr>
                  <w:tcW w:w="1363" w:type="dxa"/>
                  <w:tcBorders>
                    <w:tl2br w:val="nil"/>
                    <w:tr2bl w:val="nil"/>
                  </w:tcBorders>
                  <w:noWrap w:val="0"/>
                  <w:vAlign w:val="center"/>
                </w:tcPr>
                <w:p w14:paraId="4BA71D9D">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达标</w:t>
                  </w:r>
                </w:p>
              </w:tc>
            </w:tr>
            <w:tr w14:paraId="2A29565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336" w:type="dxa"/>
                  <w:vMerge w:val="continue"/>
                  <w:tcBorders>
                    <w:tl2br w:val="nil"/>
                    <w:tr2bl w:val="nil"/>
                  </w:tcBorders>
                  <w:noWrap w:val="0"/>
                  <w:vAlign w:val="center"/>
                </w:tcPr>
                <w:p w14:paraId="5A6EC974">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rPr>
                  </w:pPr>
                </w:p>
              </w:tc>
              <w:tc>
                <w:tcPr>
                  <w:tcW w:w="900" w:type="dxa"/>
                  <w:vMerge w:val="continue"/>
                  <w:tcBorders>
                    <w:tl2br w:val="nil"/>
                    <w:tr2bl w:val="nil"/>
                  </w:tcBorders>
                  <w:noWrap w:val="0"/>
                  <w:vAlign w:val="center"/>
                </w:tcPr>
                <w:p w14:paraId="4110C103">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b w:val="0"/>
                      <w:bCs w:val="0"/>
                      <w:sz w:val="21"/>
                      <w:szCs w:val="21"/>
                      <w:highlight w:val="none"/>
                      <w:vertAlign w:val="baseline"/>
                    </w:rPr>
                  </w:pPr>
                </w:p>
              </w:tc>
              <w:tc>
                <w:tcPr>
                  <w:tcW w:w="1850" w:type="dxa"/>
                  <w:tcBorders>
                    <w:tl2br w:val="nil"/>
                    <w:tr2bl w:val="nil"/>
                  </w:tcBorders>
                  <w:noWrap w:val="0"/>
                  <w:vAlign w:val="center"/>
                </w:tcPr>
                <w:p w14:paraId="49E772B7">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0.057</w:t>
                  </w:r>
                </w:p>
              </w:tc>
              <w:tc>
                <w:tcPr>
                  <w:tcW w:w="1640" w:type="dxa"/>
                  <w:tcBorders>
                    <w:tl2br w:val="nil"/>
                    <w:tr2bl w:val="nil"/>
                  </w:tcBorders>
                  <w:noWrap w:val="0"/>
                  <w:vAlign w:val="center"/>
                </w:tcPr>
                <w:p w14:paraId="25DFE661">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0.25</w:t>
                  </w:r>
                  <w:r>
                    <w:rPr>
                      <w:rFonts w:hint="eastAsia" w:cs="Times New Roman"/>
                      <w:sz w:val="21"/>
                      <w:szCs w:val="21"/>
                      <w:highlight w:val="none"/>
                      <w:vertAlign w:val="baseline"/>
                      <w:lang w:val="en-US" w:eastAsia="zh-CN"/>
                    </w:rPr>
                    <w:t>（小时均值）</w:t>
                  </w:r>
                </w:p>
              </w:tc>
              <w:tc>
                <w:tcPr>
                  <w:tcW w:w="1086" w:type="dxa"/>
                  <w:tcBorders>
                    <w:tl2br w:val="nil"/>
                    <w:tr2bl w:val="nil"/>
                  </w:tcBorders>
                  <w:noWrap w:val="0"/>
                  <w:vAlign w:val="center"/>
                </w:tcPr>
                <w:p w14:paraId="43FCD625">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w:t>
                  </w:r>
                </w:p>
              </w:tc>
              <w:tc>
                <w:tcPr>
                  <w:tcW w:w="1363" w:type="dxa"/>
                  <w:tcBorders>
                    <w:tl2br w:val="nil"/>
                    <w:tr2bl w:val="nil"/>
                  </w:tcBorders>
                  <w:noWrap w:val="0"/>
                  <w:vAlign w:val="center"/>
                </w:tcPr>
                <w:p w14:paraId="6C0C1FC7">
                  <w:pPr>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达标</w:t>
                  </w:r>
                </w:p>
              </w:tc>
            </w:tr>
          </w:tbl>
          <w:p w14:paraId="5A35B6A2">
            <w:pPr>
              <w:wordWrap w:val="0"/>
              <w:spacing w:line="240" w:lineRule="auto"/>
              <w:ind w:left="21" w:leftChars="10" w:right="21" w:rightChars="10" w:firstLine="420" w:firstLineChars="200"/>
              <w:jc w:val="center"/>
              <w:rPr>
                <w:rFonts w:hint="eastAsia"/>
                <w:sz w:val="21"/>
                <w:szCs w:val="21"/>
                <w:highlight w:val="none"/>
              </w:rPr>
            </w:pPr>
          </w:p>
          <w:p w14:paraId="5817EB9F">
            <w:pPr>
              <w:wordWrap w:val="0"/>
              <w:spacing w:line="360" w:lineRule="auto"/>
              <w:ind w:left="21" w:leftChars="10" w:right="21" w:rightChars="10" w:firstLine="480" w:firstLineChars="200"/>
              <w:rPr>
                <w:b w:val="0"/>
                <w:bCs w:val="0"/>
                <w:sz w:val="24"/>
              </w:rPr>
            </w:pPr>
            <w:r>
              <w:rPr>
                <w:rFonts w:hint="eastAsia"/>
                <w:sz w:val="24"/>
                <w:highlight w:val="none"/>
              </w:rPr>
              <w:t>评价结果表明：</w:t>
            </w:r>
            <w:r>
              <w:rPr>
                <w:rFonts w:hint="eastAsia"/>
                <w:sz w:val="24"/>
                <w:highlight w:val="none"/>
                <w:lang w:val="en-US" w:eastAsia="zh-CN"/>
              </w:rPr>
              <w:t>项目所在</w:t>
            </w:r>
            <w:r>
              <w:rPr>
                <w:rFonts w:hint="eastAsia"/>
                <w:sz w:val="24"/>
                <w:highlight w:val="none"/>
              </w:rPr>
              <w:t>区域</w:t>
            </w:r>
            <w:r>
              <w:rPr>
                <w:rFonts w:hint="default" w:ascii="Times New Roman" w:hAnsi="Times New Roman" w:cs="Times New Roman"/>
                <w:sz w:val="24"/>
              </w:rPr>
              <w:t>总悬浮颗粒物（TSP）</w:t>
            </w:r>
            <w:r>
              <w:rPr>
                <w:rFonts w:hint="eastAsia" w:ascii="Times New Roman" w:hAnsi="Times New Roman" w:cs="Times New Roman"/>
                <w:sz w:val="24"/>
                <w:lang w:val="en-US" w:eastAsia="zh-CN"/>
              </w:rPr>
              <w:t>、</w:t>
            </w:r>
            <w:r>
              <w:rPr>
                <w:rFonts w:hint="eastAsia" w:ascii="Times New Roman" w:hAnsi="Times New Roman" w:cs="Times New Roman"/>
                <w:sz w:val="24"/>
                <w:lang w:eastAsia="zh-CN"/>
              </w:rPr>
              <w:t>苯并[a]芘（</w:t>
            </w:r>
            <w:r>
              <w:rPr>
                <w:rFonts w:hint="eastAsia" w:ascii="Times New Roman" w:hAnsi="Times New Roman" w:cs="Times New Roman"/>
                <w:sz w:val="24"/>
                <w:lang w:val="en-US" w:eastAsia="zh-CN"/>
              </w:rPr>
              <w:t>BaP</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氮氧化物（NO</w:t>
            </w:r>
            <w:r>
              <w:rPr>
                <w:rFonts w:hint="eastAsia" w:ascii="Times New Roman" w:hAnsi="Times New Roman" w:cs="Times New Roman"/>
                <w:sz w:val="24"/>
                <w:vertAlign w:val="subscript"/>
                <w:lang w:val="en-US" w:eastAsia="zh-CN"/>
              </w:rPr>
              <w:t>x</w:t>
            </w:r>
            <w:r>
              <w:rPr>
                <w:rFonts w:hint="eastAsia" w:ascii="Times New Roman" w:hAnsi="Times New Roman" w:cs="Times New Roman"/>
                <w:sz w:val="24"/>
                <w:lang w:val="en-US" w:eastAsia="zh-CN"/>
              </w:rPr>
              <w:t>）</w:t>
            </w:r>
            <w:r>
              <w:rPr>
                <w:rFonts w:hint="eastAsia" w:hAnsi="宋体"/>
                <w:sz w:val="24"/>
                <w:lang w:val="en-US" w:eastAsia="zh-CN"/>
              </w:rPr>
              <w:t>满足</w:t>
            </w:r>
            <w:r>
              <w:rPr>
                <w:rFonts w:hAnsi="宋体"/>
                <w:sz w:val="24"/>
              </w:rPr>
              <w:t>《环境空气质量标准》（</w:t>
            </w:r>
            <w:r>
              <w:rPr>
                <w:sz w:val="24"/>
              </w:rPr>
              <w:t>GB3095-2012</w:t>
            </w:r>
            <w:r>
              <w:rPr>
                <w:rFonts w:hAnsi="宋体"/>
                <w:sz w:val="24"/>
              </w:rPr>
              <w:t>）中二级标准</w:t>
            </w:r>
            <w:r>
              <w:rPr>
                <w:rFonts w:hint="eastAsia"/>
                <w:sz w:val="24"/>
                <w:highlight w:val="none"/>
              </w:rPr>
              <w:t>。</w:t>
            </w:r>
            <w:r>
              <w:rPr>
                <w:rFonts w:hint="eastAsia"/>
                <w:b w:val="0"/>
                <w:bCs w:val="0"/>
                <w:sz w:val="24"/>
              </w:rPr>
              <w:t>项目所在地环境空气质量现状良好。</w:t>
            </w:r>
          </w:p>
          <w:p w14:paraId="4D9D953B">
            <w:pPr>
              <w:wordWrap w:val="0"/>
              <w:spacing w:line="360" w:lineRule="auto"/>
              <w:ind w:left="21" w:leftChars="10" w:right="21" w:rightChars="10" w:firstLine="482" w:firstLineChars="200"/>
              <w:rPr>
                <w:b/>
                <w:sz w:val="24"/>
              </w:rPr>
            </w:pPr>
            <w:r>
              <w:rPr>
                <w:b/>
                <w:bCs/>
                <w:sz w:val="24"/>
              </w:rPr>
              <w:t>二、地表水</w:t>
            </w:r>
            <w:r>
              <w:rPr>
                <w:b/>
                <w:sz w:val="24"/>
              </w:rPr>
              <w:t>环境质量现状</w:t>
            </w:r>
            <w:bookmarkStart w:id="3" w:name="_Toc199780008"/>
          </w:p>
          <w:bookmarkEnd w:id="3"/>
          <w:p w14:paraId="61D49ECB">
            <w:pPr>
              <w:wordWrap w:val="0"/>
              <w:spacing w:line="360" w:lineRule="auto"/>
              <w:ind w:left="21" w:leftChars="10" w:right="21" w:rightChars="10" w:firstLine="480" w:firstLineChars="200"/>
              <w:rPr>
                <w:rFonts w:hint="eastAsia" w:ascii="Times New Roman" w:hAnsi="Times New Roman" w:eastAsia="宋体" w:cs="Times New Roman"/>
                <w:b w:val="0"/>
                <w:bCs w:val="0"/>
                <w:sz w:val="24"/>
              </w:rPr>
            </w:pPr>
            <w:r>
              <w:rPr>
                <w:rFonts w:hint="eastAsia" w:ascii="Times New Roman" w:hAnsi="Times New Roman" w:eastAsia="宋体" w:cs="Times New Roman"/>
                <w:b w:val="0"/>
                <w:bCs w:val="0"/>
                <w:sz w:val="24"/>
              </w:rPr>
              <w:t>根据《环境影响评价技术导则</w:t>
            </w:r>
            <w:r>
              <w:rPr>
                <w:rFonts w:hint="eastAsia" w:ascii="Times New Roman" w:hAnsi="Times New Roman" w:eastAsia="宋体" w:cs="Times New Roman"/>
                <w:b w:val="0"/>
                <w:bCs w:val="0"/>
                <w:sz w:val="24"/>
                <w:lang w:val="en-US" w:eastAsia="zh-CN"/>
              </w:rPr>
              <w:t xml:space="preserve"> </w:t>
            </w:r>
            <w:r>
              <w:rPr>
                <w:rFonts w:hint="eastAsia" w:ascii="Times New Roman" w:hAnsi="Times New Roman" w:eastAsia="宋体" w:cs="Times New Roman"/>
                <w:b w:val="0"/>
                <w:bCs w:val="0"/>
                <w:sz w:val="24"/>
              </w:rPr>
              <w:t>地表水环境》（HJ2.3-2018），本项目应优先采用国务院生态环境保护主管部门统一发布的水环境状况信息。</w:t>
            </w:r>
            <w:r>
              <w:rPr>
                <w:rFonts w:hint="eastAsia" w:ascii="Times New Roman" w:hAnsi="Times New Roman" w:eastAsia="宋体" w:cs="Times New Roman"/>
                <w:b w:val="0"/>
                <w:bCs w:val="0"/>
                <w:sz w:val="24"/>
                <w:lang w:val="en-US" w:eastAsia="zh-CN"/>
              </w:rPr>
              <w:t>本次评价</w:t>
            </w:r>
            <w:r>
              <w:rPr>
                <w:rFonts w:hint="eastAsia" w:cs="Times New Roman"/>
                <w:b w:val="0"/>
                <w:bCs w:val="0"/>
                <w:sz w:val="24"/>
                <w:lang w:val="en-US" w:eastAsia="zh-CN"/>
              </w:rPr>
              <w:t>采用</w:t>
            </w:r>
            <w:r>
              <w:rPr>
                <w:rFonts w:hint="eastAsia" w:ascii="Times New Roman" w:hAnsi="Times New Roman" w:eastAsia="宋体" w:cs="Times New Roman"/>
                <w:b w:val="0"/>
                <w:bCs w:val="0"/>
                <w:sz w:val="24"/>
              </w:rPr>
              <w:t>达州市生态环境局202</w:t>
            </w:r>
            <w:r>
              <w:rPr>
                <w:rFonts w:hint="eastAsia" w:cs="Times New Roman"/>
                <w:b w:val="0"/>
                <w:bCs w:val="0"/>
                <w:sz w:val="24"/>
                <w:lang w:val="en-US" w:eastAsia="zh-CN"/>
              </w:rPr>
              <w:t>5</w:t>
            </w:r>
            <w:r>
              <w:rPr>
                <w:rFonts w:hint="eastAsia" w:ascii="Times New Roman" w:hAnsi="Times New Roman" w:eastAsia="宋体" w:cs="Times New Roman"/>
                <w:b w:val="0"/>
                <w:bCs w:val="0"/>
                <w:sz w:val="24"/>
              </w:rPr>
              <w:t>年</w:t>
            </w:r>
            <w:r>
              <w:rPr>
                <w:rFonts w:hint="eastAsia" w:cs="Times New Roman"/>
                <w:b w:val="0"/>
                <w:bCs w:val="0"/>
                <w:sz w:val="24"/>
                <w:lang w:val="en-US" w:eastAsia="zh-CN"/>
              </w:rPr>
              <w:t>3</w:t>
            </w:r>
            <w:r>
              <w:rPr>
                <w:rFonts w:hint="eastAsia" w:ascii="Times New Roman" w:hAnsi="Times New Roman" w:eastAsia="宋体" w:cs="Times New Roman"/>
                <w:b w:val="0"/>
                <w:bCs w:val="0"/>
                <w:sz w:val="24"/>
              </w:rPr>
              <w:t>月</w:t>
            </w:r>
            <w:r>
              <w:rPr>
                <w:rFonts w:hint="eastAsia" w:cs="Times New Roman"/>
                <w:b w:val="0"/>
                <w:bCs w:val="0"/>
                <w:sz w:val="24"/>
                <w:lang w:val="en-US" w:eastAsia="zh-CN"/>
              </w:rPr>
              <w:t>12</w:t>
            </w:r>
            <w:r>
              <w:rPr>
                <w:rFonts w:hint="eastAsia" w:ascii="Times New Roman" w:hAnsi="Times New Roman" w:eastAsia="宋体" w:cs="Times New Roman"/>
                <w:b w:val="0"/>
                <w:bCs w:val="0"/>
                <w:sz w:val="24"/>
              </w:rPr>
              <w:t>日发布的202</w:t>
            </w:r>
            <w:r>
              <w:rPr>
                <w:rFonts w:hint="eastAsia" w:cs="Times New Roman"/>
                <w:b w:val="0"/>
                <w:bCs w:val="0"/>
                <w:sz w:val="24"/>
                <w:lang w:val="en-US" w:eastAsia="zh-CN"/>
              </w:rPr>
              <w:t>5</w:t>
            </w:r>
            <w:r>
              <w:rPr>
                <w:rFonts w:hint="eastAsia" w:ascii="Times New Roman" w:hAnsi="Times New Roman" w:eastAsia="宋体" w:cs="Times New Roman"/>
                <w:b w:val="0"/>
                <w:bCs w:val="0"/>
                <w:sz w:val="24"/>
              </w:rPr>
              <w:t>年</w:t>
            </w:r>
            <w:r>
              <w:rPr>
                <w:rFonts w:hint="eastAsia" w:cs="Times New Roman"/>
                <w:b w:val="0"/>
                <w:bCs w:val="0"/>
                <w:sz w:val="24"/>
                <w:lang w:val="en-US" w:eastAsia="zh-CN"/>
              </w:rPr>
              <w:t>2</w:t>
            </w:r>
            <w:r>
              <w:rPr>
                <w:rFonts w:hint="eastAsia" w:ascii="Times New Roman" w:hAnsi="Times New Roman" w:eastAsia="宋体" w:cs="Times New Roman"/>
                <w:b w:val="0"/>
                <w:bCs w:val="0"/>
                <w:sz w:val="24"/>
              </w:rPr>
              <w:t>月达州市地表水水质月报中地表水环境状况信息</w:t>
            </w:r>
            <w:r>
              <w:rPr>
                <w:rFonts w:hint="eastAsia" w:ascii="Times New Roman" w:hAnsi="Times New Roman" w:eastAsia="宋体" w:cs="Times New Roman"/>
                <w:b w:val="0"/>
                <w:bCs w:val="0"/>
                <w:sz w:val="24"/>
                <w:lang w:val="en-US" w:eastAsia="zh-CN"/>
              </w:rPr>
              <w:t>进行分析</w:t>
            </w:r>
            <w:r>
              <w:rPr>
                <w:rFonts w:hint="eastAsia" w:ascii="Times New Roman" w:hAnsi="Times New Roman" w:eastAsia="宋体" w:cs="Times New Roman"/>
                <w:b w:val="0"/>
                <w:bCs w:val="0"/>
                <w:sz w:val="24"/>
              </w:rPr>
              <w:t>。</w:t>
            </w:r>
          </w:p>
          <w:p w14:paraId="08543DE2">
            <w:pPr>
              <w:wordWrap w:val="0"/>
              <w:spacing w:line="360" w:lineRule="auto"/>
              <w:ind w:left="21" w:leftChars="10" w:right="21" w:rightChars="10" w:firstLine="480" w:firstLineChars="200"/>
              <w:rPr>
                <w:rFonts w:hint="eastAsia"/>
                <w:sz w:val="24"/>
              </w:rPr>
            </w:pPr>
            <w:r>
              <w:rPr>
                <w:rFonts w:hint="eastAsia"/>
                <w:sz w:val="24"/>
              </w:rPr>
              <w:t>2025年2月全市37个河流断面中，优（I~II类）、良（III类）水质断面36个，占比97.3%，平滩河碧山中学断面水质为IV类，轻度污染。</w:t>
            </w:r>
          </w:p>
          <w:p w14:paraId="613709CA">
            <w:pPr>
              <w:numPr>
                <w:ilvl w:val="0"/>
                <w:numId w:val="5"/>
              </w:numPr>
              <w:wordWrap w:val="0"/>
              <w:ind w:left="21" w:leftChars="10" w:right="21" w:rightChars="10" w:firstLine="0"/>
              <w:jc w:val="center"/>
              <w:rPr>
                <w:rFonts w:hint="eastAsia" w:ascii="Times New Roman" w:hAnsi="Times New Roman" w:eastAsia="宋体" w:cs="Times New Roman"/>
                <w:b/>
                <w:bCs/>
                <w:szCs w:val="22"/>
                <w:highlight w:val="none"/>
                <w:lang w:val="en-US" w:eastAsia="zh-CN"/>
              </w:rPr>
            </w:pPr>
            <w:r>
              <w:rPr>
                <w:rFonts w:hint="eastAsia" w:ascii="Times New Roman" w:hAnsi="Times New Roman" w:eastAsia="宋体" w:cs="Times New Roman"/>
                <w:b/>
                <w:bCs/>
                <w:szCs w:val="22"/>
                <w:highlight w:val="none"/>
                <w:lang w:val="en-US" w:eastAsia="zh-CN"/>
              </w:rPr>
              <w:t>2025年2月达州市河流水质评价结果表</w:t>
            </w:r>
          </w:p>
          <w:tbl>
            <w:tblPr>
              <w:tblStyle w:val="100"/>
              <w:tblW w:w="8098"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444"/>
              <w:gridCol w:w="322"/>
              <w:gridCol w:w="450"/>
              <w:gridCol w:w="761"/>
              <w:gridCol w:w="2816"/>
              <w:gridCol w:w="693"/>
              <w:gridCol w:w="507"/>
              <w:gridCol w:w="467"/>
              <w:gridCol w:w="586"/>
              <w:gridCol w:w="1052"/>
            </w:tblGrid>
            <w:tr w14:paraId="438E02F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09" w:hRule="atLeast"/>
                <w:jc w:val="center"/>
              </w:trPr>
              <w:tc>
                <w:tcPr>
                  <w:tcW w:w="444" w:type="dxa"/>
                  <w:tcBorders>
                    <w:tl2br w:val="nil"/>
                    <w:tr2bl w:val="nil"/>
                  </w:tcBorders>
                  <w:vAlign w:val="center"/>
                </w:tcPr>
                <w:p w14:paraId="1F65FE2C">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772" w:type="dxa"/>
                  <w:gridSpan w:val="2"/>
                  <w:tcBorders>
                    <w:tl2br w:val="nil"/>
                    <w:tr2bl w:val="nil"/>
                  </w:tcBorders>
                  <w:vAlign w:val="center"/>
                </w:tcPr>
                <w:p w14:paraId="7C2ACFA7">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河流</w:t>
                  </w:r>
                </w:p>
              </w:tc>
              <w:tc>
                <w:tcPr>
                  <w:tcW w:w="761" w:type="dxa"/>
                  <w:tcBorders>
                    <w:tl2br w:val="nil"/>
                    <w:tr2bl w:val="nil"/>
                  </w:tcBorders>
                  <w:vAlign w:val="center"/>
                </w:tcPr>
                <w:p w14:paraId="72DA4B2A">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断面名称</w:t>
                  </w:r>
                </w:p>
              </w:tc>
              <w:tc>
                <w:tcPr>
                  <w:tcW w:w="2816" w:type="dxa"/>
                  <w:tcBorders>
                    <w:tl2br w:val="nil"/>
                    <w:tr2bl w:val="nil"/>
                  </w:tcBorders>
                  <w:vAlign w:val="center"/>
                </w:tcPr>
                <w:p w14:paraId="3AD5EDE8">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交界情况</w:t>
                  </w:r>
                </w:p>
              </w:tc>
              <w:tc>
                <w:tcPr>
                  <w:tcW w:w="693" w:type="dxa"/>
                  <w:tcBorders>
                    <w:tl2br w:val="nil"/>
                    <w:tr2bl w:val="nil"/>
                  </w:tcBorders>
                  <w:vAlign w:val="center"/>
                </w:tcPr>
                <w:p w14:paraId="48E75DF4">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断面性质</w:t>
                  </w:r>
                </w:p>
              </w:tc>
              <w:tc>
                <w:tcPr>
                  <w:tcW w:w="507" w:type="dxa"/>
                  <w:tcBorders>
                    <w:tl2br w:val="nil"/>
                    <w:tr2bl w:val="nil"/>
                  </w:tcBorders>
                  <w:vAlign w:val="center"/>
                </w:tcPr>
                <w:p w14:paraId="365252A8">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上年</w:t>
                  </w:r>
                  <w:r>
                    <w:rPr>
                      <w:rFonts w:hint="default" w:ascii="Times New Roman" w:hAnsi="Times New Roman" w:eastAsia="宋体" w:cs="Times New Roman"/>
                      <w:spacing w:val="-12"/>
                      <w:sz w:val="21"/>
                      <w:szCs w:val="21"/>
                    </w:rPr>
                    <w:t>同期</w:t>
                  </w:r>
                </w:p>
              </w:tc>
              <w:tc>
                <w:tcPr>
                  <w:tcW w:w="467" w:type="dxa"/>
                  <w:tcBorders>
                    <w:tl2br w:val="nil"/>
                    <w:tr2bl w:val="nil"/>
                  </w:tcBorders>
                  <w:vAlign w:val="center"/>
                </w:tcPr>
                <w:p w14:paraId="4D4B5E2B">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上月类别</w:t>
                  </w:r>
                </w:p>
              </w:tc>
              <w:tc>
                <w:tcPr>
                  <w:tcW w:w="586" w:type="dxa"/>
                  <w:tcBorders>
                    <w:tl2br w:val="nil"/>
                    <w:tr2bl w:val="nil"/>
                  </w:tcBorders>
                  <w:vAlign w:val="center"/>
                </w:tcPr>
                <w:p w14:paraId="1C63C4D8">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本月类别</w:t>
                  </w:r>
                </w:p>
              </w:tc>
              <w:tc>
                <w:tcPr>
                  <w:tcW w:w="1052" w:type="dxa"/>
                  <w:tcBorders>
                    <w:tl2br w:val="nil"/>
                    <w:tr2bl w:val="nil"/>
                  </w:tcBorders>
                  <w:vAlign w:val="center"/>
                </w:tcPr>
                <w:p w14:paraId="322DA280">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本月主要</w:t>
                  </w:r>
                  <w:r>
                    <w:rPr>
                      <w:rFonts w:hint="default" w:ascii="Times New Roman" w:hAnsi="Times New Roman" w:eastAsia="宋体" w:cs="Times New Roman"/>
                      <w:spacing w:val="-4"/>
                      <w:sz w:val="21"/>
                      <w:szCs w:val="21"/>
                    </w:rPr>
                    <w:t>污染指标</w:t>
                  </w:r>
                  <w:r>
                    <w:rPr>
                      <w:rFonts w:hint="default" w:ascii="Times New Roman" w:hAnsi="Times New Roman" w:eastAsia="宋体" w:cs="Times New Roman"/>
                      <w:spacing w:val="-3"/>
                      <w:sz w:val="21"/>
                      <w:szCs w:val="21"/>
                    </w:rPr>
                    <w:t>(类别)</w:t>
                  </w:r>
                </w:p>
              </w:tc>
            </w:tr>
            <w:tr w14:paraId="08E3430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44" w:type="dxa"/>
                  <w:tcBorders>
                    <w:tl2br w:val="nil"/>
                    <w:tr2bl w:val="nil"/>
                  </w:tcBorders>
                  <w:vAlign w:val="center"/>
                </w:tcPr>
                <w:p w14:paraId="00CADA68">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772" w:type="dxa"/>
                  <w:gridSpan w:val="2"/>
                  <w:tcBorders>
                    <w:tl2br w:val="nil"/>
                    <w:tr2bl w:val="nil"/>
                  </w:tcBorders>
                  <w:vAlign w:val="center"/>
                </w:tcPr>
                <w:p w14:paraId="5A58B63E">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南河干流</w:t>
                  </w:r>
                </w:p>
              </w:tc>
              <w:tc>
                <w:tcPr>
                  <w:tcW w:w="761" w:type="dxa"/>
                  <w:tcBorders>
                    <w:tl2br w:val="nil"/>
                    <w:tr2bl w:val="nil"/>
                  </w:tcBorders>
                  <w:vAlign w:val="center"/>
                </w:tcPr>
                <w:p w14:paraId="604D713E">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巫山乡</w:t>
                  </w:r>
                </w:p>
              </w:tc>
              <w:tc>
                <w:tcPr>
                  <w:tcW w:w="2816" w:type="dxa"/>
                  <w:tcBorders>
                    <w:tl2br w:val="nil"/>
                    <w:tr2bl w:val="nil"/>
                  </w:tcBorders>
                  <w:vAlign w:val="center"/>
                </w:tcPr>
                <w:p w14:paraId="6870269E">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省界</w:t>
                  </w:r>
                  <w:r>
                    <w:rPr>
                      <w:rFonts w:hint="default" w:ascii="Times New Roman" w:hAnsi="Times New Roman" w:eastAsia="宋体" w:cs="Times New Roman"/>
                      <w:spacing w:val="-6"/>
                      <w:sz w:val="21"/>
                      <w:szCs w:val="21"/>
                      <w:lang w:eastAsia="zh-CN"/>
                    </w:rPr>
                    <w:t>（</w:t>
                  </w:r>
                  <w:r>
                    <w:rPr>
                      <w:rFonts w:hint="default" w:ascii="Times New Roman" w:hAnsi="Times New Roman" w:eastAsia="宋体" w:cs="Times New Roman"/>
                      <w:spacing w:val="-6"/>
                      <w:sz w:val="21"/>
                      <w:szCs w:val="21"/>
                    </w:rPr>
                    <w:t>川→</w:t>
                  </w:r>
                  <w:r>
                    <w:rPr>
                      <w:rFonts w:hint="default" w:ascii="Times New Roman" w:hAnsi="Times New Roman" w:eastAsia="宋体" w:cs="Times New Roman"/>
                      <w:spacing w:val="-38"/>
                      <w:sz w:val="21"/>
                      <w:szCs w:val="21"/>
                    </w:rPr>
                    <w:t xml:space="preserve"> </w:t>
                  </w:r>
                  <w:r>
                    <w:rPr>
                      <w:rFonts w:hint="default" w:ascii="Times New Roman" w:hAnsi="Times New Roman" w:eastAsia="宋体" w:cs="Times New Roman"/>
                      <w:spacing w:val="-6"/>
                      <w:sz w:val="21"/>
                      <w:szCs w:val="21"/>
                    </w:rPr>
                    <w:t>渝</w:t>
                  </w:r>
                  <w:r>
                    <w:rPr>
                      <w:rFonts w:hint="default" w:ascii="Times New Roman" w:hAnsi="Times New Roman" w:eastAsia="宋体" w:cs="Times New Roman"/>
                      <w:spacing w:val="-6"/>
                      <w:sz w:val="21"/>
                      <w:szCs w:val="21"/>
                      <w:lang w:eastAsia="zh-CN"/>
                    </w:rPr>
                    <w:t>）</w:t>
                  </w:r>
                </w:p>
              </w:tc>
              <w:tc>
                <w:tcPr>
                  <w:tcW w:w="693" w:type="dxa"/>
                  <w:tcBorders>
                    <w:tl2br w:val="nil"/>
                    <w:tr2bl w:val="nil"/>
                  </w:tcBorders>
                  <w:vAlign w:val="center"/>
                </w:tcPr>
                <w:p w14:paraId="44DF652C">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1"/>
                      <w:sz w:val="21"/>
                      <w:szCs w:val="21"/>
                    </w:rPr>
                    <w:t>国考</w:t>
                  </w:r>
                </w:p>
              </w:tc>
              <w:tc>
                <w:tcPr>
                  <w:tcW w:w="507" w:type="dxa"/>
                  <w:tcBorders>
                    <w:tl2br w:val="nil"/>
                    <w:tr2bl w:val="nil"/>
                  </w:tcBorders>
                  <w:vAlign w:val="center"/>
                </w:tcPr>
                <w:p w14:paraId="22B1EE19">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467" w:type="dxa"/>
                  <w:tcBorders>
                    <w:tl2br w:val="nil"/>
                    <w:tr2bl w:val="nil"/>
                  </w:tcBorders>
                  <w:vAlign w:val="center"/>
                </w:tcPr>
                <w:p w14:paraId="18926DD2">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586" w:type="dxa"/>
                  <w:tcBorders>
                    <w:tl2br w:val="nil"/>
                    <w:tr2bl w:val="nil"/>
                  </w:tcBorders>
                  <w:vAlign w:val="center"/>
                </w:tcPr>
                <w:p w14:paraId="68D0045A">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1052" w:type="dxa"/>
                  <w:tcBorders>
                    <w:tl2br w:val="nil"/>
                    <w:tr2bl w:val="nil"/>
                  </w:tcBorders>
                  <w:vAlign w:val="center"/>
                </w:tcPr>
                <w:p w14:paraId="3A0E8071">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190AEBF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44" w:type="dxa"/>
                  <w:tcBorders>
                    <w:tl2br w:val="nil"/>
                    <w:tr2bl w:val="nil"/>
                  </w:tcBorders>
                  <w:vAlign w:val="center"/>
                </w:tcPr>
                <w:p w14:paraId="56124C69">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772" w:type="dxa"/>
                  <w:gridSpan w:val="2"/>
                  <w:vMerge w:val="restart"/>
                  <w:tcBorders>
                    <w:tl2br w:val="nil"/>
                    <w:tr2bl w:val="nil"/>
                  </w:tcBorders>
                  <w:vAlign w:val="center"/>
                </w:tcPr>
                <w:p w14:paraId="171EAE59">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任河干流</w:t>
                  </w:r>
                </w:p>
              </w:tc>
              <w:tc>
                <w:tcPr>
                  <w:tcW w:w="761" w:type="dxa"/>
                  <w:tcBorders>
                    <w:tl2br w:val="nil"/>
                    <w:tr2bl w:val="nil"/>
                  </w:tcBorders>
                  <w:vAlign w:val="center"/>
                </w:tcPr>
                <w:p w14:paraId="6E618A99">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水寨子</w:t>
                  </w:r>
                </w:p>
              </w:tc>
              <w:tc>
                <w:tcPr>
                  <w:tcW w:w="2816" w:type="dxa"/>
                  <w:tcBorders>
                    <w:tl2br w:val="nil"/>
                    <w:tr2bl w:val="nil"/>
                  </w:tcBorders>
                  <w:vAlign w:val="center"/>
                </w:tcPr>
                <w:p w14:paraId="19C6D4DB">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省界</w:t>
                  </w:r>
                  <w:r>
                    <w:rPr>
                      <w:rFonts w:hint="default" w:ascii="Times New Roman" w:hAnsi="Times New Roman" w:eastAsia="宋体" w:cs="Times New Roman"/>
                      <w:spacing w:val="-5"/>
                      <w:sz w:val="21"/>
                      <w:szCs w:val="21"/>
                      <w:lang w:eastAsia="zh-CN"/>
                    </w:rPr>
                    <w:t>（</w:t>
                  </w:r>
                  <w:r>
                    <w:rPr>
                      <w:rFonts w:hint="default" w:ascii="Times New Roman" w:hAnsi="Times New Roman" w:eastAsia="宋体" w:cs="Times New Roman"/>
                      <w:spacing w:val="-5"/>
                      <w:sz w:val="21"/>
                      <w:szCs w:val="21"/>
                    </w:rPr>
                    <w:t>渝→</w:t>
                  </w:r>
                  <w:r>
                    <w:rPr>
                      <w:rFonts w:hint="default" w:ascii="Times New Roman" w:hAnsi="Times New Roman" w:eastAsia="宋体" w:cs="Times New Roman"/>
                      <w:spacing w:val="-45"/>
                      <w:sz w:val="21"/>
                      <w:szCs w:val="21"/>
                    </w:rPr>
                    <w:t xml:space="preserve"> </w:t>
                  </w:r>
                  <w:r>
                    <w:rPr>
                      <w:rFonts w:hint="default" w:ascii="Times New Roman" w:hAnsi="Times New Roman" w:eastAsia="宋体" w:cs="Times New Roman"/>
                      <w:spacing w:val="-5"/>
                      <w:sz w:val="21"/>
                      <w:szCs w:val="21"/>
                    </w:rPr>
                    <w:t>川</w:t>
                  </w:r>
                  <w:r>
                    <w:rPr>
                      <w:rFonts w:hint="default" w:ascii="Times New Roman" w:hAnsi="Times New Roman" w:eastAsia="宋体" w:cs="Times New Roman"/>
                      <w:spacing w:val="-5"/>
                      <w:sz w:val="21"/>
                      <w:szCs w:val="21"/>
                      <w:lang w:eastAsia="zh-CN"/>
                    </w:rPr>
                    <w:t>）</w:t>
                  </w:r>
                </w:p>
              </w:tc>
              <w:tc>
                <w:tcPr>
                  <w:tcW w:w="693" w:type="dxa"/>
                  <w:tcBorders>
                    <w:tl2br w:val="nil"/>
                    <w:tr2bl w:val="nil"/>
                  </w:tcBorders>
                  <w:vAlign w:val="center"/>
                </w:tcPr>
                <w:p w14:paraId="4248F00A">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1"/>
                      <w:sz w:val="21"/>
                      <w:szCs w:val="21"/>
                    </w:rPr>
                    <w:t>国控</w:t>
                  </w:r>
                </w:p>
              </w:tc>
              <w:tc>
                <w:tcPr>
                  <w:tcW w:w="507" w:type="dxa"/>
                  <w:tcBorders>
                    <w:tl2br w:val="nil"/>
                    <w:tr2bl w:val="nil"/>
                  </w:tcBorders>
                  <w:vAlign w:val="center"/>
                </w:tcPr>
                <w:p w14:paraId="37DD8F24">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467" w:type="dxa"/>
                  <w:tcBorders>
                    <w:tl2br w:val="nil"/>
                    <w:tr2bl w:val="nil"/>
                  </w:tcBorders>
                  <w:vAlign w:val="center"/>
                </w:tcPr>
                <w:p w14:paraId="44C44E03">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w:t>
                  </w:r>
                </w:p>
              </w:tc>
              <w:tc>
                <w:tcPr>
                  <w:tcW w:w="586" w:type="dxa"/>
                  <w:tcBorders>
                    <w:tl2br w:val="nil"/>
                    <w:tr2bl w:val="nil"/>
                  </w:tcBorders>
                  <w:vAlign w:val="center"/>
                </w:tcPr>
                <w:p w14:paraId="0190D6CD">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w:t>
                  </w:r>
                </w:p>
              </w:tc>
              <w:tc>
                <w:tcPr>
                  <w:tcW w:w="1052" w:type="dxa"/>
                  <w:tcBorders>
                    <w:tl2br w:val="nil"/>
                    <w:tr2bl w:val="nil"/>
                  </w:tcBorders>
                  <w:vAlign w:val="center"/>
                </w:tcPr>
                <w:p w14:paraId="73E4F402">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3008E37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44" w:type="dxa"/>
                  <w:tcBorders>
                    <w:tl2br w:val="nil"/>
                    <w:tr2bl w:val="nil"/>
                  </w:tcBorders>
                  <w:vAlign w:val="center"/>
                </w:tcPr>
                <w:p w14:paraId="4D5DFDAF">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772" w:type="dxa"/>
                  <w:gridSpan w:val="2"/>
                  <w:vMerge w:val="continue"/>
                  <w:tcBorders>
                    <w:tl2br w:val="nil"/>
                    <w:tr2bl w:val="nil"/>
                  </w:tcBorders>
                  <w:vAlign w:val="center"/>
                </w:tcPr>
                <w:p w14:paraId="0E03C06F">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761" w:type="dxa"/>
                  <w:tcBorders>
                    <w:tl2br w:val="nil"/>
                    <w:tr2bl w:val="nil"/>
                  </w:tcBorders>
                  <w:vAlign w:val="center"/>
                </w:tcPr>
                <w:p w14:paraId="230513EA">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0"/>
                      <w:sz w:val="21"/>
                      <w:szCs w:val="21"/>
                    </w:rPr>
                    <w:t>白杨溪电</w:t>
                  </w:r>
                  <w:r>
                    <w:rPr>
                      <w:rFonts w:hint="default" w:ascii="Times New Roman" w:hAnsi="Times New Roman" w:eastAsia="宋体" w:cs="Times New Roman"/>
                      <w:sz w:val="21"/>
                      <w:szCs w:val="21"/>
                    </w:rPr>
                    <w:t>站</w:t>
                  </w:r>
                </w:p>
              </w:tc>
              <w:tc>
                <w:tcPr>
                  <w:tcW w:w="2816" w:type="dxa"/>
                  <w:tcBorders>
                    <w:tl2br w:val="nil"/>
                    <w:tr2bl w:val="nil"/>
                  </w:tcBorders>
                  <w:vAlign w:val="center"/>
                </w:tcPr>
                <w:p w14:paraId="3DB7891A">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省界</w:t>
                  </w:r>
                  <w:r>
                    <w:rPr>
                      <w:rFonts w:hint="default" w:ascii="Times New Roman" w:hAnsi="Times New Roman" w:eastAsia="宋体" w:cs="Times New Roman"/>
                      <w:spacing w:val="-7"/>
                      <w:sz w:val="21"/>
                      <w:szCs w:val="21"/>
                      <w:lang w:eastAsia="zh-CN"/>
                    </w:rPr>
                    <w:t>（</w:t>
                  </w:r>
                  <w:r>
                    <w:rPr>
                      <w:rFonts w:hint="default" w:ascii="Times New Roman" w:hAnsi="Times New Roman" w:eastAsia="宋体" w:cs="Times New Roman"/>
                      <w:spacing w:val="-7"/>
                      <w:sz w:val="21"/>
                      <w:szCs w:val="21"/>
                    </w:rPr>
                    <w:t>川→</w:t>
                  </w:r>
                  <w:r>
                    <w:rPr>
                      <w:rFonts w:hint="default" w:ascii="Times New Roman" w:hAnsi="Times New Roman" w:eastAsia="宋体" w:cs="Times New Roman"/>
                      <w:spacing w:val="-31"/>
                      <w:sz w:val="21"/>
                      <w:szCs w:val="21"/>
                    </w:rPr>
                    <w:t xml:space="preserve"> </w:t>
                  </w:r>
                  <w:r>
                    <w:rPr>
                      <w:rFonts w:hint="default" w:ascii="Times New Roman" w:hAnsi="Times New Roman" w:eastAsia="宋体" w:cs="Times New Roman"/>
                      <w:spacing w:val="-7"/>
                      <w:sz w:val="21"/>
                      <w:szCs w:val="21"/>
                    </w:rPr>
                    <w:t>陕</w:t>
                  </w:r>
                  <w:r>
                    <w:rPr>
                      <w:rFonts w:hint="default" w:ascii="Times New Roman" w:hAnsi="Times New Roman" w:eastAsia="宋体" w:cs="Times New Roman"/>
                      <w:spacing w:val="-7"/>
                      <w:sz w:val="21"/>
                      <w:szCs w:val="21"/>
                      <w:lang w:eastAsia="zh-CN"/>
                    </w:rPr>
                    <w:t>）</w:t>
                  </w:r>
                </w:p>
              </w:tc>
              <w:tc>
                <w:tcPr>
                  <w:tcW w:w="693" w:type="dxa"/>
                  <w:tcBorders>
                    <w:tl2br w:val="nil"/>
                    <w:tr2bl w:val="nil"/>
                  </w:tcBorders>
                  <w:vAlign w:val="center"/>
                </w:tcPr>
                <w:p w14:paraId="2A50EBE4">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1"/>
                      <w:sz w:val="21"/>
                      <w:szCs w:val="21"/>
                    </w:rPr>
                    <w:t>国考</w:t>
                  </w:r>
                </w:p>
              </w:tc>
              <w:tc>
                <w:tcPr>
                  <w:tcW w:w="507" w:type="dxa"/>
                  <w:tcBorders>
                    <w:tl2br w:val="nil"/>
                    <w:tr2bl w:val="nil"/>
                  </w:tcBorders>
                  <w:vAlign w:val="center"/>
                </w:tcPr>
                <w:p w14:paraId="1F2A0923">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467" w:type="dxa"/>
                  <w:tcBorders>
                    <w:tl2br w:val="nil"/>
                    <w:tr2bl w:val="nil"/>
                  </w:tcBorders>
                  <w:vAlign w:val="center"/>
                </w:tcPr>
                <w:p w14:paraId="7A885067">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586" w:type="dxa"/>
                  <w:tcBorders>
                    <w:tl2br w:val="nil"/>
                    <w:tr2bl w:val="nil"/>
                  </w:tcBorders>
                  <w:vAlign w:val="center"/>
                </w:tcPr>
                <w:p w14:paraId="419124C5">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w:t>
                  </w:r>
                </w:p>
              </w:tc>
              <w:tc>
                <w:tcPr>
                  <w:tcW w:w="1052" w:type="dxa"/>
                  <w:tcBorders>
                    <w:tl2br w:val="nil"/>
                    <w:tr2bl w:val="nil"/>
                  </w:tcBorders>
                  <w:vAlign w:val="center"/>
                </w:tcPr>
                <w:p w14:paraId="431130BA">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77C7B7D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44" w:type="dxa"/>
                  <w:tcBorders>
                    <w:tl2br w:val="nil"/>
                    <w:tr2bl w:val="nil"/>
                  </w:tcBorders>
                  <w:vAlign w:val="center"/>
                </w:tcPr>
                <w:p w14:paraId="6E3486F3">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772" w:type="dxa"/>
                  <w:gridSpan w:val="2"/>
                  <w:tcBorders>
                    <w:tl2br w:val="nil"/>
                    <w:tr2bl w:val="nil"/>
                  </w:tcBorders>
                  <w:vAlign w:val="center"/>
                </w:tcPr>
                <w:p w14:paraId="10CCA53E">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御临河干流</w:t>
                  </w:r>
                </w:p>
              </w:tc>
              <w:tc>
                <w:tcPr>
                  <w:tcW w:w="761" w:type="dxa"/>
                  <w:tcBorders>
                    <w:tl2br w:val="nil"/>
                    <w:tr2bl w:val="nil"/>
                  </w:tcBorders>
                  <w:vAlign w:val="center"/>
                </w:tcPr>
                <w:p w14:paraId="0BE4DA66">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双河口大</w:t>
                  </w:r>
                  <w:r>
                    <w:rPr>
                      <w:rFonts w:hint="default" w:ascii="Times New Roman" w:hAnsi="Times New Roman" w:eastAsia="宋体" w:cs="Times New Roman"/>
                      <w:sz w:val="21"/>
                      <w:szCs w:val="21"/>
                    </w:rPr>
                    <w:t>桥</w:t>
                  </w:r>
                </w:p>
              </w:tc>
              <w:tc>
                <w:tcPr>
                  <w:tcW w:w="2816" w:type="dxa"/>
                  <w:tcBorders>
                    <w:tl2br w:val="nil"/>
                    <w:tr2bl w:val="nil"/>
                  </w:tcBorders>
                  <w:vAlign w:val="center"/>
                </w:tcPr>
                <w:p w14:paraId="49247856">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市界</w:t>
                  </w:r>
                  <w:r>
                    <w:rPr>
                      <w:rFonts w:hint="default" w:ascii="Times New Roman" w:hAnsi="Times New Roman" w:eastAsia="宋体" w:cs="Times New Roman"/>
                      <w:spacing w:val="-3"/>
                      <w:sz w:val="21"/>
                      <w:szCs w:val="21"/>
                    </w:rPr>
                    <w:t>(达州市→</w:t>
                  </w:r>
                  <w:r>
                    <w:rPr>
                      <w:rFonts w:hint="default" w:ascii="Times New Roman" w:hAnsi="Times New Roman" w:eastAsia="宋体" w:cs="Times New Roman"/>
                      <w:spacing w:val="-45"/>
                      <w:sz w:val="21"/>
                      <w:szCs w:val="21"/>
                    </w:rPr>
                    <w:t xml:space="preserve"> </w:t>
                  </w:r>
                  <w:r>
                    <w:rPr>
                      <w:rFonts w:hint="default" w:ascii="Times New Roman" w:hAnsi="Times New Roman" w:eastAsia="宋体" w:cs="Times New Roman"/>
                      <w:spacing w:val="-3"/>
                      <w:sz w:val="21"/>
                      <w:szCs w:val="21"/>
                    </w:rPr>
                    <w:t>广安市)</w:t>
                  </w:r>
                </w:p>
              </w:tc>
              <w:tc>
                <w:tcPr>
                  <w:tcW w:w="693" w:type="dxa"/>
                  <w:tcBorders>
                    <w:tl2br w:val="nil"/>
                    <w:tr2bl w:val="nil"/>
                  </w:tcBorders>
                  <w:vAlign w:val="center"/>
                </w:tcPr>
                <w:p w14:paraId="025A03B1">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1"/>
                      <w:sz w:val="21"/>
                      <w:szCs w:val="21"/>
                    </w:rPr>
                    <w:t>国考</w:t>
                  </w:r>
                </w:p>
              </w:tc>
              <w:tc>
                <w:tcPr>
                  <w:tcW w:w="507" w:type="dxa"/>
                  <w:tcBorders>
                    <w:tl2br w:val="nil"/>
                    <w:tr2bl w:val="nil"/>
                  </w:tcBorders>
                  <w:vAlign w:val="center"/>
                </w:tcPr>
                <w:p w14:paraId="7436A6EA">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467" w:type="dxa"/>
                  <w:tcBorders>
                    <w:tl2br w:val="nil"/>
                    <w:tr2bl w:val="nil"/>
                  </w:tcBorders>
                  <w:vAlign w:val="center"/>
                </w:tcPr>
                <w:p w14:paraId="5C1CC063">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586" w:type="dxa"/>
                  <w:tcBorders>
                    <w:tl2br w:val="nil"/>
                    <w:tr2bl w:val="nil"/>
                  </w:tcBorders>
                  <w:vAlign w:val="center"/>
                </w:tcPr>
                <w:p w14:paraId="38BF107D">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1052" w:type="dxa"/>
                  <w:tcBorders>
                    <w:tl2br w:val="nil"/>
                    <w:tr2bl w:val="nil"/>
                  </w:tcBorders>
                  <w:vAlign w:val="center"/>
                </w:tcPr>
                <w:p w14:paraId="62FC20C9">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6581FB3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44" w:type="dxa"/>
                  <w:tcBorders>
                    <w:tl2br w:val="nil"/>
                    <w:tr2bl w:val="nil"/>
                  </w:tcBorders>
                  <w:vAlign w:val="center"/>
                </w:tcPr>
                <w:p w14:paraId="31B284ED">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772" w:type="dxa"/>
                  <w:gridSpan w:val="2"/>
                  <w:tcBorders>
                    <w:tl2br w:val="nil"/>
                    <w:tr2bl w:val="nil"/>
                  </w:tcBorders>
                  <w:vAlign w:val="center"/>
                </w:tcPr>
                <w:p w14:paraId="350A97F1">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大洪河</w:t>
                  </w:r>
                </w:p>
              </w:tc>
              <w:tc>
                <w:tcPr>
                  <w:tcW w:w="761" w:type="dxa"/>
                  <w:tcBorders>
                    <w:tl2br w:val="nil"/>
                    <w:tr2bl w:val="nil"/>
                  </w:tcBorders>
                  <w:vAlign w:val="center"/>
                </w:tcPr>
                <w:p w14:paraId="71F3DA21">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岗架大桥</w:t>
                  </w:r>
                </w:p>
              </w:tc>
              <w:tc>
                <w:tcPr>
                  <w:tcW w:w="2816" w:type="dxa"/>
                  <w:tcBorders>
                    <w:tl2br w:val="nil"/>
                    <w:tr2bl w:val="nil"/>
                  </w:tcBorders>
                  <w:vAlign w:val="center"/>
                </w:tcPr>
                <w:p w14:paraId="6FDC299F">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市界</w:t>
                  </w:r>
                  <w:r>
                    <w:rPr>
                      <w:rFonts w:hint="default" w:ascii="Times New Roman" w:hAnsi="Times New Roman" w:eastAsia="宋体" w:cs="Times New Roman"/>
                      <w:spacing w:val="-3"/>
                      <w:sz w:val="21"/>
                      <w:szCs w:val="21"/>
                      <w:lang w:eastAsia="zh-CN"/>
                    </w:rPr>
                    <w:t>（</w:t>
                  </w:r>
                  <w:r>
                    <w:rPr>
                      <w:rFonts w:hint="default" w:ascii="Times New Roman" w:hAnsi="Times New Roman" w:eastAsia="宋体" w:cs="Times New Roman"/>
                      <w:spacing w:val="-3"/>
                      <w:sz w:val="21"/>
                      <w:szCs w:val="21"/>
                    </w:rPr>
                    <w:t>达州市→</w:t>
                  </w:r>
                  <w:r>
                    <w:rPr>
                      <w:rFonts w:hint="default" w:ascii="Times New Roman" w:hAnsi="Times New Roman" w:eastAsia="宋体" w:cs="Times New Roman"/>
                      <w:spacing w:val="-45"/>
                      <w:sz w:val="21"/>
                      <w:szCs w:val="21"/>
                    </w:rPr>
                    <w:t xml:space="preserve"> </w:t>
                  </w:r>
                  <w:r>
                    <w:rPr>
                      <w:rFonts w:hint="default" w:ascii="Times New Roman" w:hAnsi="Times New Roman" w:eastAsia="宋体" w:cs="Times New Roman"/>
                      <w:spacing w:val="-3"/>
                      <w:sz w:val="21"/>
                      <w:szCs w:val="21"/>
                    </w:rPr>
                    <w:t>广安市</w:t>
                  </w:r>
                  <w:r>
                    <w:rPr>
                      <w:rFonts w:hint="default" w:ascii="Times New Roman" w:hAnsi="Times New Roman" w:eastAsia="宋体" w:cs="Times New Roman"/>
                      <w:spacing w:val="-3"/>
                      <w:sz w:val="21"/>
                      <w:szCs w:val="21"/>
                      <w:lang w:eastAsia="zh-CN"/>
                    </w:rPr>
                    <w:t>）</w:t>
                  </w:r>
                </w:p>
              </w:tc>
              <w:tc>
                <w:tcPr>
                  <w:tcW w:w="693" w:type="dxa"/>
                  <w:tcBorders>
                    <w:tl2br w:val="nil"/>
                    <w:tr2bl w:val="nil"/>
                  </w:tcBorders>
                  <w:vAlign w:val="center"/>
                </w:tcPr>
                <w:p w14:paraId="27590E95">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1"/>
                      <w:sz w:val="21"/>
                      <w:szCs w:val="21"/>
                    </w:rPr>
                    <w:t>国考</w:t>
                  </w:r>
                </w:p>
              </w:tc>
              <w:tc>
                <w:tcPr>
                  <w:tcW w:w="507" w:type="dxa"/>
                  <w:tcBorders>
                    <w:tl2br w:val="nil"/>
                    <w:tr2bl w:val="nil"/>
                  </w:tcBorders>
                  <w:vAlign w:val="center"/>
                </w:tcPr>
                <w:p w14:paraId="76417FCF">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467" w:type="dxa"/>
                  <w:tcBorders>
                    <w:tl2br w:val="nil"/>
                    <w:tr2bl w:val="nil"/>
                  </w:tcBorders>
                  <w:vAlign w:val="center"/>
                </w:tcPr>
                <w:p w14:paraId="58BB7953">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586" w:type="dxa"/>
                  <w:tcBorders>
                    <w:tl2br w:val="nil"/>
                    <w:tr2bl w:val="nil"/>
                  </w:tcBorders>
                  <w:vAlign w:val="center"/>
                </w:tcPr>
                <w:p w14:paraId="0F123F9A">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1052" w:type="dxa"/>
                  <w:tcBorders>
                    <w:tl2br w:val="nil"/>
                    <w:tr2bl w:val="nil"/>
                  </w:tcBorders>
                  <w:vAlign w:val="center"/>
                </w:tcPr>
                <w:p w14:paraId="200029B1">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64E8469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44" w:type="dxa"/>
                  <w:tcBorders>
                    <w:tl2br w:val="nil"/>
                    <w:tr2bl w:val="nil"/>
                  </w:tcBorders>
                  <w:vAlign w:val="center"/>
                </w:tcPr>
                <w:p w14:paraId="24A0979B">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772" w:type="dxa"/>
                  <w:gridSpan w:val="2"/>
                  <w:tcBorders>
                    <w:tl2br w:val="nil"/>
                    <w:tr2bl w:val="nil"/>
                  </w:tcBorders>
                  <w:vAlign w:val="center"/>
                </w:tcPr>
                <w:p w14:paraId="0A546986">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渠江干流</w:t>
                  </w:r>
                </w:p>
              </w:tc>
              <w:tc>
                <w:tcPr>
                  <w:tcW w:w="761" w:type="dxa"/>
                  <w:tcBorders>
                    <w:tl2br w:val="nil"/>
                    <w:tr2bl w:val="nil"/>
                  </w:tcBorders>
                  <w:vAlign w:val="center"/>
                </w:tcPr>
                <w:p w14:paraId="0E96DEC9">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0"/>
                      <w:sz w:val="21"/>
                      <w:szCs w:val="21"/>
                    </w:rPr>
                    <w:t>团堡岭</w:t>
                  </w:r>
                </w:p>
              </w:tc>
              <w:tc>
                <w:tcPr>
                  <w:tcW w:w="2816" w:type="dxa"/>
                  <w:tcBorders>
                    <w:tl2br w:val="nil"/>
                    <w:tr2bl w:val="nil"/>
                  </w:tcBorders>
                  <w:vAlign w:val="center"/>
                </w:tcPr>
                <w:p w14:paraId="1F689081">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市界</w:t>
                  </w:r>
                  <w:r>
                    <w:rPr>
                      <w:rFonts w:hint="default" w:ascii="Times New Roman" w:hAnsi="Times New Roman" w:eastAsia="宋体" w:cs="Times New Roman"/>
                      <w:spacing w:val="-3"/>
                      <w:sz w:val="21"/>
                      <w:szCs w:val="21"/>
                    </w:rPr>
                    <w:t>(达州市→</w:t>
                  </w:r>
                  <w:r>
                    <w:rPr>
                      <w:rFonts w:hint="default" w:ascii="Times New Roman" w:hAnsi="Times New Roman" w:eastAsia="宋体" w:cs="Times New Roman"/>
                      <w:spacing w:val="-45"/>
                      <w:sz w:val="21"/>
                      <w:szCs w:val="21"/>
                    </w:rPr>
                    <w:t xml:space="preserve"> </w:t>
                  </w:r>
                  <w:r>
                    <w:rPr>
                      <w:rFonts w:hint="default" w:ascii="Times New Roman" w:hAnsi="Times New Roman" w:eastAsia="宋体" w:cs="Times New Roman"/>
                      <w:spacing w:val="-3"/>
                      <w:sz w:val="21"/>
                      <w:szCs w:val="21"/>
                    </w:rPr>
                    <w:t>广安市)</w:t>
                  </w:r>
                </w:p>
              </w:tc>
              <w:tc>
                <w:tcPr>
                  <w:tcW w:w="693" w:type="dxa"/>
                  <w:tcBorders>
                    <w:tl2br w:val="nil"/>
                    <w:tr2bl w:val="nil"/>
                  </w:tcBorders>
                  <w:vAlign w:val="center"/>
                </w:tcPr>
                <w:p w14:paraId="4E3F6AC2">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1"/>
                      <w:sz w:val="21"/>
                      <w:szCs w:val="21"/>
                    </w:rPr>
                    <w:t>国考</w:t>
                  </w:r>
                </w:p>
              </w:tc>
              <w:tc>
                <w:tcPr>
                  <w:tcW w:w="507" w:type="dxa"/>
                  <w:tcBorders>
                    <w:tl2br w:val="nil"/>
                    <w:tr2bl w:val="nil"/>
                  </w:tcBorders>
                  <w:vAlign w:val="center"/>
                </w:tcPr>
                <w:p w14:paraId="326155F3">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467" w:type="dxa"/>
                  <w:tcBorders>
                    <w:tl2br w:val="nil"/>
                    <w:tr2bl w:val="nil"/>
                  </w:tcBorders>
                  <w:vAlign w:val="center"/>
                </w:tcPr>
                <w:p w14:paraId="464E90CF">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586" w:type="dxa"/>
                  <w:tcBorders>
                    <w:tl2br w:val="nil"/>
                    <w:tr2bl w:val="nil"/>
                  </w:tcBorders>
                  <w:vAlign w:val="center"/>
                </w:tcPr>
                <w:p w14:paraId="3DADC4B3">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1052" w:type="dxa"/>
                  <w:tcBorders>
                    <w:tl2br w:val="nil"/>
                    <w:tr2bl w:val="nil"/>
                  </w:tcBorders>
                  <w:vAlign w:val="center"/>
                </w:tcPr>
                <w:p w14:paraId="1C74044D">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2859783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44" w:type="dxa"/>
                  <w:tcBorders>
                    <w:tl2br w:val="nil"/>
                    <w:tr2bl w:val="nil"/>
                  </w:tcBorders>
                  <w:vAlign w:val="center"/>
                </w:tcPr>
                <w:p w14:paraId="29415B8B">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772" w:type="dxa"/>
                  <w:gridSpan w:val="2"/>
                  <w:tcBorders>
                    <w:tl2br w:val="nil"/>
                    <w:tr2bl w:val="nil"/>
                  </w:tcBorders>
                  <w:vAlign w:val="center"/>
                </w:tcPr>
                <w:p w14:paraId="22AE47FF">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流江河</w:t>
                  </w:r>
                </w:p>
              </w:tc>
              <w:tc>
                <w:tcPr>
                  <w:tcW w:w="761" w:type="dxa"/>
                  <w:tcBorders>
                    <w:tl2br w:val="nil"/>
                    <w:tr2bl w:val="nil"/>
                  </w:tcBorders>
                  <w:vAlign w:val="center"/>
                </w:tcPr>
                <w:p w14:paraId="257CC35E">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2"/>
                      <w:sz w:val="21"/>
                      <w:szCs w:val="21"/>
                    </w:rPr>
                    <w:t>白兔乡</w:t>
                  </w:r>
                </w:p>
              </w:tc>
              <w:tc>
                <w:tcPr>
                  <w:tcW w:w="2816" w:type="dxa"/>
                  <w:tcBorders>
                    <w:tl2br w:val="nil"/>
                    <w:tr2bl w:val="nil"/>
                  </w:tcBorders>
                  <w:vAlign w:val="center"/>
                </w:tcPr>
                <w:p w14:paraId="55880DB1">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市界</w:t>
                  </w:r>
                  <w:r>
                    <w:rPr>
                      <w:rFonts w:hint="default" w:ascii="Times New Roman" w:hAnsi="Times New Roman" w:eastAsia="宋体" w:cs="Times New Roman"/>
                      <w:spacing w:val="-4"/>
                      <w:sz w:val="21"/>
                      <w:szCs w:val="21"/>
                    </w:rPr>
                    <w:t>(南充市→</w:t>
                  </w:r>
                  <w:r>
                    <w:rPr>
                      <w:rFonts w:hint="default" w:ascii="Times New Roman" w:hAnsi="Times New Roman" w:eastAsia="宋体" w:cs="Times New Roman"/>
                      <w:spacing w:val="-36"/>
                      <w:sz w:val="21"/>
                      <w:szCs w:val="21"/>
                    </w:rPr>
                    <w:t xml:space="preserve"> </w:t>
                  </w:r>
                  <w:r>
                    <w:rPr>
                      <w:rFonts w:hint="default" w:ascii="Times New Roman" w:hAnsi="Times New Roman" w:eastAsia="宋体" w:cs="Times New Roman"/>
                      <w:spacing w:val="-4"/>
                      <w:sz w:val="21"/>
                      <w:szCs w:val="21"/>
                    </w:rPr>
                    <w:t>达州市)</w:t>
                  </w:r>
                </w:p>
              </w:tc>
              <w:tc>
                <w:tcPr>
                  <w:tcW w:w="693" w:type="dxa"/>
                  <w:tcBorders>
                    <w:tl2br w:val="nil"/>
                    <w:tr2bl w:val="nil"/>
                  </w:tcBorders>
                  <w:vAlign w:val="center"/>
                </w:tcPr>
                <w:p w14:paraId="3EC566A4">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1"/>
                      <w:sz w:val="21"/>
                      <w:szCs w:val="21"/>
                    </w:rPr>
                    <w:t>国控</w:t>
                  </w:r>
                </w:p>
              </w:tc>
              <w:tc>
                <w:tcPr>
                  <w:tcW w:w="507" w:type="dxa"/>
                  <w:tcBorders>
                    <w:tl2br w:val="nil"/>
                    <w:tr2bl w:val="nil"/>
                  </w:tcBorders>
                  <w:vAlign w:val="center"/>
                </w:tcPr>
                <w:p w14:paraId="727B1EBD">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467" w:type="dxa"/>
                  <w:tcBorders>
                    <w:tl2br w:val="nil"/>
                    <w:tr2bl w:val="nil"/>
                  </w:tcBorders>
                  <w:vAlign w:val="center"/>
                </w:tcPr>
                <w:p w14:paraId="7DB74968">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586" w:type="dxa"/>
                  <w:tcBorders>
                    <w:tl2br w:val="nil"/>
                    <w:tr2bl w:val="nil"/>
                  </w:tcBorders>
                  <w:vAlign w:val="center"/>
                </w:tcPr>
                <w:p w14:paraId="4A87E472">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1052" w:type="dxa"/>
                  <w:tcBorders>
                    <w:tl2br w:val="nil"/>
                    <w:tr2bl w:val="nil"/>
                  </w:tcBorders>
                  <w:vAlign w:val="center"/>
                </w:tcPr>
                <w:p w14:paraId="4D25FC4F">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35851EE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44" w:type="dxa"/>
                  <w:tcBorders>
                    <w:tl2br w:val="nil"/>
                    <w:tr2bl w:val="nil"/>
                  </w:tcBorders>
                  <w:vAlign w:val="center"/>
                </w:tcPr>
                <w:p w14:paraId="6D6C53B3">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322" w:type="dxa"/>
                  <w:vMerge w:val="restart"/>
                  <w:tcBorders>
                    <w:tl2br w:val="nil"/>
                    <w:tr2bl w:val="nil"/>
                  </w:tcBorders>
                  <w:vAlign w:val="center"/>
                </w:tcPr>
                <w:p w14:paraId="4441A1A3">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2"/>
                      <w:sz w:val="21"/>
                      <w:szCs w:val="21"/>
                    </w:rPr>
                    <w:t>巴河</w:t>
                  </w:r>
                  <w:r>
                    <w:rPr>
                      <w:rFonts w:hint="default" w:ascii="Times New Roman" w:hAnsi="Times New Roman" w:eastAsia="宋体" w:cs="Times New Roman"/>
                      <w:spacing w:val="-4"/>
                      <w:sz w:val="21"/>
                      <w:szCs w:val="21"/>
                    </w:rPr>
                    <w:t>水系</w:t>
                  </w:r>
                </w:p>
              </w:tc>
              <w:tc>
                <w:tcPr>
                  <w:tcW w:w="450" w:type="dxa"/>
                  <w:vMerge w:val="restart"/>
                  <w:tcBorders>
                    <w:tl2br w:val="nil"/>
                    <w:tr2bl w:val="nil"/>
                  </w:tcBorders>
                  <w:vAlign w:val="center"/>
                </w:tcPr>
                <w:p w14:paraId="5E848F3B">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干流</w:t>
                  </w:r>
                </w:p>
              </w:tc>
              <w:tc>
                <w:tcPr>
                  <w:tcW w:w="761" w:type="dxa"/>
                  <w:tcBorders>
                    <w:tl2br w:val="nil"/>
                    <w:tr2bl w:val="nil"/>
                  </w:tcBorders>
                  <w:vAlign w:val="center"/>
                </w:tcPr>
                <w:p w14:paraId="6CBCBCD7">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江陵</w:t>
                  </w:r>
                </w:p>
              </w:tc>
              <w:tc>
                <w:tcPr>
                  <w:tcW w:w="2816" w:type="dxa"/>
                  <w:tcBorders>
                    <w:tl2br w:val="nil"/>
                    <w:tr2bl w:val="nil"/>
                  </w:tcBorders>
                  <w:vAlign w:val="center"/>
                </w:tcPr>
                <w:p w14:paraId="055B9007">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市界</w:t>
                  </w:r>
                  <w:r>
                    <w:rPr>
                      <w:rFonts w:hint="default" w:ascii="Times New Roman" w:hAnsi="Times New Roman" w:eastAsia="宋体" w:cs="Times New Roman"/>
                      <w:spacing w:val="-4"/>
                      <w:sz w:val="21"/>
                      <w:szCs w:val="21"/>
                    </w:rPr>
                    <w:t>(巴中市→</w:t>
                  </w:r>
                  <w:r>
                    <w:rPr>
                      <w:rFonts w:hint="default" w:ascii="Times New Roman" w:hAnsi="Times New Roman" w:eastAsia="宋体" w:cs="Times New Roman"/>
                      <w:spacing w:val="-36"/>
                      <w:sz w:val="21"/>
                      <w:szCs w:val="21"/>
                    </w:rPr>
                    <w:t xml:space="preserve"> </w:t>
                  </w:r>
                  <w:r>
                    <w:rPr>
                      <w:rFonts w:hint="default" w:ascii="Times New Roman" w:hAnsi="Times New Roman" w:eastAsia="宋体" w:cs="Times New Roman"/>
                      <w:spacing w:val="-4"/>
                      <w:sz w:val="21"/>
                      <w:szCs w:val="21"/>
                    </w:rPr>
                    <w:t>达州市)</w:t>
                  </w:r>
                </w:p>
              </w:tc>
              <w:tc>
                <w:tcPr>
                  <w:tcW w:w="693" w:type="dxa"/>
                  <w:tcBorders>
                    <w:tl2br w:val="nil"/>
                    <w:tr2bl w:val="nil"/>
                  </w:tcBorders>
                  <w:vAlign w:val="center"/>
                </w:tcPr>
                <w:p w14:paraId="410CB517">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1"/>
                      <w:sz w:val="21"/>
                      <w:szCs w:val="21"/>
                    </w:rPr>
                    <w:t>国考</w:t>
                  </w:r>
                </w:p>
              </w:tc>
              <w:tc>
                <w:tcPr>
                  <w:tcW w:w="507" w:type="dxa"/>
                  <w:tcBorders>
                    <w:tl2br w:val="nil"/>
                    <w:tr2bl w:val="nil"/>
                  </w:tcBorders>
                  <w:vAlign w:val="center"/>
                </w:tcPr>
                <w:p w14:paraId="535484D6">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w:t>
                  </w:r>
                </w:p>
              </w:tc>
              <w:tc>
                <w:tcPr>
                  <w:tcW w:w="467" w:type="dxa"/>
                  <w:tcBorders>
                    <w:tl2br w:val="nil"/>
                    <w:tr2bl w:val="nil"/>
                  </w:tcBorders>
                  <w:vAlign w:val="center"/>
                </w:tcPr>
                <w:p w14:paraId="23206B5F">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586" w:type="dxa"/>
                  <w:tcBorders>
                    <w:tl2br w:val="nil"/>
                    <w:tr2bl w:val="nil"/>
                  </w:tcBorders>
                  <w:vAlign w:val="center"/>
                </w:tcPr>
                <w:p w14:paraId="5EE33AA4">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1052" w:type="dxa"/>
                  <w:tcBorders>
                    <w:tl2br w:val="nil"/>
                    <w:tr2bl w:val="nil"/>
                  </w:tcBorders>
                  <w:vAlign w:val="center"/>
                </w:tcPr>
                <w:p w14:paraId="319E9411">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582E590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2" w:hRule="atLeast"/>
                <w:jc w:val="center"/>
              </w:trPr>
              <w:tc>
                <w:tcPr>
                  <w:tcW w:w="444" w:type="dxa"/>
                  <w:tcBorders>
                    <w:tl2br w:val="nil"/>
                    <w:tr2bl w:val="nil"/>
                  </w:tcBorders>
                  <w:vAlign w:val="center"/>
                </w:tcPr>
                <w:p w14:paraId="3A8E9A63">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322" w:type="dxa"/>
                  <w:vMerge w:val="continue"/>
                  <w:tcBorders>
                    <w:tl2br w:val="nil"/>
                    <w:tr2bl w:val="nil"/>
                  </w:tcBorders>
                  <w:vAlign w:val="center"/>
                </w:tcPr>
                <w:p w14:paraId="1DDFEED3">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450" w:type="dxa"/>
                  <w:vMerge w:val="continue"/>
                  <w:tcBorders>
                    <w:tl2br w:val="nil"/>
                    <w:tr2bl w:val="nil"/>
                  </w:tcBorders>
                  <w:vAlign w:val="center"/>
                </w:tcPr>
                <w:p w14:paraId="16A05EE7">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761" w:type="dxa"/>
                  <w:tcBorders>
                    <w:tl2br w:val="nil"/>
                    <w:tr2bl w:val="nil"/>
                  </w:tcBorders>
                  <w:vAlign w:val="center"/>
                </w:tcPr>
                <w:p w14:paraId="5F7ECB66">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大蹬沟</w:t>
                  </w:r>
                </w:p>
              </w:tc>
              <w:tc>
                <w:tcPr>
                  <w:tcW w:w="2816" w:type="dxa"/>
                  <w:tcBorders>
                    <w:tl2br w:val="nil"/>
                    <w:tr2bl w:val="nil"/>
                  </w:tcBorders>
                  <w:vAlign w:val="center"/>
                </w:tcPr>
                <w:p w14:paraId="366FE1E2">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渠县境内</w:t>
                  </w:r>
                </w:p>
              </w:tc>
              <w:tc>
                <w:tcPr>
                  <w:tcW w:w="693" w:type="dxa"/>
                  <w:tcBorders>
                    <w:tl2br w:val="nil"/>
                    <w:tr2bl w:val="nil"/>
                  </w:tcBorders>
                  <w:vAlign w:val="center"/>
                </w:tcPr>
                <w:p w14:paraId="301600AE">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1"/>
                      <w:sz w:val="21"/>
                      <w:szCs w:val="21"/>
                    </w:rPr>
                    <w:t>国考</w:t>
                  </w:r>
                </w:p>
              </w:tc>
              <w:tc>
                <w:tcPr>
                  <w:tcW w:w="507" w:type="dxa"/>
                  <w:tcBorders>
                    <w:tl2br w:val="nil"/>
                    <w:tr2bl w:val="nil"/>
                  </w:tcBorders>
                  <w:vAlign w:val="center"/>
                </w:tcPr>
                <w:p w14:paraId="7FC2B0CB">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467" w:type="dxa"/>
                  <w:tcBorders>
                    <w:tl2br w:val="nil"/>
                    <w:tr2bl w:val="nil"/>
                  </w:tcBorders>
                  <w:vAlign w:val="center"/>
                </w:tcPr>
                <w:p w14:paraId="4312E3DA">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586" w:type="dxa"/>
                  <w:tcBorders>
                    <w:tl2br w:val="nil"/>
                    <w:tr2bl w:val="nil"/>
                  </w:tcBorders>
                  <w:vAlign w:val="center"/>
                </w:tcPr>
                <w:p w14:paraId="023940A1">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1052" w:type="dxa"/>
                  <w:tcBorders>
                    <w:tl2br w:val="nil"/>
                    <w:tr2bl w:val="nil"/>
                  </w:tcBorders>
                  <w:vAlign w:val="center"/>
                </w:tcPr>
                <w:p w14:paraId="7E29CB98">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627D1DC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44" w:type="dxa"/>
                  <w:tcBorders>
                    <w:tl2br w:val="nil"/>
                    <w:tr2bl w:val="nil"/>
                  </w:tcBorders>
                  <w:vAlign w:val="center"/>
                </w:tcPr>
                <w:p w14:paraId="4AE4B0AB">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10</w:t>
                  </w:r>
                </w:p>
              </w:tc>
              <w:tc>
                <w:tcPr>
                  <w:tcW w:w="322" w:type="dxa"/>
                  <w:vMerge w:val="continue"/>
                  <w:tcBorders>
                    <w:tl2br w:val="nil"/>
                    <w:tr2bl w:val="nil"/>
                  </w:tcBorders>
                  <w:vAlign w:val="center"/>
                </w:tcPr>
                <w:p w14:paraId="3780B725">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450" w:type="dxa"/>
                  <w:vMerge w:val="continue"/>
                  <w:tcBorders>
                    <w:tl2br w:val="nil"/>
                    <w:tr2bl w:val="nil"/>
                  </w:tcBorders>
                  <w:vAlign w:val="center"/>
                </w:tcPr>
                <w:p w14:paraId="429A9843">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761" w:type="dxa"/>
                  <w:tcBorders>
                    <w:tl2br w:val="nil"/>
                    <w:tr2bl w:val="nil"/>
                  </w:tcBorders>
                  <w:vAlign w:val="center"/>
                </w:tcPr>
                <w:p w14:paraId="5535689C">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排马梯</w:t>
                  </w:r>
                </w:p>
              </w:tc>
              <w:tc>
                <w:tcPr>
                  <w:tcW w:w="2816" w:type="dxa"/>
                  <w:tcBorders>
                    <w:tl2br w:val="nil"/>
                    <w:tr2bl w:val="nil"/>
                  </w:tcBorders>
                  <w:vAlign w:val="center"/>
                </w:tcPr>
                <w:p w14:paraId="16A2F19C">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县界</w:t>
                  </w:r>
                  <w:r>
                    <w:rPr>
                      <w:rFonts w:hint="default" w:ascii="Times New Roman" w:hAnsi="Times New Roman" w:eastAsia="宋体" w:cs="Times New Roman"/>
                      <w:spacing w:val="-4"/>
                      <w:sz w:val="21"/>
                      <w:szCs w:val="21"/>
                    </w:rPr>
                    <w:t>(通川区→</w:t>
                  </w:r>
                  <w:r>
                    <w:rPr>
                      <w:rFonts w:hint="default" w:ascii="Times New Roman" w:hAnsi="Times New Roman" w:eastAsia="宋体" w:cs="Times New Roman"/>
                      <w:spacing w:val="-36"/>
                      <w:sz w:val="21"/>
                      <w:szCs w:val="21"/>
                    </w:rPr>
                    <w:t xml:space="preserve"> </w:t>
                  </w:r>
                  <w:r>
                    <w:rPr>
                      <w:rFonts w:hint="default" w:ascii="Times New Roman" w:hAnsi="Times New Roman" w:eastAsia="宋体" w:cs="Times New Roman"/>
                      <w:spacing w:val="-4"/>
                      <w:sz w:val="21"/>
                      <w:szCs w:val="21"/>
                    </w:rPr>
                    <w:t>达川区)</w:t>
                  </w:r>
                </w:p>
              </w:tc>
              <w:tc>
                <w:tcPr>
                  <w:tcW w:w="693" w:type="dxa"/>
                  <w:tcBorders>
                    <w:tl2br w:val="nil"/>
                    <w:tr2bl w:val="nil"/>
                  </w:tcBorders>
                  <w:vAlign w:val="center"/>
                </w:tcPr>
                <w:p w14:paraId="03F44B4B">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省控考核评价</w:t>
                  </w:r>
                </w:p>
              </w:tc>
              <w:tc>
                <w:tcPr>
                  <w:tcW w:w="507" w:type="dxa"/>
                  <w:tcBorders>
                    <w:tl2br w:val="nil"/>
                    <w:tr2bl w:val="nil"/>
                  </w:tcBorders>
                  <w:vAlign w:val="center"/>
                </w:tcPr>
                <w:p w14:paraId="3CC07385">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467" w:type="dxa"/>
                  <w:tcBorders>
                    <w:tl2br w:val="nil"/>
                    <w:tr2bl w:val="nil"/>
                  </w:tcBorders>
                  <w:vAlign w:val="center"/>
                </w:tcPr>
                <w:p w14:paraId="6CCD7C24">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586" w:type="dxa"/>
                  <w:tcBorders>
                    <w:tl2br w:val="nil"/>
                    <w:tr2bl w:val="nil"/>
                  </w:tcBorders>
                  <w:vAlign w:val="center"/>
                </w:tcPr>
                <w:p w14:paraId="1C5949AC">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1052" w:type="dxa"/>
                  <w:tcBorders>
                    <w:tl2br w:val="nil"/>
                    <w:tr2bl w:val="nil"/>
                  </w:tcBorders>
                  <w:vAlign w:val="center"/>
                </w:tcPr>
                <w:p w14:paraId="6C8C9F7E">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33DE68F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44" w:type="dxa"/>
                  <w:tcBorders>
                    <w:tl2br w:val="nil"/>
                    <w:tr2bl w:val="nil"/>
                  </w:tcBorders>
                  <w:vAlign w:val="center"/>
                </w:tcPr>
                <w:p w14:paraId="49ECFAD2">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0"/>
                      <w:sz w:val="21"/>
                      <w:szCs w:val="21"/>
                    </w:rPr>
                    <w:t>11</w:t>
                  </w:r>
                </w:p>
              </w:tc>
              <w:tc>
                <w:tcPr>
                  <w:tcW w:w="322" w:type="dxa"/>
                  <w:vMerge w:val="continue"/>
                  <w:tcBorders>
                    <w:tl2br w:val="nil"/>
                    <w:tr2bl w:val="nil"/>
                  </w:tcBorders>
                  <w:vAlign w:val="center"/>
                </w:tcPr>
                <w:p w14:paraId="2B5DC12D">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450" w:type="dxa"/>
                  <w:vMerge w:val="continue"/>
                  <w:tcBorders>
                    <w:tl2br w:val="nil"/>
                    <w:tr2bl w:val="nil"/>
                  </w:tcBorders>
                  <w:vAlign w:val="center"/>
                </w:tcPr>
                <w:p w14:paraId="3C2157C6">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761" w:type="dxa"/>
                  <w:tcBorders>
                    <w:tl2br w:val="nil"/>
                    <w:tr2bl w:val="nil"/>
                  </w:tcBorders>
                  <w:vAlign w:val="center"/>
                </w:tcPr>
                <w:p w14:paraId="05244D0A">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清河坝</w:t>
                  </w:r>
                </w:p>
              </w:tc>
              <w:tc>
                <w:tcPr>
                  <w:tcW w:w="2816" w:type="dxa"/>
                  <w:tcBorders>
                    <w:tl2br w:val="nil"/>
                    <w:tr2bl w:val="nil"/>
                  </w:tcBorders>
                  <w:vAlign w:val="center"/>
                </w:tcPr>
                <w:p w14:paraId="7D4BED9D">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县界(达川区→</w:t>
                  </w:r>
                  <w:r>
                    <w:rPr>
                      <w:rFonts w:hint="default" w:ascii="Times New Roman" w:hAnsi="Times New Roman" w:eastAsia="宋体" w:cs="Times New Roman"/>
                      <w:spacing w:val="-32"/>
                      <w:sz w:val="21"/>
                      <w:szCs w:val="21"/>
                    </w:rPr>
                    <w:t xml:space="preserve"> </w:t>
                  </w:r>
                  <w:r>
                    <w:rPr>
                      <w:rFonts w:hint="default" w:ascii="Times New Roman" w:hAnsi="Times New Roman" w:eastAsia="宋体" w:cs="Times New Roman"/>
                      <w:spacing w:val="-5"/>
                      <w:sz w:val="21"/>
                      <w:szCs w:val="21"/>
                    </w:rPr>
                    <w:t>渠县)</w:t>
                  </w:r>
                </w:p>
              </w:tc>
              <w:tc>
                <w:tcPr>
                  <w:tcW w:w="693" w:type="dxa"/>
                  <w:tcBorders>
                    <w:tl2br w:val="nil"/>
                    <w:tr2bl w:val="nil"/>
                  </w:tcBorders>
                  <w:vAlign w:val="center"/>
                </w:tcPr>
                <w:p w14:paraId="3F70DF06">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省控考核评价</w:t>
                  </w:r>
                </w:p>
              </w:tc>
              <w:tc>
                <w:tcPr>
                  <w:tcW w:w="507" w:type="dxa"/>
                  <w:tcBorders>
                    <w:tl2br w:val="nil"/>
                    <w:tr2bl w:val="nil"/>
                  </w:tcBorders>
                  <w:vAlign w:val="center"/>
                </w:tcPr>
                <w:p w14:paraId="22FCFCD5">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467" w:type="dxa"/>
                  <w:tcBorders>
                    <w:tl2br w:val="nil"/>
                    <w:tr2bl w:val="nil"/>
                  </w:tcBorders>
                  <w:vAlign w:val="center"/>
                </w:tcPr>
                <w:p w14:paraId="63756335">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586" w:type="dxa"/>
                  <w:tcBorders>
                    <w:tl2br w:val="nil"/>
                    <w:tr2bl w:val="nil"/>
                  </w:tcBorders>
                  <w:vAlign w:val="center"/>
                </w:tcPr>
                <w:p w14:paraId="77ED885D">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1052" w:type="dxa"/>
                  <w:tcBorders>
                    <w:tl2br w:val="nil"/>
                    <w:tr2bl w:val="nil"/>
                  </w:tcBorders>
                  <w:vAlign w:val="center"/>
                </w:tcPr>
                <w:p w14:paraId="6C7E5D5C">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6064C73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6" w:hRule="atLeast"/>
                <w:jc w:val="center"/>
              </w:trPr>
              <w:tc>
                <w:tcPr>
                  <w:tcW w:w="444" w:type="dxa"/>
                  <w:tcBorders>
                    <w:tl2br w:val="nil"/>
                    <w:tr2bl w:val="nil"/>
                  </w:tcBorders>
                  <w:vAlign w:val="center"/>
                </w:tcPr>
                <w:p w14:paraId="0EB45F24">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12</w:t>
                  </w:r>
                </w:p>
              </w:tc>
              <w:tc>
                <w:tcPr>
                  <w:tcW w:w="322" w:type="dxa"/>
                  <w:vMerge w:val="continue"/>
                  <w:tcBorders>
                    <w:tl2br w:val="nil"/>
                    <w:tr2bl w:val="nil"/>
                  </w:tcBorders>
                  <w:vAlign w:val="center"/>
                </w:tcPr>
                <w:p w14:paraId="79C933C4">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450" w:type="dxa"/>
                  <w:tcBorders>
                    <w:tl2br w:val="nil"/>
                    <w:tr2bl w:val="nil"/>
                  </w:tcBorders>
                  <w:vAlign w:val="center"/>
                </w:tcPr>
                <w:p w14:paraId="3F7547A8">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月滩河</w:t>
                  </w:r>
                </w:p>
              </w:tc>
              <w:tc>
                <w:tcPr>
                  <w:tcW w:w="761" w:type="dxa"/>
                  <w:tcBorders>
                    <w:tl2br w:val="nil"/>
                    <w:tr2bl w:val="nil"/>
                  </w:tcBorders>
                  <w:vAlign w:val="center"/>
                </w:tcPr>
                <w:p w14:paraId="5269A951">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苟家湾</w:t>
                  </w:r>
                </w:p>
              </w:tc>
              <w:tc>
                <w:tcPr>
                  <w:tcW w:w="2816" w:type="dxa"/>
                  <w:tcBorders>
                    <w:tl2br w:val="nil"/>
                    <w:tr2bl w:val="nil"/>
                  </w:tcBorders>
                  <w:vAlign w:val="center"/>
                </w:tcPr>
                <w:p w14:paraId="36CF2445">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市界</w:t>
                  </w:r>
                  <w:r>
                    <w:rPr>
                      <w:rFonts w:hint="default" w:ascii="Times New Roman" w:hAnsi="Times New Roman" w:eastAsia="宋体" w:cs="Times New Roman"/>
                      <w:spacing w:val="-7"/>
                      <w:sz w:val="21"/>
                      <w:szCs w:val="21"/>
                    </w:rPr>
                    <w:t>(达州市→巴中市)</w:t>
                  </w:r>
                </w:p>
              </w:tc>
              <w:tc>
                <w:tcPr>
                  <w:tcW w:w="693" w:type="dxa"/>
                  <w:tcBorders>
                    <w:tl2br w:val="nil"/>
                    <w:tr2bl w:val="nil"/>
                  </w:tcBorders>
                  <w:vAlign w:val="center"/>
                </w:tcPr>
                <w:p w14:paraId="3A328AD6">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1"/>
                      <w:sz w:val="21"/>
                      <w:szCs w:val="21"/>
                    </w:rPr>
                    <w:t>国考</w:t>
                  </w:r>
                </w:p>
              </w:tc>
              <w:tc>
                <w:tcPr>
                  <w:tcW w:w="507" w:type="dxa"/>
                  <w:tcBorders>
                    <w:tl2br w:val="nil"/>
                    <w:tr2bl w:val="nil"/>
                  </w:tcBorders>
                  <w:vAlign w:val="center"/>
                </w:tcPr>
                <w:p w14:paraId="0168B2B9">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467" w:type="dxa"/>
                  <w:tcBorders>
                    <w:tl2br w:val="nil"/>
                    <w:tr2bl w:val="nil"/>
                  </w:tcBorders>
                  <w:vAlign w:val="center"/>
                </w:tcPr>
                <w:p w14:paraId="49A15402">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w:t>
                  </w:r>
                </w:p>
              </w:tc>
              <w:tc>
                <w:tcPr>
                  <w:tcW w:w="586" w:type="dxa"/>
                  <w:tcBorders>
                    <w:tl2br w:val="nil"/>
                    <w:tr2bl w:val="nil"/>
                  </w:tcBorders>
                  <w:vAlign w:val="center"/>
                </w:tcPr>
                <w:p w14:paraId="43786106">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w:t>
                  </w:r>
                </w:p>
              </w:tc>
              <w:tc>
                <w:tcPr>
                  <w:tcW w:w="1052" w:type="dxa"/>
                  <w:tcBorders>
                    <w:tl2br w:val="nil"/>
                    <w:tr2bl w:val="nil"/>
                  </w:tcBorders>
                  <w:vAlign w:val="center"/>
                </w:tcPr>
                <w:p w14:paraId="44EFD2F8">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7E70B54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44" w:type="dxa"/>
                  <w:tcBorders>
                    <w:tl2br w:val="nil"/>
                    <w:tr2bl w:val="nil"/>
                  </w:tcBorders>
                  <w:vAlign w:val="center"/>
                </w:tcPr>
                <w:p w14:paraId="189592F4">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13</w:t>
                  </w:r>
                </w:p>
              </w:tc>
              <w:tc>
                <w:tcPr>
                  <w:tcW w:w="322" w:type="dxa"/>
                  <w:vMerge w:val="continue"/>
                  <w:tcBorders>
                    <w:tl2br w:val="nil"/>
                    <w:tr2bl w:val="nil"/>
                  </w:tcBorders>
                  <w:vAlign w:val="center"/>
                </w:tcPr>
                <w:p w14:paraId="1CA04ECE">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450" w:type="dxa"/>
                  <w:tcBorders>
                    <w:tl2br w:val="nil"/>
                    <w:tr2bl w:val="nil"/>
                  </w:tcBorders>
                  <w:vAlign w:val="center"/>
                </w:tcPr>
                <w:p w14:paraId="00A31B0F">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澌滩河</w:t>
                  </w:r>
                </w:p>
              </w:tc>
              <w:tc>
                <w:tcPr>
                  <w:tcW w:w="761" w:type="dxa"/>
                  <w:tcBorders>
                    <w:tl2br w:val="nil"/>
                    <w:tr2bl w:val="nil"/>
                  </w:tcBorders>
                  <w:vAlign w:val="center"/>
                </w:tcPr>
                <w:p w14:paraId="26012D53">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0"/>
                      <w:sz w:val="21"/>
                      <w:szCs w:val="21"/>
                    </w:rPr>
                    <w:t>园门</w:t>
                  </w:r>
                </w:p>
              </w:tc>
              <w:tc>
                <w:tcPr>
                  <w:tcW w:w="2816" w:type="dxa"/>
                  <w:tcBorders>
                    <w:tl2br w:val="nil"/>
                    <w:tr2bl w:val="nil"/>
                  </w:tcBorders>
                  <w:vAlign w:val="center"/>
                </w:tcPr>
                <w:p w14:paraId="2F7727C2">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市界</w:t>
                  </w:r>
                  <w:r>
                    <w:rPr>
                      <w:rFonts w:hint="default" w:ascii="Times New Roman" w:hAnsi="Times New Roman" w:eastAsia="宋体" w:cs="Times New Roman"/>
                      <w:spacing w:val="-7"/>
                      <w:sz w:val="21"/>
                      <w:szCs w:val="21"/>
                    </w:rPr>
                    <w:t>(达州市→巴中市)</w:t>
                  </w:r>
                </w:p>
              </w:tc>
              <w:tc>
                <w:tcPr>
                  <w:tcW w:w="693" w:type="dxa"/>
                  <w:tcBorders>
                    <w:tl2br w:val="nil"/>
                    <w:tr2bl w:val="nil"/>
                  </w:tcBorders>
                  <w:vAlign w:val="center"/>
                </w:tcPr>
                <w:p w14:paraId="47715B2D">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1"/>
                      <w:sz w:val="21"/>
                      <w:szCs w:val="21"/>
                    </w:rPr>
                    <w:t>国考</w:t>
                  </w:r>
                </w:p>
              </w:tc>
              <w:tc>
                <w:tcPr>
                  <w:tcW w:w="507" w:type="dxa"/>
                  <w:tcBorders>
                    <w:tl2br w:val="nil"/>
                    <w:tr2bl w:val="nil"/>
                  </w:tcBorders>
                  <w:vAlign w:val="center"/>
                </w:tcPr>
                <w:p w14:paraId="20347CD0">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467" w:type="dxa"/>
                  <w:tcBorders>
                    <w:tl2br w:val="nil"/>
                    <w:tr2bl w:val="nil"/>
                  </w:tcBorders>
                  <w:vAlign w:val="center"/>
                </w:tcPr>
                <w:p w14:paraId="1D11C58C">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586" w:type="dxa"/>
                  <w:tcBorders>
                    <w:tl2br w:val="nil"/>
                    <w:tr2bl w:val="nil"/>
                  </w:tcBorders>
                  <w:vAlign w:val="center"/>
                </w:tcPr>
                <w:p w14:paraId="7AB5B6F0">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1052" w:type="dxa"/>
                  <w:tcBorders>
                    <w:tl2br w:val="nil"/>
                    <w:tr2bl w:val="nil"/>
                  </w:tcBorders>
                  <w:vAlign w:val="center"/>
                </w:tcPr>
                <w:p w14:paraId="4390223D">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10F1AE7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2" w:hRule="atLeast"/>
                <w:jc w:val="center"/>
              </w:trPr>
              <w:tc>
                <w:tcPr>
                  <w:tcW w:w="444" w:type="dxa"/>
                  <w:tcBorders>
                    <w:tl2br w:val="nil"/>
                    <w:tr2bl w:val="nil"/>
                  </w:tcBorders>
                  <w:vAlign w:val="center"/>
                </w:tcPr>
                <w:p w14:paraId="4E4AF941">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14</w:t>
                  </w:r>
                </w:p>
              </w:tc>
              <w:tc>
                <w:tcPr>
                  <w:tcW w:w="322" w:type="dxa"/>
                  <w:vMerge w:val="restart"/>
                  <w:tcBorders>
                    <w:tl2br w:val="nil"/>
                    <w:tr2bl w:val="nil"/>
                  </w:tcBorders>
                  <w:vAlign w:val="center"/>
                </w:tcPr>
                <w:p w14:paraId="6C4C081B">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州河</w:t>
                  </w:r>
                  <w:r>
                    <w:rPr>
                      <w:rFonts w:hint="default" w:ascii="Times New Roman" w:hAnsi="Times New Roman" w:eastAsia="宋体" w:cs="Times New Roman"/>
                      <w:spacing w:val="-4"/>
                      <w:sz w:val="21"/>
                      <w:szCs w:val="21"/>
                    </w:rPr>
                    <w:t>水系</w:t>
                  </w:r>
                </w:p>
              </w:tc>
              <w:tc>
                <w:tcPr>
                  <w:tcW w:w="450" w:type="dxa"/>
                  <w:vMerge w:val="restart"/>
                  <w:tcBorders>
                    <w:tl2br w:val="nil"/>
                    <w:tr2bl w:val="nil"/>
                  </w:tcBorders>
                  <w:vAlign w:val="center"/>
                </w:tcPr>
                <w:p w14:paraId="15D49EB1">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干流</w:t>
                  </w:r>
                </w:p>
              </w:tc>
              <w:tc>
                <w:tcPr>
                  <w:tcW w:w="761" w:type="dxa"/>
                  <w:tcBorders>
                    <w:tl2br w:val="nil"/>
                    <w:tr2bl w:val="nil"/>
                  </w:tcBorders>
                  <w:vAlign w:val="center"/>
                </w:tcPr>
                <w:p w14:paraId="6BB016BE">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舵石盘</w:t>
                  </w:r>
                </w:p>
              </w:tc>
              <w:tc>
                <w:tcPr>
                  <w:tcW w:w="2816" w:type="dxa"/>
                  <w:tcBorders>
                    <w:tl2br w:val="nil"/>
                    <w:tr2bl w:val="nil"/>
                  </w:tcBorders>
                  <w:vAlign w:val="center"/>
                </w:tcPr>
                <w:p w14:paraId="246DE066">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渠县境内</w:t>
                  </w:r>
                </w:p>
              </w:tc>
              <w:tc>
                <w:tcPr>
                  <w:tcW w:w="693" w:type="dxa"/>
                  <w:tcBorders>
                    <w:tl2br w:val="nil"/>
                    <w:tr2bl w:val="nil"/>
                  </w:tcBorders>
                  <w:vAlign w:val="center"/>
                </w:tcPr>
                <w:p w14:paraId="5D541915">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1"/>
                      <w:sz w:val="21"/>
                      <w:szCs w:val="21"/>
                    </w:rPr>
                    <w:t>国考</w:t>
                  </w:r>
                </w:p>
              </w:tc>
              <w:tc>
                <w:tcPr>
                  <w:tcW w:w="507" w:type="dxa"/>
                  <w:tcBorders>
                    <w:tl2br w:val="nil"/>
                    <w:tr2bl w:val="nil"/>
                  </w:tcBorders>
                  <w:vAlign w:val="center"/>
                </w:tcPr>
                <w:p w14:paraId="7321AED0">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467" w:type="dxa"/>
                  <w:tcBorders>
                    <w:tl2br w:val="nil"/>
                    <w:tr2bl w:val="nil"/>
                  </w:tcBorders>
                  <w:vAlign w:val="center"/>
                </w:tcPr>
                <w:p w14:paraId="030C30CB">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586" w:type="dxa"/>
                  <w:tcBorders>
                    <w:tl2br w:val="nil"/>
                    <w:tr2bl w:val="nil"/>
                  </w:tcBorders>
                  <w:vAlign w:val="center"/>
                </w:tcPr>
                <w:p w14:paraId="7683FB6A">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1052" w:type="dxa"/>
                  <w:tcBorders>
                    <w:tl2br w:val="nil"/>
                    <w:tr2bl w:val="nil"/>
                  </w:tcBorders>
                  <w:vAlign w:val="center"/>
                </w:tcPr>
                <w:p w14:paraId="510BD6F6">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68697DC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2" w:hRule="atLeast"/>
                <w:jc w:val="center"/>
              </w:trPr>
              <w:tc>
                <w:tcPr>
                  <w:tcW w:w="444" w:type="dxa"/>
                  <w:tcBorders>
                    <w:tl2br w:val="nil"/>
                    <w:tr2bl w:val="nil"/>
                  </w:tcBorders>
                  <w:vAlign w:val="center"/>
                </w:tcPr>
                <w:p w14:paraId="2A6B0689">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15</w:t>
                  </w:r>
                </w:p>
              </w:tc>
              <w:tc>
                <w:tcPr>
                  <w:tcW w:w="322" w:type="dxa"/>
                  <w:vMerge w:val="continue"/>
                  <w:tcBorders>
                    <w:tl2br w:val="nil"/>
                    <w:tr2bl w:val="nil"/>
                  </w:tcBorders>
                  <w:vAlign w:val="center"/>
                </w:tcPr>
                <w:p w14:paraId="4C2E5F90">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450" w:type="dxa"/>
                  <w:vMerge w:val="continue"/>
                  <w:tcBorders>
                    <w:tl2br w:val="nil"/>
                    <w:tr2bl w:val="nil"/>
                  </w:tcBorders>
                  <w:vAlign w:val="center"/>
                </w:tcPr>
                <w:p w14:paraId="1BD5E90C">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761" w:type="dxa"/>
                  <w:tcBorders>
                    <w:tl2br w:val="nil"/>
                    <w:tr2bl w:val="nil"/>
                  </w:tcBorders>
                  <w:vAlign w:val="center"/>
                </w:tcPr>
                <w:p w14:paraId="50E595AB">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车家河</w:t>
                  </w:r>
                </w:p>
              </w:tc>
              <w:tc>
                <w:tcPr>
                  <w:tcW w:w="2816" w:type="dxa"/>
                  <w:tcBorders>
                    <w:tl2br w:val="nil"/>
                    <w:tr2bl w:val="nil"/>
                  </w:tcBorders>
                  <w:vAlign w:val="center"/>
                </w:tcPr>
                <w:p w14:paraId="27797119">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市城区</w:t>
                  </w:r>
                </w:p>
              </w:tc>
              <w:tc>
                <w:tcPr>
                  <w:tcW w:w="693" w:type="dxa"/>
                  <w:tcBorders>
                    <w:tl2br w:val="nil"/>
                    <w:tr2bl w:val="nil"/>
                  </w:tcBorders>
                  <w:vAlign w:val="center"/>
                </w:tcPr>
                <w:p w14:paraId="27905650">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1"/>
                      <w:sz w:val="21"/>
                      <w:szCs w:val="21"/>
                    </w:rPr>
                    <w:t>国考</w:t>
                  </w:r>
                </w:p>
              </w:tc>
              <w:tc>
                <w:tcPr>
                  <w:tcW w:w="507" w:type="dxa"/>
                  <w:tcBorders>
                    <w:tl2br w:val="nil"/>
                    <w:tr2bl w:val="nil"/>
                  </w:tcBorders>
                  <w:vAlign w:val="center"/>
                </w:tcPr>
                <w:p w14:paraId="61CA238F">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467" w:type="dxa"/>
                  <w:tcBorders>
                    <w:tl2br w:val="nil"/>
                    <w:tr2bl w:val="nil"/>
                  </w:tcBorders>
                  <w:vAlign w:val="center"/>
                </w:tcPr>
                <w:p w14:paraId="5925565B">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586" w:type="dxa"/>
                  <w:tcBorders>
                    <w:tl2br w:val="nil"/>
                    <w:tr2bl w:val="nil"/>
                  </w:tcBorders>
                  <w:vAlign w:val="center"/>
                </w:tcPr>
                <w:p w14:paraId="67AB8289">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1052" w:type="dxa"/>
                  <w:tcBorders>
                    <w:tl2br w:val="nil"/>
                    <w:tr2bl w:val="nil"/>
                  </w:tcBorders>
                  <w:vAlign w:val="center"/>
                </w:tcPr>
                <w:p w14:paraId="13A43B79">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1FB0FDE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44" w:type="dxa"/>
                  <w:tcBorders>
                    <w:tl2br w:val="nil"/>
                    <w:tr2bl w:val="nil"/>
                  </w:tcBorders>
                  <w:vAlign w:val="center"/>
                </w:tcPr>
                <w:p w14:paraId="1CE554DD">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16</w:t>
                  </w:r>
                </w:p>
              </w:tc>
              <w:tc>
                <w:tcPr>
                  <w:tcW w:w="322" w:type="dxa"/>
                  <w:vMerge w:val="continue"/>
                  <w:tcBorders>
                    <w:tl2br w:val="nil"/>
                    <w:tr2bl w:val="nil"/>
                  </w:tcBorders>
                  <w:vAlign w:val="center"/>
                </w:tcPr>
                <w:p w14:paraId="46D3A8CD">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450" w:type="dxa"/>
                  <w:vMerge w:val="continue"/>
                  <w:tcBorders>
                    <w:tl2br w:val="nil"/>
                    <w:tr2bl w:val="nil"/>
                  </w:tcBorders>
                  <w:vAlign w:val="center"/>
                </w:tcPr>
                <w:p w14:paraId="1A3C9D44">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761" w:type="dxa"/>
                  <w:tcBorders>
                    <w:tl2br w:val="nil"/>
                    <w:tr2bl w:val="nil"/>
                  </w:tcBorders>
                  <w:vAlign w:val="center"/>
                </w:tcPr>
                <w:p w14:paraId="6FAF41AA">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张鼓坪</w:t>
                  </w:r>
                </w:p>
              </w:tc>
              <w:tc>
                <w:tcPr>
                  <w:tcW w:w="2816" w:type="dxa"/>
                  <w:tcBorders>
                    <w:tl2br w:val="nil"/>
                    <w:tr2bl w:val="nil"/>
                  </w:tcBorders>
                  <w:vAlign w:val="center"/>
                </w:tcPr>
                <w:p w14:paraId="74F7FC9A">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县界</w:t>
                  </w:r>
                  <w:r>
                    <w:rPr>
                      <w:rFonts w:hint="default" w:ascii="Times New Roman" w:hAnsi="Times New Roman" w:eastAsia="宋体" w:cs="Times New Roman"/>
                      <w:spacing w:val="-4"/>
                      <w:sz w:val="21"/>
                      <w:szCs w:val="21"/>
                    </w:rPr>
                    <w:t>(宣汉县→</w:t>
                  </w:r>
                  <w:r>
                    <w:rPr>
                      <w:rFonts w:hint="default" w:ascii="Times New Roman" w:hAnsi="Times New Roman" w:eastAsia="宋体" w:cs="Times New Roman"/>
                      <w:spacing w:val="-36"/>
                      <w:sz w:val="21"/>
                      <w:szCs w:val="21"/>
                    </w:rPr>
                    <w:t xml:space="preserve"> </w:t>
                  </w:r>
                  <w:r>
                    <w:rPr>
                      <w:rFonts w:hint="default" w:ascii="Times New Roman" w:hAnsi="Times New Roman" w:eastAsia="宋体" w:cs="Times New Roman"/>
                      <w:spacing w:val="-4"/>
                      <w:sz w:val="21"/>
                      <w:szCs w:val="21"/>
                    </w:rPr>
                    <w:t>通川区)</w:t>
                  </w:r>
                </w:p>
              </w:tc>
              <w:tc>
                <w:tcPr>
                  <w:tcW w:w="693" w:type="dxa"/>
                  <w:tcBorders>
                    <w:tl2br w:val="nil"/>
                    <w:tr2bl w:val="nil"/>
                  </w:tcBorders>
                  <w:vAlign w:val="center"/>
                </w:tcPr>
                <w:p w14:paraId="23D212C2">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省控考核评价</w:t>
                  </w:r>
                </w:p>
              </w:tc>
              <w:tc>
                <w:tcPr>
                  <w:tcW w:w="507" w:type="dxa"/>
                  <w:tcBorders>
                    <w:tl2br w:val="nil"/>
                    <w:tr2bl w:val="nil"/>
                  </w:tcBorders>
                  <w:vAlign w:val="center"/>
                </w:tcPr>
                <w:p w14:paraId="00822990">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467" w:type="dxa"/>
                  <w:tcBorders>
                    <w:tl2br w:val="nil"/>
                    <w:tr2bl w:val="nil"/>
                  </w:tcBorders>
                  <w:vAlign w:val="center"/>
                </w:tcPr>
                <w:p w14:paraId="5159056F">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586" w:type="dxa"/>
                  <w:tcBorders>
                    <w:tl2br w:val="nil"/>
                    <w:tr2bl w:val="nil"/>
                  </w:tcBorders>
                  <w:vAlign w:val="center"/>
                </w:tcPr>
                <w:p w14:paraId="5EF49C70">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1052" w:type="dxa"/>
                  <w:tcBorders>
                    <w:tl2br w:val="nil"/>
                    <w:tr2bl w:val="nil"/>
                  </w:tcBorders>
                  <w:vAlign w:val="center"/>
                </w:tcPr>
                <w:p w14:paraId="035FDB1E">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6D5D138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44" w:type="dxa"/>
                  <w:tcBorders>
                    <w:tl2br w:val="nil"/>
                    <w:tr2bl w:val="nil"/>
                  </w:tcBorders>
                  <w:vAlign w:val="center"/>
                </w:tcPr>
                <w:p w14:paraId="0988BFF0">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17</w:t>
                  </w:r>
                </w:p>
              </w:tc>
              <w:tc>
                <w:tcPr>
                  <w:tcW w:w="322" w:type="dxa"/>
                  <w:vMerge w:val="continue"/>
                  <w:tcBorders>
                    <w:tl2br w:val="nil"/>
                    <w:tr2bl w:val="nil"/>
                  </w:tcBorders>
                  <w:vAlign w:val="center"/>
                </w:tcPr>
                <w:p w14:paraId="59372ACA">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450" w:type="dxa"/>
                  <w:vMerge w:val="continue"/>
                  <w:tcBorders>
                    <w:tl2br w:val="nil"/>
                    <w:tr2bl w:val="nil"/>
                  </w:tcBorders>
                  <w:vAlign w:val="center"/>
                </w:tcPr>
                <w:p w14:paraId="68354E96">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761" w:type="dxa"/>
                  <w:tcBorders>
                    <w:tl2br w:val="nil"/>
                    <w:tr2bl w:val="nil"/>
                  </w:tcBorders>
                  <w:vAlign w:val="center"/>
                </w:tcPr>
                <w:p w14:paraId="52C35D7C">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2"/>
                      <w:sz w:val="21"/>
                      <w:szCs w:val="21"/>
                    </w:rPr>
                    <w:t>白鹤山</w:t>
                  </w:r>
                </w:p>
              </w:tc>
              <w:tc>
                <w:tcPr>
                  <w:tcW w:w="2816" w:type="dxa"/>
                  <w:tcBorders>
                    <w:tl2br w:val="nil"/>
                    <w:tr2bl w:val="nil"/>
                  </w:tcBorders>
                  <w:vAlign w:val="center"/>
                </w:tcPr>
                <w:p w14:paraId="4284F3EE">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县界(达川区→</w:t>
                  </w:r>
                  <w:r>
                    <w:rPr>
                      <w:rFonts w:hint="default" w:ascii="Times New Roman" w:hAnsi="Times New Roman" w:eastAsia="宋体" w:cs="Times New Roman"/>
                      <w:spacing w:val="-32"/>
                      <w:sz w:val="21"/>
                      <w:szCs w:val="21"/>
                    </w:rPr>
                    <w:t xml:space="preserve"> </w:t>
                  </w:r>
                  <w:r>
                    <w:rPr>
                      <w:rFonts w:hint="default" w:ascii="Times New Roman" w:hAnsi="Times New Roman" w:eastAsia="宋体" w:cs="Times New Roman"/>
                      <w:spacing w:val="-5"/>
                      <w:sz w:val="21"/>
                      <w:szCs w:val="21"/>
                    </w:rPr>
                    <w:t>渠县)</w:t>
                  </w:r>
                </w:p>
              </w:tc>
              <w:tc>
                <w:tcPr>
                  <w:tcW w:w="693" w:type="dxa"/>
                  <w:tcBorders>
                    <w:tl2br w:val="nil"/>
                    <w:tr2bl w:val="nil"/>
                  </w:tcBorders>
                  <w:vAlign w:val="center"/>
                </w:tcPr>
                <w:p w14:paraId="3BCE7C37">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省控考核评价</w:t>
                  </w:r>
                </w:p>
              </w:tc>
              <w:tc>
                <w:tcPr>
                  <w:tcW w:w="507" w:type="dxa"/>
                  <w:tcBorders>
                    <w:tl2br w:val="nil"/>
                    <w:tr2bl w:val="nil"/>
                  </w:tcBorders>
                  <w:vAlign w:val="center"/>
                </w:tcPr>
                <w:p w14:paraId="12A7CB05">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467" w:type="dxa"/>
                  <w:tcBorders>
                    <w:tl2br w:val="nil"/>
                    <w:tr2bl w:val="nil"/>
                  </w:tcBorders>
                  <w:vAlign w:val="center"/>
                </w:tcPr>
                <w:p w14:paraId="3EA4B0D6">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586" w:type="dxa"/>
                  <w:tcBorders>
                    <w:tl2br w:val="nil"/>
                    <w:tr2bl w:val="nil"/>
                  </w:tcBorders>
                  <w:vAlign w:val="center"/>
                </w:tcPr>
                <w:p w14:paraId="3D8BB027">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1052" w:type="dxa"/>
                  <w:tcBorders>
                    <w:tl2br w:val="nil"/>
                    <w:tr2bl w:val="nil"/>
                  </w:tcBorders>
                  <w:vAlign w:val="center"/>
                </w:tcPr>
                <w:p w14:paraId="32F8C297">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35CB1F5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44" w:type="dxa"/>
                  <w:tcBorders>
                    <w:tl2br w:val="nil"/>
                    <w:tr2bl w:val="nil"/>
                  </w:tcBorders>
                  <w:vAlign w:val="center"/>
                </w:tcPr>
                <w:p w14:paraId="3DE615BA">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18</w:t>
                  </w:r>
                </w:p>
              </w:tc>
              <w:tc>
                <w:tcPr>
                  <w:tcW w:w="322" w:type="dxa"/>
                  <w:vMerge w:val="continue"/>
                  <w:tcBorders>
                    <w:tl2br w:val="nil"/>
                    <w:tr2bl w:val="nil"/>
                  </w:tcBorders>
                  <w:vAlign w:val="center"/>
                </w:tcPr>
                <w:p w14:paraId="7244E5B5">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450" w:type="dxa"/>
                  <w:tcBorders>
                    <w:tl2br w:val="nil"/>
                    <w:tr2bl w:val="nil"/>
                  </w:tcBorders>
                  <w:vAlign w:val="center"/>
                </w:tcPr>
                <w:p w14:paraId="4754F5E3">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前河</w:t>
                  </w:r>
                </w:p>
              </w:tc>
              <w:tc>
                <w:tcPr>
                  <w:tcW w:w="761" w:type="dxa"/>
                  <w:tcBorders>
                    <w:tl2br w:val="nil"/>
                    <w:tr2bl w:val="nil"/>
                  </w:tcBorders>
                  <w:vAlign w:val="center"/>
                </w:tcPr>
                <w:p w14:paraId="6905920F">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土堡寨</w:t>
                  </w:r>
                </w:p>
              </w:tc>
              <w:tc>
                <w:tcPr>
                  <w:tcW w:w="2816" w:type="dxa"/>
                  <w:tcBorders>
                    <w:tl2br w:val="nil"/>
                    <w:tr2bl w:val="nil"/>
                  </w:tcBorders>
                  <w:vAlign w:val="center"/>
                </w:tcPr>
                <w:p w14:paraId="4BF71D48">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省界(渝→</w:t>
                  </w:r>
                  <w:r>
                    <w:rPr>
                      <w:rFonts w:hint="default" w:ascii="Times New Roman" w:hAnsi="Times New Roman" w:eastAsia="宋体" w:cs="Times New Roman"/>
                      <w:spacing w:val="-45"/>
                      <w:sz w:val="21"/>
                      <w:szCs w:val="21"/>
                    </w:rPr>
                    <w:t xml:space="preserve"> </w:t>
                  </w:r>
                  <w:r>
                    <w:rPr>
                      <w:rFonts w:hint="default" w:ascii="Times New Roman" w:hAnsi="Times New Roman" w:eastAsia="宋体" w:cs="Times New Roman"/>
                      <w:spacing w:val="-5"/>
                      <w:sz w:val="21"/>
                      <w:szCs w:val="21"/>
                    </w:rPr>
                    <w:t>川)</w:t>
                  </w:r>
                </w:p>
              </w:tc>
              <w:tc>
                <w:tcPr>
                  <w:tcW w:w="693" w:type="dxa"/>
                  <w:tcBorders>
                    <w:tl2br w:val="nil"/>
                    <w:tr2bl w:val="nil"/>
                  </w:tcBorders>
                  <w:vAlign w:val="center"/>
                </w:tcPr>
                <w:p w14:paraId="38D19252">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1"/>
                      <w:sz w:val="21"/>
                      <w:szCs w:val="21"/>
                    </w:rPr>
                    <w:t>国控</w:t>
                  </w:r>
                </w:p>
              </w:tc>
              <w:tc>
                <w:tcPr>
                  <w:tcW w:w="507" w:type="dxa"/>
                  <w:tcBorders>
                    <w:tl2br w:val="nil"/>
                    <w:tr2bl w:val="nil"/>
                  </w:tcBorders>
                  <w:vAlign w:val="center"/>
                </w:tcPr>
                <w:p w14:paraId="4363A73F">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w:t>
                  </w:r>
                </w:p>
              </w:tc>
              <w:tc>
                <w:tcPr>
                  <w:tcW w:w="467" w:type="dxa"/>
                  <w:tcBorders>
                    <w:tl2br w:val="nil"/>
                    <w:tr2bl w:val="nil"/>
                  </w:tcBorders>
                  <w:vAlign w:val="center"/>
                </w:tcPr>
                <w:p w14:paraId="22925AF5">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w:t>
                  </w:r>
                </w:p>
              </w:tc>
              <w:tc>
                <w:tcPr>
                  <w:tcW w:w="586" w:type="dxa"/>
                  <w:tcBorders>
                    <w:tl2br w:val="nil"/>
                    <w:tr2bl w:val="nil"/>
                  </w:tcBorders>
                  <w:vAlign w:val="center"/>
                </w:tcPr>
                <w:p w14:paraId="70CF35C2">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w:t>
                  </w:r>
                </w:p>
              </w:tc>
              <w:tc>
                <w:tcPr>
                  <w:tcW w:w="1052" w:type="dxa"/>
                  <w:tcBorders>
                    <w:tl2br w:val="nil"/>
                    <w:tr2bl w:val="nil"/>
                  </w:tcBorders>
                  <w:vAlign w:val="center"/>
                </w:tcPr>
                <w:p w14:paraId="45EBD230">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20A2183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44" w:type="dxa"/>
                  <w:tcBorders>
                    <w:tl2br w:val="nil"/>
                    <w:tr2bl w:val="nil"/>
                  </w:tcBorders>
                  <w:vAlign w:val="center"/>
                </w:tcPr>
                <w:p w14:paraId="5B335BA3">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19</w:t>
                  </w:r>
                </w:p>
              </w:tc>
              <w:tc>
                <w:tcPr>
                  <w:tcW w:w="322" w:type="dxa"/>
                  <w:vMerge w:val="continue"/>
                  <w:tcBorders>
                    <w:tl2br w:val="nil"/>
                    <w:tr2bl w:val="nil"/>
                  </w:tcBorders>
                  <w:vAlign w:val="center"/>
                </w:tcPr>
                <w:p w14:paraId="67794B00">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450" w:type="dxa"/>
                  <w:tcBorders>
                    <w:tl2br w:val="nil"/>
                    <w:tr2bl w:val="nil"/>
                  </w:tcBorders>
                  <w:vAlign w:val="center"/>
                </w:tcPr>
                <w:p w14:paraId="53555EC4">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后河</w:t>
                  </w:r>
                </w:p>
              </w:tc>
              <w:tc>
                <w:tcPr>
                  <w:tcW w:w="761" w:type="dxa"/>
                  <w:tcBorders>
                    <w:tl2br w:val="nil"/>
                    <w:tr2bl w:val="nil"/>
                  </w:tcBorders>
                  <w:vAlign w:val="center"/>
                </w:tcPr>
                <w:p w14:paraId="11FA325A">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漩坑坝</w:t>
                  </w:r>
                </w:p>
              </w:tc>
              <w:tc>
                <w:tcPr>
                  <w:tcW w:w="2816" w:type="dxa"/>
                  <w:tcBorders>
                    <w:tl2br w:val="nil"/>
                    <w:tr2bl w:val="nil"/>
                  </w:tcBorders>
                  <w:vAlign w:val="center"/>
                </w:tcPr>
                <w:p w14:paraId="624AFDE7">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县界(万源市→</w:t>
                  </w:r>
                  <w:r>
                    <w:rPr>
                      <w:rFonts w:hint="default" w:ascii="Times New Roman" w:hAnsi="Times New Roman" w:eastAsia="宋体" w:cs="Times New Roman"/>
                      <w:spacing w:val="-27"/>
                      <w:sz w:val="21"/>
                      <w:szCs w:val="21"/>
                    </w:rPr>
                    <w:t xml:space="preserve"> </w:t>
                  </w:r>
                  <w:r>
                    <w:rPr>
                      <w:rFonts w:hint="default" w:ascii="Times New Roman" w:hAnsi="Times New Roman" w:eastAsia="宋体" w:cs="Times New Roman"/>
                      <w:spacing w:val="-5"/>
                      <w:sz w:val="21"/>
                      <w:szCs w:val="21"/>
                    </w:rPr>
                    <w:t>宣汉县)</w:t>
                  </w:r>
                </w:p>
              </w:tc>
              <w:tc>
                <w:tcPr>
                  <w:tcW w:w="693" w:type="dxa"/>
                  <w:tcBorders>
                    <w:tl2br w:val="nil"/>
                    <w:tr2bl w:val="nil"/>
                  </w:tcBorders>
                  <w:vAlign w:val="center"/>
                </w:tcPr>
                <w:p w14:paraId="2C657B4F">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1"/>
                      <w:sz w:val="21"/>
                      <w:szCs w:val="21"/>
                    </w:rPr>
                    <w:t>国考</w:t>
                  </w:r>
                </w:p>
              </w:tc>
              <w:tc>
                <w:tcPr>
                  <w:tcW w:w="507" w:type="dxa"/>
                  <w:tcBorders>
                    <w:tl2br w:val="nil"/>
                    <w:tr2bl w:val="nil"/>
                  </w:tcBorders>
                  <w:vAlign w:val="center"/>
                </w:tcPr>
                <w:p w14:paraId="772B5534">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467" w:type="dxa"/>
                  <w:tcBorders>
                    <w:tl2br w:val="nil"/>
                    <w:tr2bl w:val="nil"/>
                  </w:tcBorders>
                  <w:vAlign w:val="center"/>
                </w:tcPr>
                <w:p w14:paraId="29C4263A">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w:t>
                  </w:r>
                </w:p>
              </w:tc>
              <w:tc>
                <w:tcPr>
                  <w:tcW w:w="586" w:type="dxa"/>
                  <w:tcBorders>
                    <w:tl2br w:val="nil"/>
                    <w:tr2bl w:val="nil"/>
                  </w:tcBorders>
                  <w:vAlign w:val="center"/>
                </w:tcPr>
                <w:p w14:paraId="4EFFB37D">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w:t>
                  </w:r>
                </w:p>
              </w:tc>
              <w:tc>
                <w:tcPr>
                  <w:tcW w:w="1052" w:type="dxa"/>
                  <w:tcBorders>
                    <w:tl2br w:val="nil"/>
                    <w:tr2bl w:val="nil"/>
                  </w:tcBorders>
                  <w:vAlign w:val="center"/>
                </w:tcPr>
                <w:p w14:paraId="51E7F948">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480BC8B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44" w:type="dxa"/>
                  <w:tcBorders>
                    <w:tl2br w:val="nil"/>
                    <w:tr2bl w:val="nil"/>
                  </w:tcBorders>
                  <w:vAlign w:val="center"/>
                </w:tcPr>
                <w:p w14:paraId="0E73A2D7">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20</w:t>
                  </w:r>
                </w:p>
              </w:tc>
              <w:tc>
                <w:tcPr>
                  <w:tcW w:w="322" w:type="dxa"/>
                  <w:vMerge w:val="continue"/>
                  <w:tcBorders>
                    <w:tl2br w:val="nil"/>
                    <w:tr2bl w:val="nil"/>
                  </w:tcBorders>
                  <w:vAlign w:val="center"/>
                </w:tcPr>
                <w:p w14:paraId="4DDDF527">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450" w:type="dxa"/>
                  <w:tcBorders>
                    <w:tl2br w:val="nil"/>
                    <w:tr2bl w:val="nil"/>
                  </w:tcBorders>
                  <w:vAlign w:val="center"/>
                </w:tcPr>
                <w:p w14:paraId="0F2F39B4">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2"/>
                      <w:sz w:val="21"/>
                      <w:szCs w:val="21"/>
                    </w:rPr>
                    <w:t>中河</w:t>
                  </w:r>
                </w:p>
              </w:tc>
              <w:tc>
                <w:tcPr>
                  <w:tcW w:w="761" w:type="dxa"/>
                  <w:tcBorders>
                    <w:tl2br w:val="nil"/>
                    <w:tr2bl w:val="nil"/>
                  </w:tcBorders>
                  <w:vAlign w:val="center"/>
                </w:tcPr>
                <w:p w14:paraId="7FACF11F">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普光</w:t>
                  </w:r>
                </w:p>
              </w:tc>
              <w:tc>
                <w:tcPr>
                  <w:tcW w:w="2816" w:type="dxa"/>
                  <w:tcBorders>
                    <w:tl2br w:val="nil"/>
                    <w:tr2bl w:val="nil"/>
                  </w:tcBorders>
                  <w:vAlign w:val="center"/>
                </w:tcPr>
                <w:p w14:paraId="7309681A">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入河口（入后河）</w:t>
                  </w:r>
                </w:p>
              </w:tc>
              <w:tc>
                <w:tcPr>
                  <w:tcW w:w="693" w:type="dxa"/>
                  <w:tcBorders>
                    <w:tl2br w:val="nil"/>
                    <w:tr2bl w:val="nil"/>
                  </w:tcBorders>
                  <w:vAlign w:val="center"/>
                </w:tcPr>
                <w:p w14:paraId="45B5C4E6">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省控趋势科研</w:t>
                  </w:r>
                </w:p>
              </w:tc>
              <w:tc>
                <w:tcPr>
                  <w:tcW w:w="507" w:type="dxa"/>
                  <w:tcBorders>
                    <w:tl2br w:val="nil"/>
                    <w:tr2bl w:val="nil"/>
                  </w:tcBorders>
                  <w:vAlign w:val="center"/>
                </w:tcPr>
                <w:p w14:paraId="6F94DFD6">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467" w:type="dxa"/>
                  <w:tcBorders>
                    <w:tl2br w:val="nil"/>
                    <w:tr2bl w:val="nil"/>
                  </w:tcBorders>
                  <w:vAlign w:val="center"/>
                </w:tcPr>
                <w:p w14:paraId="46B0DE65">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586" w:type="dxa"/>
                  <w:tcBorders>
                    <w:tl2br w:val="nil"/>
                    <w:tr2bl w:val="nil"/>
                  </w:tcBorders>
                  <w:vAlign w:val="center"/>
                </w:tcPr>
                <w:p w14:paraId="21C6303B">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1052" w:type="dxa"/>
                  <w:tcBorders>
                    <w:tl2br w:val="nil"/>
                    <w:tr2bl w:val="nil"/>
                  </w:tcBorders>
                  <w:vAlign w:val="center"/>
                </w:tcPr>
                <w:p w14:paraId="461A55ED">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1DA7721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44" w:type="dxa"/>
                  <w:tcBorders>
                    <w:tl2br w:val="nil"/>
                    <w:tr2bl w:val="nil"/>
                  </w:tcBorders>
                  <w:vAlign w:val="center"/>
                </w:tcPr>
                <w:p w14:paraId="00C5A29C">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21</w:t>
                  </w:r>
                </w:p>
              </w:tc>
              <w:tc>
                <w:tcPr>
                  <w:tcW w:w="322" w:type="dxa"/>
                  <w:vMerge w:val="continue"/>
                  <w:tcBorders>
                    <w:tl2br w:val="nil"/>
                    <w:tr2bl w:val="nil"/>
                  </w:tcBorders>
                  <w:vAlign w:val="center"/>
                </w:tcPr>
                <w:p w14:paraId="5D9D49B4">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450" w:type="dxa"/>
                  <w:vMerge w:val="restart"/>
                  <w:tcBorders>
                    <w:tl2br w:val="nil"/>
                    <w:tr2bl w:val="nil"/>
                  </w:tcBorders>
                  <w:vAlign w:val="center"/>
                </w:tcPr>
                <w:p w14:paraId="462E8DB6">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明月江</w:t>
                  </w:r>
                </w:p>
              </w:tc>
              <w:tc>
                <w:tcPr>
                  <w:tcW w:w="761" w:type="dxa"/>
                  <w:tcBorders>
                    <w:tl2br w:val="nil"/>
                    <w:tr2bl w:val="nil"/>
                  </w:tcBorders>
                  <w:vAlign w:val="center"/>
                </w:tcPr>
                <w:p w14:paraId="26E58FD3">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葫芦电站</w:t>
                  </w:r>
                </w:p>
              </w:tc>
              <w:tc>
                <w:tcPr>
                  <w:tcW w:w="2816" w:type="dxa"/>
                  <w:tcBorders>
                    <w:tl2br w:val="nil"/>
                    <w:tr2bl w:val="nil"/>
                  </w:tcBorders>
                  <w:vAlign w:val="center"/>
                </w:tcPr>
                <w:p w14:paraId="5C3A5F04">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县界</w:t>
                  </w:r>
                  <w:r>
                    <w:rPr>
                      <w:rFonts w:hint="default" w:ascii="Times New Roman" w:hAnsi="Times New Roman" w:eastAsia="宋体" w:cs="Times New Roman"/>
                      <w:spacing w:val="-4"/>
                      <w:sz w:val="21"/>
                      <w:szCs w:val="21"/>
                    </w:rPr>
                    <w:t>(开江县→</w:t>
                  </w:r>
                  <w:r>
                    <w:rPr>
                      <w:rFonts w:hint="default" w:ascii="Times New Roman" w:hAnsi="Times New Roman" w:eastAsia="宋体" w:cs="Times New Roman"/>
                      <w:spacing w:val="-36"/>
                      <w:sz w:val="21"/>
                      <w:szCs w:val="21"/>
                    </w:rPr>
                    <w:t xml:space="preserve"> </w:t>
                  </w:r>
                  <w:r>
                    <w:rPr>
                      <w:rFonts w:hint="default" w:ascii="Times New Roman" w:hAnsi="Times New Roman" w:eastAsia="宋体" w:cs="Times New Roman"/>
                      <w:spacing w:val="-4"/>
                      <w:sz w:val="21"/>
                      <w:szCs w:val="21"/>
                    </w:rPr>
                    <w:t>达川区)</w:t>
                  </w:r>
                </w:p>
              </w:tc>
              <w:tc>
                <w:tcPr>
                  <w:tcW w:w="693" w:type="dxa"/>
                  <w:tcBorders>
                    <w:tl2br w:val="nil"/>
                    <w:tr2bl w:val="nil"/>
                  </w:tcBorders>
                  <w:vAlign w:val="center"/>
                </w:tcPr>
                <w:p w14:paraId="69002874">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省控考核评价</w:t>
                  </w:r>
                </w:p>
              </w:tc>
              <w:tc>
                <w:tcPr>
                  <w:tcW w:w="507" w:type="dxa"/>
                  <w:tcBorders>
                    <w:tl2br w:val="nil"/>
                    <w:tr2bl w:val="nil"/>
                  </w:tcBorders>
                  <w:vAlign w:val="center"/>
                </w:tcPr>
                <w:p w14:paraId="59965938">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467" w:type="dxa"/>
                  <w:tcBorders>
                    <w:tl2br w:val="nil"/>
                    <w:tr2bl w:val="nil"/>
                  </w:tcBorders>
                  <w:vAlign w:val="center"/>
                </w:tcPr>
                <w:p w14:paraId="1DDEAC18">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586" w:type="dxa"/>
                  <w:tcBorders>
                    <w:tl2br w:val="nil"/>
                    <w:tr2bl w:val="nil"/>
                  </w:tcBorders>
                  <w:vAlign w:val="center"/>
                </w:tcPr>
                <w:p w14:paraId="32F244A4">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1052" w:type="dxa"/>
                  <w:tcBorders>
                    <w:tl2br w:val="nil"/>
                    <w:tr2bl w:val="nil"/>
                  </w:tcBorders>
                  <w:vAlign w:val="center"/>
                </w:tcPr>
                <w:p w14:paraId="113E8BA3">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606242B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44" w:type="dxa"/>
                  <w:tcBorders>
                    <w:tl2br w:val="nil"/>
                    <w:tr2bl w:val="nil"/>
                  </w:tcBorders>
                  <w:vAlign w:val="center"/>
                </w:tcPr>
                <w:p w14:paraId="4ABC0A21">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22</w:t>
                  </w:r>
                </w:p>
              </w:tc>
              <w:tc>
                <w:tcPr>
                  <w:tcW w:w="322" w:type="dxa"/>
                  <w:vMerge w:val="continue"/>
                  <w:tcBorders>
                    <w:tl2br w:val="nil"/>
                    <w:tr2bl w:val="nil"/>
                  </w:tcBorders>
                  <w:vAlign w:val="center"/>
                </w:tcPr>
                <w:p w14:paraId="0C7C3004">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450" w:type="dxa"/>
                  <w:vMerge w:val="continue"/>
                  <w:tcBorders>
                    <w:tl2br w:val="nil"/>
                    <w:tr2bl w:val="nil"/>
                  </w:tcBorders>
                  <w:vAlign w:val="center"/>
                </w:tcPr>
                <w:p w14:paraId="51FA9D10">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761" w:type="dxa"/>
                  <w:tcBorders>
                    <w:tl2br w:val="nil"/>
                    <w:tr2bl w:val="nil"/>
                  </w:tcBorders>
                  <w:vAlign w:val="center"/>
                </w:tcPr>
                <w:p w14:paraId="2EBB8A77">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亭子镇明</w:t>
                  </w:r>
                  <w:r>
                    <w:rPr>
                      <w:rFonts w:hint="default" w:ascii="Times New Roman" w:hAnsi="Times New Roman" w:eastAsia="宋体" w:cs="Times New Roman"/>
                      <w:spacing w:val="-5"/>
                      <w:sz w:val="21"/>
                      <w:szCs w:val="21"/>
                    </w:rPr>
                    <w:t>天村大湾</w:t>
                  </w:r>
                  <w:r>
                    <w:rPr>
                      <w:rFonts w:hint="default" w:ascii="Times New Roman" w:hAnsi="Times New Roman" w:eastAsia="宋体" w:cs="Times New Roman"/>
                      <w:spacing w:val="-4"/>
                      <w:sz w:val="21"/>
                      <w:szCs w:val="21"/>
                    </w:rPr>
                    <w:t>溪门口</w:t>
                  </w:r>
                </w:p>
              </w:tc>
              <w:tc>
                <w:tcPr>
                  <w:tcW w:w="2816" w:type="dxa"/>
                  <w:tcBorders>
                    <w:tl2br w:val="nil"/>
                    <w:tr2bl w:val="nil"/>
                  </w:tcBorders>
                  <w:vAlign w:val="center"/>
                </w:tcPr>
                <w:p w14:paraId="08126E26">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县界</w:t>
                  </w:r>
                  <w:r>
                    <w:rPr>
                      <w:rFonts w:hint="default" w:ascii="Times New Roman" w:hAnsi="Times New Roman" w:eastAsia="宋体" w:cs="Times New Roman"/>
                      <w:spacing w:val="-2"/>
                      <w:sz w:val="21"/>
                      <w:szCs w:val="21"/>
                    </w:rPr>
                    <w:t>(东部经开区→</w:t>
                  </w:r>
                  <w:r>
                    <w:rPr>
                      <w:rFonts w:hint="default" w:ascii="Times New Roman" w:hAnsi="Times New Roman" w:eastAsia="宋体" w:cs="Times New Roman"/>
                      <w:spacing w:val="-37"/>
                      <w:sz w:val="21"/>
                      <w:szCs w:val="21"/>
                    </w:rPr>
                    <w:t xml:space="preserve"> </w:t>
                  </w:r>
                  <w:r>
                    <w:rPr>
                      <w:rFonts w:hint="default" w:ascii="Times New Roman" w:hAnsi="Times New Roman" w:eastAsia="宋体" w:cs="Times New Roman"/>
                      <w:spacing w:val="-2"/>
                      <w:sz w:val="21"/>
                      <w:szCs w:val="21"/>
                    </w:rPr>
                    <w:t>达</w:t>
                  </w:r>
                  <w:r>
                    <w:rPr>
                      <w:rFonts w:hint="default" w:ascii="Times New Roman" w:hAnsi="Times New Roman" w:eastAsia="宋体" w:cs="Times New Roman"/>
                      <w:spacing w:val="-6"/>
                      <w:sz w:val="21"/>
                      <w:szCs w:val="21"/>
                    </w:rPr>
                    <w:t>川区)</w:t>
                  </w:r>
                </w:p>
              </w:tc>
              <w:tc>
                <w:tcPr>
                  <w:tcW w:w="693" w:type="dxa"/>
                  <w:tcBorders>
                    <w:tl2br w:val="nil"/>
                    <w:tr2bl w:val="nil"/>
                  </w:tcBorders>
                  <w:vAlign w:val="center"/>
                </w:tcPr>
                <w:p w14:paraId="76A86019">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市控</w:t>
                  </w:r>
                </w:p>
              </w:tc>
              <w:tc>
                <w:tcPr>
                  <w:tcW w:w="507" w:type="dxa"/>
                  <w:tcBorders>
                    <w:tl2br w:val="nil"/>
                    <w:tr2bl w:val="nil"/>
                  </w:tcBorders>
                  <w:vAlign w:val="center"/>
                </w:tcPr>
                <w:p w14:paraId="706C5342">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467" w:type="dxa"/>
                  <w:tcBorders>
                    <w:tl2br w:val="nil"/>
                    <w:tr2bl w:val="nil"/>
                  </w:tcBorders>
                  <w:vAlign w:val="center"/>
                </w:tcPr>
                <w:p w14:paraId="044A1210">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586" w:type="dxa"/>
                  <w:tcBorders>
                    <w:tl2br w:val="nil"/>
                    <w:tr2bl w:val="nil"/>
                  </w:tcBorders>
                  <w:vAlign w:val="center"/>
                </w:tcPr>
                <w:p w14:paraId="47B200A0">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1052" w:type="dxa"/>
                  <w:tcBorders>
                    <w:tl2br w:val="nil"/>
                    <w:tr2bl w:val="nil"/>
                  </w:tcBorders>
                  <w:vAlign w:val="center"/>
                </w:tcPr>
                <w:p w14:paraId="76805186">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411A5D3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44" w:type="dxa"/>
                  <w:tcBorders>
                    <w:tl2br w:val="nil"/>
                    <w:tr2bl w:val="nil"/>
                  </w:tcBorders>
                  <w:vAlign w:val="center"/>
                </w:tcPr>
                <w:p w14:paraId="57045DC1">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23</w:t>
                  </w:r>
                </w:p>
              </w:tc>
              <w:tc>
                <w:tcPr>
                  <w:tcW w:w="322" w:type="dxa"/>
                  <w:vMerge w:val="continue"/>
                  <w:tcBorders>
                    <w:tl2br w:val="nil"/>
                    <w:tr2bl w:val="nil"/>
                  </w:tcBorders>
                  <w:vAlign w:val="center"/>
                </w:tcPr>
                <w:p w14:paraId="4D2C0B1F">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450" w:type="dxa"/>
                  <w:vMerge w:val="continue"/>
                  <w:tcBorders>
                    <w:tl2br w:val="nil"/>
                    <w:tr2bl w:val="nil"/>
                  </w:tcBorders>
                  <w:vAlign w:val="center"/>
                </w:tcPr>
                <w:p w14:paraId="298478F3">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761" w:type="dxa"/>
                  <w:tcBorders>
                    <w:tl2br w:val="nil"/>
                    <w:tr2bl w:val="nil"/>
                  </w:tcBorders>
                  <w:vAlign w:val="center"/>
                </w:tcPr>
                <w:p w14:paraId="2EC1149F">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李家渡</w:t>
                  </w:r>
                </w:p>
              </w:tc>
              <w:tc>
                <w:tcPr>
                  <w:tcW w:w="2816" w:type="dxa"/>
                  <w:tcBorders>
                    <w:tl2br w:val="nil"/>
                    <w:tr2bl w:val="nil"/>
                  </w:tcBorders>
                  <w:vAlign w:val="center"/>
                </w:tcPr>
                <w:p w14:paraId="70CDB78E">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县界</w:t>
                  </w:r>
                  <w:r>
                    <w:rPr>
                      <w:rFonts w:hint="default" w:ascii="Times New Roman" w:hAnsi="Times New Roman" w:eastAsia="宋体" w:cs="Times New Roman"/>
                      <w:spacing w:val="-4"/>
                      <w:sz w:val="21"/>
                      <w:szCs w:val="21"/>
                    </w:rPr>
                    <w:t>(达川区→</w:t>
                  </w:r>
                  <w:r>
                    <w:rPr>
                      <w:rFonts w:hint="default" w:ascii="Times New Roman" w:hAnsi="Times New Roman" w:eastAsia="宋体" w:cs="Times New Roman"/>
                      <w:spacing w:val="-36"/>
                      <w:sz w:val="21"/>
                      <w:szCs w:val="21"/>
                    </w:rPr>
                    <w:t xml:space="preserve"> </w:t>
                  </w:r>
                  <w:r>
                    <w:rPr>
                      <w:rFonts w:hint="default" w:ascii="Times New Roman" w:hAnsi="Times New Roman" w:eastAsia="宋体" w:cs="Times New Roman"/>
                      <w:spacing w:val="-4"/>
                      <w:sz w:val="21"/>
                      <w:szCs w:val="21"/>
                    </w:rPr>
                    <w:t>通川区)</w:t>
                  </w:r>
                </w:p>
              </w:tc>
              <w:tc>
                <w:tcPr>
                  <w:tcW w:w="693" w:type="dxa"/>
                  <w:tcBorders>
                    <w:tl2br w:val="nil"/>
                    <w:tr2bl w:val="nil"/>
                  </w:tcBorders>
                  <w:vAlign w:val="center"/>
                </w:tcPr>
                <w:p w14:paraId="4F321765">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1"/>
                      <w:sz w:val="21"/>
                      <w:szCs w:val="21"/>
                    </w:rPr>
                    <w:t>国考</w:t>
                  </w:r>
                </w:p>
              </w:tc>
              <w:tc>
                <w:tcPr>
                  <w:tcW w:w="507" w:type="dxa"/>
                  <w:tcBorders>
                    <w:tl2br w:val="nil"/>
                    <w:tr2bl w:val="nil"/>
                  </w:tcBorders>
                  <w:vAlign w:val="center"/>
                </w:tcPr>
                <w:p w14:paraId="4B312BCC">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467" w:type="dxa"/>
                  <w:tcBorders>
                    <w:tl2br w:val="nil"/>
                    <w:tr2bl w:val="nil"/>
                  </w:tcBorders>
                  <w:vAlign w:val="center"/>
                </w:tcPr>
                <w:p w14:paraId="54A7D6A1">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586" w:type="dxa"/>
                  <w:tcBorders>
                    <w:tl2br w:val="nil"/>
                    <w:tr2bl w:val="nil"/>
                  </w:tcBorders>
                  <w:vAlign w:val="center"/>
                </w:tcPr>
                <w:p w14:paraId="5E19FB7F">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1052" w:type="dxa"/>
                  <w:tcBorders>
                    <w:tl2br w:val="nil"/>
                    <w:tr2bl w:val="nil"/>
                  </w:tcBorders>
                  <w:vAlign w:val="center"/>
                </w:tcPr>
                <w:p w14:paraId="43D3307F">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1A476FF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44" w:type="dxa"/>
                  <w:tcBorders>
                    <w:tl2br w:val="nil"/>
                    <w:tr2bl w:val="nil"/>
                  </w:tcBorders>
                  <w:vAlign w:val="center"/>
                </w:tcPr>
                <w:p w14:paraId="2267142F">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24</w:t>
                  </w:r>
                </w:p>
              </w:tc>
              <w:tc>
                <w:tcPr>
                  <w:tcW w:w="322" w:type="dxa"/>
                  <w:vMerge w:val="continue"/>
                  <w:tcBorders>
                    <w:tl2br w:val="nil"/>
                    <w:tr2bl w:val="nil"/>
                  </w:tcBorders>
                  <w:vAlign w:val="center"/>
                </w:tcPr>
                <w:p w14:paraId="3AF4F7A4">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450" w:type="dxa"/>
                  <w:tcBorders>
                    <w:tl2br w:val="nil"/>
                    <w:tr2bl w:val="nil"/>
                  </w:tcBorders>
                  <w:vAlign w:val="center"/>
                </w:tcPr>
                <w:p w14:paraId="753D0855">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任市河</w:t>
                  </w:r>
                </w:p>
              </w:tc>
              <w:tc>
                <w:tcPr>
                  <w:tcW w:w="761" w:type="dxa"/>
                  <w:tcBorders>
                    <w:tl2br w:val="nil"/>
                    <w:tr2bl w:val="nil"/>
                  </w:tcBorders>
                  <w:vAlign w:val="center"/>
                </w:tcPr>
                <w:p w14:paraId="65CC27AF">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联盟桥</w:t>
                  </w:r>
                </w:p>
              </w:tc>
              <w:tc>
                <w:tcPr>
                  <w:tcW w:w="2816" w:type="dxa"/>
                  <w:tcBorders>
                    <w:tl2br w:val="nil"/>
                    <w:tr2bl w:val="nil"/>
                  </w:tcBorders>
                  <w:vAlign w:val="center"/>
                </w:tcPr>
                <w:p w14:paraId="12D11DE6">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省界(渝、川)</w:t>
                  </w:r>
                </w:p>
              </w:tc>
              <w:tc>
                <w:tcPr>
                  <w:tcW w:w="693" w:type="dxa"/>
                  <w:tcBorders>
                    <w:tl2br w:val="nil"/>
                    <w:tr2bl w:val="nil"/>
                  </w:tcBorders>
                  <w:vAlign w:val="center"/>
                </w:tcPr>
                <w:p w14:paraId="21F80CB4">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1"/>
                      <w:sz w:val="21"/>
                      <w:szCs w:val="21"/>
                    </w:rPr>
                    <w:t>国考</w:t>
                  </w:r>
                </w:p>
              </w:tc>
              <w:tc>
                <w:tcPr>
                  <w:tcW w:w="507" w:type="dxa"/>
                  <w:tcBorders>
                    <w:tl2br w:val="nil"/>
                    <w:tr2bl w:val="nil"/>
                  </w:tcBorders>
                  <w:vAlign w:val="center"/>
                </w:tcPr>
                <w:p w14:paraId="03742316">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467" w:type="dxa"/>
                  <w:tcBorders>
                    <w:tl2br w:val="nil"/>
                    <w:tr2bl w:val="nil"/>
                  </w:tcBorders>
                  <w:vAlign w:val="center"/>
                </w:tcPr>
                <w:p w14:paraId="3ACE5714">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586" w:type="dxa"/>
                  <w:tcBorders>
                    <w:tl2br w:val="nil"/>
                    <w:tr2bl w:val="nil"/>
                  </w:tcBorders>
                  <w:vAlign w:val="center"/>
                </w:tcPr>
                <w:p w14:paraId="42D273EA">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1052" w:type="dxa"/>
                  <w:tcBorders>
                    <w:tl2br w:val="nil"/>
                    <w:tr2bl w:val="nil"/>
                  </w:tcBorders>
                  <w:vAlign w:val="center"/>
                </w:tcPr>
                <w:p w14:paraId="2D9123BB">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1107D95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44" w:type="dxa"/>
                  <w:tcBorders>
                    <w:tl2br w:val="nil"/>
                    <w:tr2bl w:val="nil"/>
                  </w:tcBorders>
                  <w:vAlign w:val="center"/>
                </w:tcPr>
                <w:p w14:paraId="31ADF127">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25</w:t>
                  </w:r>
                </w:p>
              </w:tc>
              <w:tc>
                <w:tcPr>
                  <w:tcW w:w="322" w:type="dxa"/>
                  <w:vMerge w:val="continue"/>
                  <w:tcBorders>
                    <w:tl2br w:val="nil"/>
                    <w:tr2bl w:val="nil"/>
                  </w:tcBorders>
                  <w:vAlign w:val="center"/>
                </w:tcPr>
                <w:p w14:paraId="1C35E1E1">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450" w:type="dxa"/>
                  <w:tcBorders>
                    <w:tl2br w:val="nil"/>
                    <w:tr2bl w:val="nil"/>
                  </w:tcBorders>
                  <w:vAlign w:val="center"/>
                </w:tcPr>
                <w:p w14:paraId="7068BB09">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新宁河</w:t>
                  </w:r>
                </w:p>
              </w:tc>
              <w:tc>
                <w:tcPr>
                  <w:tcW w:w="761" w:type="dxa"/>
                  <w:tcBorders>
                    <w:tl2br w:val="nil"/>
                    <w:tr2bl w:val="nil"/>
                  </w:tcBorders>
                  <w:vAlign w:val="center"/>
                </w:tcPr>
                <w:p w14:paraId="0CAAE885">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大石堡</w:t>
                  </w:r>
                  <w:r>
                    <w:rPr>
                      <w:rFonts w:hint="default" w:ascii="Times New Roman" w:hAnsi="Times New Roman" w:eastAsia="宋体" w:cs="Times New Roman"/>
                      <w:spacing w:val="-4"/>
                      <w:sz w:val="21"/>
                      <w:szCs w:val="21"/>
                    </w:rPr>
                    <w:t>平桥</w:t>
                  </w:r>
                </w:p>
              </w:tc>
              <w:tc>
                <w:tcPr>
                  <w:tcW w:w="2816" w:type="dxa"/>
                  <w:tcBorders>
                    <w:tl2br w:val="nil"/>
                    <w:tr2bl w:val="nil"/>
                  </w:tcBorders>
                  <w:vAlign w:val="center"/>
                </w:tcPr>
                <w:p w14:paraId="3B415963">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县界(开江县→宣汉县)</w:t>
                  </w:r>
                </w:p>
              </w:tc>
              <w:tc>
                <w:tcPr>
                  <w:tcW w:w="693" w:type="dxa"/>
                  <w:tcBorders>
                    <w:tl2br w:val="nil"/>
                    <w:tr2bl w:val="nil"/>
                  </w:tcBorders>
                  <w:vAlign w:val="center"/>
                </w:tcPr>
                <w:p w14:paraId="42E80332">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省控考核评价</w:t>
                  </w:r>
                </w:p>
              </w:tc>
              <w:tc>
                <w:tcPr>
                  <w:tcW w:w="507" w:type="dxa"/>
                  <w:tcBorders>
                    <w:tl2br w:val="nil"/>
                    <w:tr2bl w:val="nil"/>
                  </w:tcBorders>
                  <w:vAlign w:val="center"/>
                </w:tcPr>
                <w:p w14:paraId="1CEE7CD2">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467" w:type="dxa"/>
                  <w:tcBorders>
                    <w:tl2br w:val="nil"/>
                    <w:tr2bl w:val="nil"/>
                  </w:tcBorders>
                  <w:vAlign w:val="center"/>
                </w:tcPr>
                <w:p w14:paraId="748E9A0A">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586" w:type="dxa"/>
                  <w:tcBorders>
                    <w:tl2br w:val="nil"/>
                    <w:tr2bl w:val="nil"/>
                  </w:tcBorders>
                  <w:vAlign w:val="center"/>
                </w:tcPr>
                <w:p w14:paraId="2F3ECC96">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1052" w:type="dxa"/>
                  <w:tcBorders>
                    <w:tl2br w:val="nil"/>
                    <w:tr2bl w:val="nil"/>
                  </w:tcBorders>
                  <w:vAlign w:val="center"/>
                </w:tcPr>
                <w:p w14:paraId="0C1B8FDA">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2DEE2B1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44" w:type="dxa"/>
                  <w:tcBorders>
                    <w:tl2br w:val="nil"/>
                    <w:tr2bl w:val="nil"/>
                  </w:tcBorders>
                  <w:vAlign w:val="center"/>
                </w:tcPr>
                <w:p w14:paraId="03DB3140">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26</w:t>
                  </w:r>
                </w:p>
              </w:tc>
              <w:tc>
                <w:tcPr>
                  <w:tcW w:w="322" w:type="dxa"/>
                  <w:vMerge w:val="continue"/>
                  <w:tcBorders>
                    <w:tl2br w:val="nil"/>
                    <w:tr2bl w:val="nil"/>
                  </w:tcBorders>
                  <w:vAlign w:val="center"/>
                </w:tcPr>
                <w:p w14:paraId="637524F7">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450" w:type="dxa"/>
                  <w:vMerge w:val="restart"/>
                  <w:tcBorders>
                    <w:tl2br w:val="nil"/>
                    <w:tr2bl w:val="nil"/>
                  </w:tcBorders>
                  <w:vAlign w:val="center"/>
                </w:tcPr>
                <w:p w14:paraId="45CA8CA9">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铜钵河</w:t>
                  </w:r>
                </w:p>
              </w:tc>
              <w:tc>
                <w:tcPr>
                  <w:tcW w:w="761" w:type="dxa"/>
                  <w:tcBorders>
                    <w:tl2br w:val="nil"/>
                    <w:tr2bl w:val="nil"/>
                  </w:tcBorders>
                  <w:vAlign w:val="center"/>
                </w:tcPr>
                <w:p w14:paraId="63BE7797">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上河坝</w:t>
                  </w:r>
                </w:p>
              </w:tc>
              <w:tc>
                <w:tcPr>
                  <w:tcW w:w="2816" w:type="dxa"/>
                  <w:tcBorders>
                    <w:tl2br w:val="nil"/>
                    <w:tr2bl w:val="nil"/>
                  </w:tcBorders>
                  <w:vAlign w:val="center"/>
                </w:tcPr>
                <w:p w14:paraId="29AB176B">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省界(渝、川)</w:t>
                  </w:r>
                </w:p>
              </w:tc>
              <w:tc>
                <w:tcPr>
                  <w:tcW w:w="693" w:type="dxa"/>
                  <w:tcBorders>
                    <w:tl2br w:val="nil"/>
                    <w:tr2bl w:val="nil"/>
                  </w:tcBorders>
                  <w:vAlign w:val="center"/>
                </w:tcPr>
                <w:p w14:paraId="2E3B5770">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1"/>
                      <w:sz w:val="21"/>
                      <w:szCs w:val="21"/>
                    </w:rPr>
                    <w:t>国考</w:t>
                  </w:r>
                </w:p>
              </w:tc>
              <w:tc>
                <w:tcPr>
                  <w:tcW w:w="507" w:type="dxa"/>
                  <w:tcBorders>
                    <w:tl2br w:val="nil"/>
                    <w:tr2bl w:val="nil"/>
                  </w:tcBorders>
                  <w:vAlign w:val="center"/>
                </w:tcPr>
                <w:p w14:paraId="4B91C71F">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467" w:type="dxa"/>
                  <w:tcBorders>
                    <w:tl2br w:val="nil"/>
                    <w:tr2bl w:val="nil"/>
                  </w:tcBorders>
                  <w:vAlign w:val="center"/>
                </w:tcPr>
                <w:p w14:paraId="6C105AD5">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586" w:type="dxa"/>
                  <w:tcBorders>
                    <w:tl2br w:val="nil"/>
                    <w:tr2bl w:val="nil"/>
                  </w:tcBorders>
                  <w:vAlign w:val="center"/>
                </w:tcPr>
                <w:p w14:paraId="1593BCC4">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1052" w:type="dxa"/>
                  <w:tcBorders>
                    <w:tl2br w:val="nil"/>
                    <w:tr2bl w:val="nil"/>
                  </w:tcBorders>
                  <w:vAlign w:val="center"/>
                </w:tcPr>
                <w:p w14:paraId="023F5A6B">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2544D5A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44" w:type="dxa"/>
                  <w:tcBorders>
                    <w:tl2br w:val="nil"/>
                    <w:tr2bl w:val="nil"/>
                  </w:tcBorders>
                  <w:vAlign w:val="center"/>
                </w:tcPr>
                <w:p w14:paraId="7F82F158">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27</w:t>
                  </w:r>
                </w:p>
              </w:tc>
              <w:tc>
                <w:tcPr>
                  <w:tcW w:w="322" w:type="dxa"/>
                  <w:vMerge w:val="continue"/>
                  <w:tcBorders>
                    <w:tl2br w:val="nil"/>
                    <w:tr2bl w:val="nil"/>
                  </w:tcBorders>
                  <w:vAlign w:val="center"/>
                </w:tcPr>
                <w:p w14:paraId="515E6A9B">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450" w:type="dxa"/>
                  <w:vMerge w:val="continue"/>
                  <w:tcBorders>
                    <w:tl2br w:val="nil"/>
                    <w:tr2bl w:val="nil"/>
                  </w:tcBorders>
                  <w:vAlign w:val="center"/>
                </w:tcPr>
                <w:p w14:paraId="3BB97A1C">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761" w:type="dxa"/>
                  <w:tcBorders>
                    <w:tl2br w:val="nil"/>
                    <w:tr2bl w:val="nil"/>
                  </w:tcBorders>
                  <w:vAlign w:val="center"/>
                </w:tcPr>
                <w:p w14:paraId="48830FBA">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矮墩子</w:t>
                  </w:r>
                </w:p>
              </w:tc>
              <w:tc>
                <w:tcPr>
                  <w:tcW w:w="2816" w:type="dxa"/>
                  <w:tcBorders>
                    <w:tl2br w:val="nil"/>
                    <w:tr2bl w:val="nil"/>
                  </w:tcBorders>
                  <w:vAlign w:val="center"/>
                </w:tcPr>
                <w:p w14:paraId="69A6462C">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县界</w:t>
                  </w:r>
                  <w:r>
                    <w:rPr>
                      <w:rFonts w:hint="default" w:ascii="Times New Roman" w:hAnsi="Times New Roman" w:eastAsia="宋体" w:cs="Times New Roman"/>
                      <w:spacing w:val="-4"/>
                      <w:sz w:val="21"/>
                      <w:szCs w:val="21"/>
                    </w:rPr>
                    <w:t>(大竹县→</w:t>
                  </w:r>
                  <w:r>
                    <w:rPr>
                      <w:rFonts w:hint="default" w:ascii="Times New Roman" w:hAnsi="Times New Roman" w:eastAsia="宋体" w:cs="Times New Roman"/>
                      <w:spacing w:val="-36"/>
                      <w:sz w:val="21"/>
                      <w:szCs w:val="21"/>
                    </w:rPr>
                    <w:t xml:space="preserve"> </w:t>
                  </w:r>
                  <w:r>
                    <w:rPr>
                      <w:rFonts w:hint="default" w:ascii="Times New Roman" w:hAnsi="Times New Roman" w:eastAsia="宋体" w:cs="Times New Roman"/>
                      <w:spacing w:val="-4"/>
                      <w:sz w:val="21"/>
                      <w:szCs w:val="21"/>
                    </w:rPr>
                    <w:t>达川区)</w:t>
                  </w:r>
                </w:p>
              </w:tc>
              <w:tc>
                <w:tcPr>
                  <w:tcW w:w="693" w:type="dxa"/>
                  <w:tcBorders>
                    <w:tl2br w:val="nil"/>
                    <w:tr2bl w:val="nil"/>
                  </w:tcBorders>
                  <w:vAlign w:val="center"/>
                </w:tcPr>
                <w:p w14:paraId="3EE6906C">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市控</w:t>
                  </w:r>
                </w:p>
              </w:tc>
              <w:tc>
                <w:tcPr>
                  <w:tcW w:w="507" w:type="dxa"/>
                  <w:tcBorders>
                    <w:tl2br w:val="nil"/>
                    <w:tr2bl w:val="nil"/>
                  </w:tcBorders>
                  <w:vAlign w:val="center"/>
                </w:tcPr>
                <w:p w14:paraId="4E01E782">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467" w:type="dxa"/>
                  <w:tcBorders>
                    <w:tl2br w:val="nil"/>
                    <w:tr2bl w:val="nil"/>
                  </w:tcBorders>
                  <w:vAlign w:val="center"/>
                </w:tcPr>
                <w:p w14:paraId="593A75C1">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586" w:type="dxa"/>
                  <w:tcBorders>
                    <w:tl2br w:val="nil"/>
                    <w:tr2bl w:val="nil"/>
                  </w:tcBorders>
                  <w:vAlign w:val="center"/>
                </w:tcPr>
                <w:p w14:paraId="1F4BAE4C">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1052" w:type="dxa"/>
                  <w:tcBorders>
                    <w:tl2br w:val="nil"/>
                    <w:tr2bl w:val="nil"/>
                  </w:tcBorders>
                  <w:vAlign w:val="center"/>
                </w:tcPr>
                <w:p w14:paraId="289B1E00">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7658825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44" w:type="dxa"/>
                  <w:tcBorders>
                    <w:tl2br w:val="nil"/>
                    <w:tr2bl w:val="nil"/>
                  </w:tcBorders>
                  <w:vAlign w:val="center"/>
                </w:tcPr>
                <w:p w14:paraId="0866FA25">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28</w:t>
                  </w:r>
                </w:p>
              </w:tc>
              <w:tc>
                <w:tcPr>
                  <w:tcW w:w="322" w:type="dxa"/>
                  <w:vMerge w:val="continue"/>
                  <w:tcBorders>
                    <w:tl2br w:val="nil"/>
                    <w:tr2bl w:val="nil"/>
                  </w:tcBorders>
                  <w:vAlign w:val="center"/>
                </w:tcPr>
                <w:p w14:paraId="22851CC3">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450" w:type="dxa"/>
                  <w:vMerge w:val="continue"/>
                  <w:tcBorders>
                    <w:tl2br w:val="nil"/>
                    <w:tr2bl w:val="nil"/>
                  </w:tcBorders>
                  <w:vAlign w:val="center"/>
                </w:tcPr>
                <w:p w14:paraId="541FB199">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761" w:type="dxa"/>
                  <w:tcBorders>
                    <w:tl2br w:val="nil"/>
                    <w:tr2bl w:val="nil"/>
                  </w:tcBorders>
                  <w:vAlign w:val="center"/>
                </w:tcPr>
                <w:p w14:paraId="55D26FBA">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百节镇</w:t>
                  </w:r>
                  <w:r>
                    <w:rPr>
                      <w:rFonts w:hint="default" w:ascii="Times New Roman" w:hAnsi="Times New Roman" w:eastAsia="宋体" w:cs="Times New Roman"/>
                      <w:spacing w:val="-4"/>
                      <w:sz w:val="21"/>
                      <w:szCs w:val="21"/>
                    </w:rPr>
                    <w:t>观音桥</w:t>
                  </w:r>
                </w:p>
              </w:tc>
              <w:tc>
                <w:tcPr>
                  <w:tcW w:w="2816" w:type="dxa"/>
                  <w:tcBorders>
                    <w:tl2br w:val="nil"/>
                    <w:tr2bl w:val="nil"/>
                  </w:tcBorders>
                  <w:vAlign w:val="center"/>
                </w:tcPr>
                <w:p w14:paraId="43764963">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县界</w:t>
                  </w:r>
                  <w:r>
                    <w:rPr>
                      <w:rFonts w:hint="default" w:ascii="Times New Roman" w:hAnsi="Times New Roman" w:eastAsia="宋体" w:cs="Times New Roman"/>
                      <w:spacing w:val="-4"/>
                      <w:sz w:val="21"/>
                      <w:szCs w:val="21"/>
                    </w:rPr>
                    <w:t>(达川区→</w:t>
                  </w:r>
                  <w:r>
                    <w:rPr>
                      <w:rFonts w:hint="default" w:ascii="Times New Roman" w:hAnsi="Times New Roman" w:eastAsia="宋体" w:cs="Times New Roman"/>
                      <w:spacing w:val="-36"/>
                      <w:sz w:val="21"/>
                      <w:szCs w:val="21"/>
                    </w:rPr>
                    <w:t xml:space="preserve"> </w:t>
                  </w:r>
                  <w:r>
                    <w:rPr>
                      <w:rFonts w:hint="default" w:ascii="Times New Roman" w:hAnsi="Times New Roman" w:eastAsia="宋体" w:cs="Times New Roman"/>
                      <w:spacing w:val="-4"/>
                      <w:sz w:val="21"/>
                      <w:szCs w:val="21"/>
                    </w:rPr>
                    <w:t>高新区)</w:t>
                  </w:r>
                </w:p>
              </w:tc>
              <w:tc>
                <w:tcPr>
                  <w:tcW w:w="693" w:type="dxa"/>
                  <w:tcBorders>
                    <w:tl2br w:val="nil"/>
                    <w:tr2bl w:val="nil"/>
                  </w:tcBorders>
                  <w:vAlign w:val="center"/>
                </w:tcPr>
                <w:p w14:paraId="6FB6A108">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市控</w:t>
                  </w:r>
                </w:p>
              </w:tc>
              <w:tc>
                <w:tcPr>
                  <w:tcW w:w="507" w:type="dxa"/>
                  <w:tcBorders>
                    <w:tl2br w:val="nil"/>
                    <w:tr2bl w:val="nil"/>
                  </w:tcBorders>
                  <w:vAlign w:val="center"/>
                </w:tcPr>
                <w:p w14:paraId="12ED8309">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467" w:type="dxa"/>
                  <w:tcBorders>
                    <w:tl2br w:val="nil"/>
                    <w:tr2bl w:val="nil"/>
                  </w:tcBorders>
                  <w:vAlign w:val="center"/>
                </w:tcPr>
                <w:p w14:paraId="63AB6E42">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586" w:type="dxa"/>
                  <w:tcBorders>
                    <w:tl2br w:val="nil"/>
                    <w:tr2bl w:val="nil"/>
                  </w:tcBorders>
                  <w:vAlign w:val="center"/>
                </w:tcPr>
                <w:p w14:paraId="64DD9537">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1052" w:type="dxa"/>
                  <w:tcBorders>
                    <w:tl2br w:val="nil"/>
                    <w:tr2bl w:val="nil"/>
                  </w:tcBorders>
                  <w:vAlign w:val="center"/>
                </w:tcPr>
                <w:p w14:paraId="1F6DBC7B">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0AF7A91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44" w:type="dxa"/>
                  <w:tcBorders>
                    <w:tl2br w:val="nil"/>
                    <w:tr2bl w:val="nil"/>
                  </w:tcBorders>
                  <w:vAlign w:val="center"/>
                </w:tcPr>
                <w:p w14:paraId="5C955421">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29</w:t>
                  </w:r>
                </w:p>
              </w:tc>
              <w:tc>
                <w:tcPr>
                  <w:tcW w:w="322" w:type="dxa"/>
                  <w:vMerge w:val="continue"/>
                  <w:tcBorders>
                    <w:tl2br w:val="nil"/>
                    <w:tr2bl w:val="nil"/>
                  </w:tcBorders>
                  <w:vAlign w:val="center"/>
                </w:tcPr>
                <w:p w14:paraId="5E571D72">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450" w:type="dxa"/>
                  <w:vMerge w:val="continue"/>
                  <w:tcBorders>
                    <w:tl2br w:val="nil"/>
                    <w:tr2bl w:val="nil"/>
                  </w:tcBorders>
                  <w:vAlign w:val="center"/>
                </w:tcPr>
                <w:p w14:paraId="4EDE4B20">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761" w:type="dxa"/>
                  <w:tcBorders>
                    <w:tl2br w:val="nil"/>
                    <w:tr2bl w:val="nil"/>
                  </w:tcBorders>
                  <w:vAlign w:val="center"/>
                </w:tcPr>
                <w:p w14:paraId="09D32B4D">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金垭</w:t>
                  </w:r>
                  <w:r>
                    <w:rPr>
                      <w:rFonts w:hint="default" w:ascii="Times New Roman" w:hAnsi="Times New Roman" w:eastAsia="宋体" w:cs="Times New Roman"/>
                      <w:spacing w:val="-7"/>
                      <w:sz w:val="21"/>
                      <w:szCs w:val="21"/>
                    </w:rPr>
                    <w:t>米家坝</w:t>
                  </w:r>
                </w:p>
              </w:tc>
              <w:tc>
                <w:tcPr>
                  <w:tcW w:w="2816" w:type="dxa"/>
                  <w:tcBorders>
                    <w:tl2br w:val="nil"/>
                    <w:tr2bl w:val="nil"/>
                  </w:tcBorders>
                  <w:vAlign w:val="center"/>
                </w:tcPr>
                <w:p w14:paraId="4DBA044F">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入河口</w:t>
                  </w:r>
                  <w:r>
                    <w:rPr>
                      <w:rFonts w:hint="default" w:ascii="Times New Roman" w:hAnsi="Times New Roman" w:eastAsia="宋体" w:cs="Times New Roman"/>
                      <w:spacing w:val="-6"/>
                      <w:sz w:val="21"/>
                      <w:szCs w:val="21"/>
                    </w:rPr>
                    <w:t>（入州河）</w:t>
                  </w:r>
                </w:p>
              </w:tc>
              <w:tc>
                <w:tcPr>
                  <w:tcW w:w="693" w:type="dxa"/>
                  <w:tcBorders>
                    <w:tl2br w:val="nil"/>
                    <w:tr2bl w:val="nil"/>
                  </w:tcBorders>
                  <w:vAlign w:val="center"/>
                </w:tcPr>
                <w:p w14:paraId="21E9F75E">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市控</w:t>
                  </w:r>
                </w:p>
              </w:tc>
              <w:tc>
                <w:tcPr>
                  <w:tcW w:w="507" w:type="dxa"/>
                  <w:tcBorders>
                    <w:tl2br w:val="nil"/>
                    <w:tr2bl w:val="nil"/>
                  </w:tcBorders>
                  <w:vAlign w:val="center"/>
                </w:tcPr>
                <w:p w14:paraId="784AAE28">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467" w:type="dxa"/>
                  <w:tcBorders>
                    <w:tl2br w:val="nil"/>
                    <w:tr2bl w:val="nil"/>
                  </w:tcBorders>
                  <w:vAlign w:val="center"/>
                </w:tcPr>
                <w:p w14:paraId="11CCA7D2">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586" w:type="dxa"/>
                  <w:tcBorders>
                    <w:tl2br w:val="nil"/>
                    <w:tr2bl w:val="nil"/>
                  </w:tcBorders>
                  <w:vAlign w:val="center"/>
                </w:tcPr>
                <w:p w14:paraId="5A5210B9">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1052" w:type="dxa"/>
                  <w:tcBorders>
                    <w:tl2br w:val="nil"/>
                    <w:tr2bl w:val="nil"/>
                  </w:tcBorders>
                  <w:vAlign w:val="center"/>
                </w:tcPr>
                <w:p w14:paraId="01DAEB0D">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6AF3173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44" w:type="dxa"/>
                  <w:tcBorders>
                    <w:tl2br w:val="nil"/>
                    <w:tr2bl w:val="nil"/>
                  </w:tcBorders>
                  <w:vAlign w:val="center"/>
                </w:tcPr>
                <w:p w14:paraId="741D83F3">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30</w:t>
                  </w:r>
                </w:p>
              </w:tc>
              <w:tc>
                <w:tcPr>
                  <w:tcW w:w="322" w:type="dxa"/>
                  <w:vMerge w:val="continue"/>
                  <w:tcBorders>
                    <w:tl2br w:val="nil"/>
                    <w:tr2bl w:val="nil"/>
                  </w:tcBorders>
                  <w:vAlign w:val="center"/>
                </w:tcPr>
                <w:p w14:paraId="72833BD5">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450" w:type="dxa"/>
                  <w:tcBorders>
                    <w:tl2br w:val="nil"/>
                    <w:tr2bl w:val="nil"/>
                  </w:tcBorders>
                  <w:vAlign w:val="center"/>
                </w:tcPr>
                <w:p w14:paraId="74B3F637">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施家河</w:t>
                  </w:r>
                </w:p>
              </w:tc>
              <w:tc>
                <w:tcPr>
                  <w:tcW w:w="761" w:type="dxa"/>
                  <w:tcBorders>
                    <w:tl2br w:val="nil"/>
                    <w:tr2bl w:val="nil"/>
                  </w:tcBorders>
                  <w:vAlign w:val="center"/>
                </w:tcPr>
                <w:p w14:paraId="60A435B0">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岩登坡桥</w:t>
                  </w:r>
                </w:p>
              </w:tc>
              <w:tc>
                <w:tcPr>
                  <w:tcW w:w="2816" w:type="dxa"/>
                  <w:tcBorders>
                    <w:tl2br w:val="nil"/>
                    <w:tr2bl w:val="nil"/>
                  </w:tcBorders>
                  <w:vAlign w:val="center"/>
                </w:tcPr>
                <w:p w14:paraId="14A65C54">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省界(渝→</w:t>
                  </w:r>
                  <w:r>
                    <w:rPr>
                      <w:rFonts w:hint="default" w:ascii="Times New Roman" w:hAnsi="Times New Roman" w:eastAsia="宋体" w:cs="Times New Roman"/>
                      <w:spacing w:val="-45"/>
                      <w:sz w:val="21"/>
                      <w:szCs w:val="21"/>
                    </w:rPr>
                    <w:t xml:space="preserve"> </w:t>
                  </w:r>
                  <w:r>
                    <w:rPr>
                      <w:rFonts w:hint="default" w:ascii="Times New Roman" w:hAnsi="Times New Roman" w:eastAsia="宋体" w:cs="Times New Roman"/>
                      <w:spacing w:val="-5"/>
                      <w:sz w:val="21"/>
                      <w:szCs w:val="21"/>
                    </w:rPr>
                    <w:t>川)</w:t>
                  </w:r>
                </w:p>
              </w:tc>
              <w:tc>
                <w:tcPr>
                  <w:tcW w:w="693" w:type="dxa"/>
                  <w:tcBorders>
                    <w:tl2br w:val="nil"/>
                    <w:tr2bl w:val="nil"/>
                  </w:tcBorders>
                  <w:vAlign w:val="center"/>
                </w:tcPr>
                <w:p w14:paraId="3D5B09FB">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长江重要支流</w:t>
                  </w:r>
                </w:p>
              </w:tc>
              <w:tc>
                <w:tcPr>
                  <w:tcW w:w="507" w:type="dxa"/>
                  <w:tcBorders>
                    <w:tl2br w:val="nil"/>
                    <w:tr2bl w:val="nil"/>
                  </w:tcBorders>
                  <w:vAlign w:val="center"/>
                </w:tcPr>
                <w:p w14:paraId="764A4516">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467" w:type="dxa"/>
                  <w:tcBorders>
                    <w:tl2br w:val="nil"/>
                    <w:tr2bl w:val="nil"/>
                  </w:tcBorders>
                  <w:vAlign w:val="center"/>
                </w:tcPr>
                <w:p w14:paraId="22134290">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86" w:type="dxa"/>
                  <w:tcBorders>
                    <w:tl2br w:val="nil"/>
                    <w:tr2bl w:val="nil"/>
                  </w:tcBorders>
                  <w:vAlign w:val="center"/>
                </w:tcPr>
                <w:p w14:paraId="0B4721F6">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1052" w:type="dxa"/>
                  <w:tcBorders>
                    <w:tl2br w:val="nil"/>
                    <w:tr2bl w:val="nil"/>
                  </w:tcBorders>
                  <w:vAlign w:val="center"/>
                </w:tcPr>
                <w:p w14:paraId="68B1C379">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1CF08D3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44" w:type="dxa"/>
                  <w:tcBorders>
                    <w:tl2br w:val="nil"/>
                    <w:tr2bl w:val="nil"/>
                  </w:tcBorders>
                  <w:vAlign w:val="center"/>
                </w:tcPr>
                <w:p w14:paraId="725E0422">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31</w:t>
                  </w:r>
                </w:p>
              </w:tc>
              <w:tc>
                <w:tcPr>
                  <w:tcW w:w="322" w:type="dxa"/>
                  <w:vMerge w:val="continue"/>
                  <w:tcBorders>
                    <w:tl2br w:val="nil"/>
                    <w:tr2bl w:val="nil"/>
                  </w:tcBorders>
                  <w:vAlign w:val="center"/>
                </w:tcPr>
                <w:p w14:paraId="22F40F93">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450" w:type="dxa"/>
                  <w:tcBorders>
                    <w:tl2br w:val="nil"/>
                    <w:tr2bl w:val="nil"/>
                  </w:tcBorders>
                  <w:vAlign w:val="center"/>
                </w:tcPr>
                <w:p w14:paraId="667A525B">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袁驿河</w:t>
                  </w:r>
                </w:p>
              </w:tc>
              <w:tc>
                <w:tcPr>
                  <w:tcW w:w="761" w:type="dxa"/>
                  <w:tcBorders>
                    <w:tl2br w:val="nil"/>
                    <w:tr2bl w:val="nil"/>
                  </w:tcBorders>
                  <w:vAlign w:val="center"/>
                </w:tcPr>
                <w:p w14:paraId="188E5ED2">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速建桥</w:t>
                  </w:r>
                </w:p>
              </w:tc>
              <w:tc>
                <w:tcPr>
                  <w:tcW w:w="2816" w:type="dxa"/>
                  <w:tcBorders>
                    <w:tl2br w:val="nil"/>
                    <w:tr2bl w:val="nil"/>
                  </w:tcBorders>
                  <w:vAlign w:val="center"/>
                </w:tcPr>
                <w:p w14:paraId="2D5A5AEF">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省界(渝→</w:t>
                  </w:r>
                  <w:r>
                    <w:rPr>
                      <w:rFonts w:hint="default" w:ascii="Times New Roman" w:hAnsi="Times New Roman" w:eastAsia="宋体" w:cs="Times New Roman"/>
                      <w:spacing w:val="-45"/>
                      <w:sz w:val="21"/>
                      <w:szCs w:val="21"/>
                    </w:rPr>
                    <w:t xml:space="preserve"> </w:t>
                  </w:r>
                  <w:r>
                    <w:rPr>
                      <w:rFonts w:hint="default" w:ascii="Times New Roman" w:hAnsi="Times New Roman" w:eastAsia="宋体" w:cs="Times New Roman"/>
                      <w:spacing w:val="-5"/>
                      <w:sz w:val="21"/>
                      <w:szCs w:val="21"/>
                    </w:rPr>
                    <w:t>川)</w:t>
                  </w:r>
                </w:p>
              </w:tc>
              <w:tc>
                <w:tcPr>
                  <w:tcW w:w="693" w:type="dxa"/>
                  <w:tcBorders>
                    <w:tl2br w:val="nil"/>
                    <w:tr2bl w:val="nil"/>
                  </w:tcBorders>
                  <w:vAlign w:val="center"/>
                </w:tcPr>
                <w:p w14:paraId="42578426">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省控趋势科研</w:t>
                  </w:r>
                </w:p>
              </w:tc>
              <w:tc>
                <w:tcPr>
                  <w:tcW w:w="507" w:type="dxa"/>
                  <w:tcBorders>
                    <w:tl2br w:val="nil"/>
                    <w:tr2bl w:val="nil"/>
                  </w:tcBorders>
                  <w:vAlign w:val="center"/>
                </w:tcPr>
                <w:p w14:paraId="64F9E181">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467" w:type="dxa"/>
                  <w:tcBorders>
                    <w:tl2br w:val="nil"/>
                    <w:tr2bl w:val="nil"/>
                  </w:tcBorders>
                  <w:vAlign w:val="center"/>
                </w:tcPr>
                <w:p w14:paraId="78E1D01B">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586" w:type="dxa"/>
                  <w:tcBorders>
                    <w:tl2br w:val="nil"/>
                    <w:tr2bl w:val="nil"/>
                  </w:tcBorders>
                  <w:vAlign w:val="center"/>
                </w:tcPr>
                <w:p w14:paraId="431250B5">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1052" w:type="dxa"/>
                  <w:tcBorders>
                    <w:tl2br w:val="nil"/>
                    <w:tr2bl w:val="nil"/>
                  </w:tcBorders>
                  <w:vAlign w:val="center"/>
                </w:tcPr>
                <w:p w14:paraId="107B9EB1">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4818954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44" w:type="dxa"/>
                  <w:tcBorders>
                    <w:tl2br w:val="nil"/>
                    <w:tr2bl w:val="nil"/>
                  </w:tcBorders>
                  <w:vAlign w:val="center"/>
                </w:tcPr>
                <w:p w14:paraId="577987A6">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32</w:t>
                  </w:r>
                </w:p>
              </w:tc>
              <w:tc>
                <w:tcPr>
                  <w:tcW w:w="322" w:type="dxa"/>
                  <w:vMerge w:val="continue"/>
                  <w:tcBorders>
                    <w:tl2br w:val="nil"/>
                    <w:tr2bl w:val="nil"/>
                  </w:tcBorders>
                  <w:vAlign w:val="center"/>
                </w:tcPr>
                <w:p w14:paraId="5BE205D3">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450" w:type="dxa"/>
                  <w:tcBorders>
                    <w:tl2br w:val="nil"/>
                    <w:tr2bl w:val="nil"/>
                  </w:tcBorders>
                  <w:vAlign w:val="center"/>
                </w:tcPr>
                <w:p w14:paraId="0E687484">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石桥河</w:t>
                  </w:r>
                </w:p>
              </w:tc>
              <w:tc>
                <w:tcPr>
                  <w:tcW w:w="761" w:type="dxa"/>
                  <w:tcBorders>
                    <w:tl2br w:val="nil"/>
                    <w:tr2bl w:val="nil"/>
                  </w:tcBorders>
                  <w:vAlign w:val="center"/>
                </w:tcPr>
                <w:p w14:paraId="47835B5F">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凌家桥</w:t>
                  </w:r>
                </w:p>
              </w:tc>
              <w:tc>
                <w:tcPr>
                  <w:tcW w:w="2816" w:type="dxa"/>
                  <w:tcBorders>
                    <w:tl2br w:val="nil"/>
                    <w:tr2bl w:val="nil"/>
                  </w:tcBorders>
                  <w:vAlign w:val="center"/>
                </w:tcPr>
                <w:p w14:paraId="3F87CCE8">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省界(川→</w:t>
                  </w:r>
                  <w:r>
                    <w:rPr>
                      <w:rFonts w:hint="default" w:ascii="Times New Roman" w:hAnsi="Times New Roman" w:eastAsia="宋体" w:cs="Times New Roman"/>
                      <w:spacing w:val="-38"/>
                      <w:sz w:val="21"/>
                      <w:szCs w:val="21"/>
                    </w:rPr>
                    <w:t xml:space="preserve"> </w:t>
                  </w:r>
                  <w:r>
                    <w:rPr>
                      <w:rFonts w:hint="default" w:ascii="Times New Roman" w:hAnsi="Times New Roman" w:eastAsia="宋体" w:cs="Times New Roman"/>
                      <w:spacing w:val="-6"/>
                      <w:sz w:val="21"/>
                      <w:szCs w:val="21"/>
                    </w:rPr>
                    <w:t>渝)</w:t>
                  </w:r>
                </w:p>
              </w:tc>
              <w:tc>
                <w:tcPr>
                  <w:tcW w:w="693" w:type="dxa"/>
                  <w:tcBorders>
                    <w:tl2br w:val="nil"/>
                    <w:tr2bl w:val="nil"/>
                  </w:tcBorders>
                  <w:vAlign w:val="center"/>
                </w:tcPr>
                <w:p w14:paraId="62C9722D">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省控考核评价</w:t>
                  </w:r>
                </w:p>
              </w:tc>
              <w:tc>
                <w:tcPr>
                  <w:tcW w:w="507" w:type="dxa"/>
                  <w:tcBorders>
                    <w:tl2br w:val="nil"/>
                    <w:tr2bl w:val="nil"/>
                  </w:tcBorders>
                  <w:vAlign w:val="center"/>
                </w:tcPr>
                <w:p w14:paraId="14566280">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467" w:type="dxa"/>
                  <w:tcBorders>
                    <w:tl2br w:val="nil"/>
                    <w:tr2bl w:val="nil"/>
                  </w:tcBorders>
                  <w:vAlign w:val="center"/>
                </w:tcPr>
                <w:p w14:paraId="6B69D1E8">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586" w:type="dxa"/>
                  <w:tcBorders>
                    <w:tl2br w:val="nil"/>
                    <w:tr2bl w:val="nil"/>
                  </w:tcBorders>
                  <w:vAlign w:val="center"/>
                </w:tcPr>
                <w:p w14:paraId="406DB27A">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1052" w:type="dxa"/>
                  <w:tcBorders>
                    <w:tl2br w:val="nil"/>
                    <w:tr2bl w:val="nil"/>
                  </w:tcBorders>
                  <w:vAlign w:val="center"/>
                </w:tcPr>
                <w:p w14:paraId="63892521">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03A32AA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44" w:type="dxa"/>
                  <w:tcBorders>
                    <w:tl2br w:val="nil"/>
                    <w:tr2bl w:val="nil"/>
                  </w:tcBorders>
                  <w:vAlign w:val="center"/>
                </w:tcPr>
                <w:p w14:paraId="5733F96D">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33</w:t>
                  </w:r>
                </w:p>
              </w:tc>
              <w:tc>
                <w:tcPr>
                  <w:tcW w:w="322" w:type="dxa"/>
                  <w:vMerge w:val="continue"/>
                  <w:tcBorders>
                    <w:tl2br w:val="nil"/>
                    <w:tr2bl w:val="nil"/>
                  </w:tcBorders>
                  <w:vAlign w:val="center"/>
                </w:tcPr>
                <w:p w14:paraId="129C6D22">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450" w:type="dxa"/>
                  <w:vMerge w:val="restart"/>
                  <w:tcBorders>
                    <w:tl2br w:val="nil"/>
                    <w:tr2bl w:val="nil"/>
                  </w:tcBorders>
                  <w:vAlign w:val="center"/>
                </w:tcPr>
                <w:p w14:paraId="4156A0E6">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平滩河</w:t>
                  </w:r>
                </w:p>
              </w:tc>
              <w:tc>
                <w:tcPr>
                  <w:tcW w:w="761" w:type="dxa"/>
                  <w:tcBorders>
                    <w:tl2br w:val="nil"/>
                    <w:tr2bl w:val="nil"/>
                  </w:tcBorders>
                  <w:vAlign w:val="center"/>
                </w:tcPr>
                <w:p w14:paraId="1F75EEB9">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碧山中学</w:t>
                  </w:r>
                </w:p>
              </w:tc>
              <w:tc>
                <w:tcPr>
                  <w:tcW w:w="2816" w:type="dxa"/>
                  <w:tcBorders>
                    <w:tl2br w:val="nil"/>
                    <w:tr2bl w:val="nil"/>
                  </w:tcBorders>
                  <w:vAlign w:val="center"/>
                </w:tcPr>
                <w:p w14:paraId="0467EC9E">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省界(渝→</w:t>
                  </w:r>
                  <w:r>
                    <w:rPr>
                      <w:rFonts w:hint="default" w:ascii="Times New Roman" w:hAnsi="Times New Roman" w:eastAsia="宋体" w:cs="Times New Roman"/>
                      <w:spacing w:val="-45"/>
                      <w:sz w:val="21"/>
                      <w:szCs w:val="21"/>
                    </w:rPr>
                    <w:t xml:space="preserve"> </w:t>
                  </w:r>
                  <w:r>
                    <w:rPr>
                      <w:rFonts w:hint="default" w:ascii="Times New Roman" w:hAnsi="Times New Roman" w:eastAsia="宋体" w:cs="Times New Roman"/>
                      <w:spacing w:val="-5"/>
                      <w:sz w:val="21"/>
                      <w:szCs w:val="21"/>
                    </w:rPr>
                    <w:t>川)</w:t>
                  </w:r>
                </w:p>
              </w:tc>
              <w:tc>
                <w:tcPr>
                  <w:tcW w:w="693" w:type="dxa"/>
                  <w:tcBorders>
                    <w:tl2br w:val="nil"/>
                    <w:tr2bl w:val="nil"/>
                  </w:tcBorders>
                  <w:vAlign w:val="center"/>
                </w:tcPr>
                <w:p w14:paraId="0FBED653">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省控趋势科研</w:t>
                  </w:r>
                </w:p>
              </w:tc>
              <w:tc>
                <w:tcPr>
                  <w:tcW w:w="507" w:type="dxa"/>
                  <w:tcBorders>
                    <w:tl2br w:val="nil"/>
                    <w:tr2bl w:val="nil"/>
                  </w:tcBorders>
                  <w:vAlign w:val="center"/>
                </w:tcPr>
                <w:p w14:paraId="618E349B">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467" w:type="dxa"/>
                  <w:tcBorders>
                    <w:tl2br w:val="nil"/>
                    <w:tr2bl w:val="nil"/>
                  </w:tcBorders>
                  <w:vAlign w:val="center"/>
                </w:tcPr>
                <w:p w14:paraId="30424841">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586" w:type="dxa"/>
                  <w:tcBorders>
                    <w:tl2br w:val="nil"/>
                    <w:tr2bl w:val="nil"/>
                  </w:tcBorders>
                  <w:vAlign w:val="center"/>
                </w:tcPr>
                <w:p w14:paraId="745A6A1F">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IV</w:t>
                  </w:r>
                </w:p>
              </w:tc>
              <w:tc>
                <w:tcPr>
                  <w:tcW w:w="1052" w:type="dxa"/>
                  <w:tcBorders>
                    <w:tl2br w:val="nil"/>
                    <w:tr2bl w:val="nil"/>
                  </w:tcBorders>
                  <w:vAlign w:val="center"/>
                </w:tcPr>
                <w:p w14:paraId="0C4198AB">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化学需氧量</w:t>
                  </w:r>
                </w:p>
              </w:tc>
            </w:tr>
            <w:tr w14:paraId="499C31F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44" w:type="dxa"/>
                  <w:tcBorders>
                    <w:tl2br w:val="nil"/>
                    <w:tr2bl w:val="nil"/>
                  </w:tcBorders>
                  <w:vAlign w:val="center"/>
                </w:tcPr>
                <w:p w14:paraId="000A4E58">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34</w:t>
                  </w:r>
                </w:p>
              </w:tc>
              <w:tc>
                <w:tcPr>
                  <w:tcW w:w="322" w:type="dxa"/>
                  <w:vMerge w:val="continue"/>
                  <w:tcBorders>
                    <w:tl2br w:val="nil"/>
                    <w:tr2bl w:val="nil"/>
                  </w:tcBorders>
                  <w:vAlign w:val="center"/>
                </w:tcPr>
                <w:p w14:paraId="72B94E36">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450" w:type="dxa"/>
                  <w:vMerge w:val="continue"/>
                  <w:tcBorders>
                    <w:tl2br w:val="nil"/>
                    <w:tr2bl w:val="nil"/>
                  </w:tcBorders>
                  <w:vAlign w:val="center"/>
                </w:tcPr>
                <w:p w14:paraId="03D4705E">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761" w:type="dxa"/>
                  <w:tcBorders>
                    <w:tl2br w:val="nil"/>
                    <w:tr2bl w:val="nil"/>
                  </w:tcBorders>
                  <w:vAlign w:val="center"/>
                </w:tcPr>
                <w:p w14:paraId="5DBDE50B">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牛角滩</w:t>
                  </w:r>
                </w:p>
              </w:tc>
              <w:tc>
                <w:tcPr>
                  <w:tcW w:w="2816" w:type="dxa"/>
                  <w:tcBorders>
                    <w:tl2br w:val="nil"/>
                    <w:tr2bl w:val="nil"/>
                  </w:tcBorders>
                  <w:vAlign w:val="center"/>
                </w:tcPr>
                <w:p w14:paraId="26D5CA7D">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省界(川→</w:t>
                  </w:r>
                  <w:r>
                    <w:rPr>
                      <w:rFonts w:hint="default" w:ascii="Times New Roman" w:hAnsi="Times New Roman" w:eastAsia="宋体" w:cs="Times New Roman"/>
                      <w:spacing w:val="-38"/>
                      <w:sz w:val="21"/>
                      <w:szCs w:val="21"/>
                    </w:rPr>
                    <w:t xml:space="preserve"> </w:t>
                  </w:r>
                  <w:r>
                    <w:rPr>
                      <w:rFonts w:hint="default" w:ascii="Times New Roman" w:hAnsi="Times New Roman" w:eastAsia="宋体" w:cs="Times New Roman"/>
                      <w:spacing w:val="-6"/>
                      <w:sz w:val="21"/>
                      <w:szCs w:val="21"/>
                    </w:rPr>
                    <w:t>渝)</w:t>
                  </w:r>
                </w:p>
              </w:tc>
              <w:tc>
                <w:tcPr>
                  <w:tcW w:w="693" w:type="dxa"/>
                  <w:tcBorders>
                    <w:tl2br w:val="nil"/>
                    <w:tr2bl w:val="nil"/>
                  </w:tcBorders>
                  <w:vAlign w:val="center"/>
                </w:tcPr>
                <w:p w14:paraId="37B5A28C">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1"/>
                      <w:sz w:val="21"/>
                      <w:szCs w:val="21"/>
                    </w:rPr>
                    <w:t>国考</w:t>
                  </w:r>
                </w:p>
              </w:tc>
              <w:tc>
                <w:tcPr>
                  <w:tcW w:w="507" w:type="dxa"/>
                  <w:tcBorders>
                    <w:tl2br w:val="nil"/>
                    <w:tr2bl w:val="nil"/>
                  </w:tcBorders>
                  <w:vAlign w:val="center"/>
                </w:tcPr>
                <w:p w14:paraId="1A8102C2">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467" w:type="dxa"/>
                  <w:tcBorders>
                    <w:tl2br w:val="nil"/>
                    <w:tr2bl w:val="nil"/>
                  </w:tcBorders>
                  <w:vAlign w:val="center"/>
                </w:tcPr>
                <w:p w14:paraId="35511FA4">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586" w:type="dxa"/>
                  <w:tcBorders>
                    <w:tl2br w:val="nil"/>
                    <w:tr2bl w:val="nil"/>
                  </w:tcBorders>
                  <w:vAlign w:val="center"/>
                </w:tcPr>
                <w:p w14:paraId="791A688D">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1052" w:type="dxa"/>
                  <w:tcBorders>
                    <w:tl2br w:val="nil"/>
                    <w:tr2bl w:val="nil"/>
                  </w:tcBorders>
                  <w:vAlign w:val="center"/>
                </w:tcPr>
                <w:p w14:paraId="4529C005">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6D1641D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44" w:type="dxa"/>
                  <w:tcBorders>
                    <w:tl2br w:val="nil"/>
                    <w:tr2bl w:val="nil"/>
                  </w:tcBorders>
                  <w:vAlign w:val="center"/>
                </w:tcPr>
                <w:p w14:paraId="44B5B0BF">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35</w:t>
                  </w:r>
                </w:p>
              </w:tc>
              <w:tc>
                <w:tcPr>
                  <w:tcW w:w="322" w:type="dxa"/>
                  <w:vMerge w:val="continue"/>
                  <w:tcBorders>
                    <w:tl2br w:val="nil"/>
                    <w:tr2bl w:val="nil"/>
                  </w:tcBorders>
                  <w:vAlign w:val="center"/>
                </w:tcPr>
                <w:p w14:paraId="17A9D484">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450" w:type="dxa"/>
                  <w:tcBorders>
                    <w:tl2br w:val="nil"/>
                    <w:tr2bl w:val="nil"/>
                  </w:tcBorders>
                  <w:vAlign w:val="center"/>
                </w:tcPr>
                <w:p w14:paraId="251E3BDB">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东柳河</w:t>
                  </w:r>
                </w:p>
              </w:tc>
              <w:tc>
                <w:tcPr>
                  <w:tcW w:w="761" w:type="dxa"/>
                  <w:tcBorders>
                    <w:tl2br w:val="nil"/>
                    <w:tr2bl w:val="nil"/>
                  </w:tcBorders>
                  <w:vAlign w:val="center"/>
                </w:tcPr>
                <w:p w14:paraId="22F1A830">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墩子河</w:t>
                  </w:r>
                </w:p>
              </w:tc>
              <w:tc>
                <w:tcPr>
                  <w:tcW w:w="2816" w:type="dxa"/>
                  <w:tcBorders>
                    <w:tl2br w:val="nil"/>
                    <w:tr2bl w:val="nil"/>
                  </w:tcBorders>
                  <w:vAlign w:val="center"/>
                </w:tcPr>
                <w:p w14:paraId="68FBC568">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县界(大竹县→</w:t>
                  </w:r>
                  <w:r>
                    <w:rPr>
                      <w:rFonts w:hint="default" w:ascii="Times New Roman" w:hAnsi="Times New Roman" w:eastAsia="宋体" w:cs="Times New Roman"/>
                      <w:spacing w:val="-32"/>
                      <w:sz w:val="21"/>
                      <w:szCs w:val="21"/>
                    </w:rPr>
                    <w:t xml:space="preserve"> </w:t>
                  </w:r>
                  <w:r>
                    <w:rPr>
                      <w:rFonts w:hint="default" w:ascii="Times New Roman" w:hAnsi="Times New Roman" w:eastAsia="宋体" w:cs="Times New Roman"/>
                      <w:spacing w:val="-5"/>
                      <w:sz w:val="21"/>
                      <w:szCs w:val="21"/>
                    </w:rPr>
                    <w:t>渠县)</w:t>
                  </w:r>
                </w:p>
              </w:tc>
              <w:tc>
                <w:tcPr>
                  <w:tcW w:w="693" w:type="dxa"/>
                  <w:tcBorders>
                    <w:tl2br w:val="nil"/>
                    <w:tr2bl w:val="nil"/>
                  </w:tcBorders>
                  <w:vAlign w:val="center"/>
                </w:tcPr>
                <w:p w14:paraId="43920BB5">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省控考核评价</w:t>
                  </w:r>
                </w:p>
              </w:tc>
              <w:tc>
                <w:tcPr>
                  <w:tcW w:w="507" w:type="dxa"/>
                  <w:tcBorders>
                    <w:tl2br w:val="nil"/>
                    <w:tr2bl w:val="nil"/>
                  </w:tcBorders>
                  <w:vAlign w:val="center"/>
                </w:tcPr>
                <w:p w14:paraId="09908E2F">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467" w:type="dxa"/>
                  <w:tcBorders>
                    <w:tl2br w:val="nil"/>
                    <w:tr2bl w:val="nil"/>
                  </w:tcBorders>
                  <w:vAlign w:val="center"/>
                </w:tcPr>
                <w:p w14:paraId="0A869590">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586" w:type="dxa"/>
                  <w:tcBorders>
                    <w:tl2br w:val="nil"/>
                    <w:tr2bl w:val="nil"/>
                  </w:tcBorders>
                  <w:vAlign w:val="center"/>
                </w:tcPr>
                <w:p w14:paraId="0A32D8ED">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III</w:t>
                  </w:r>
                </w:p>
              </w:tc>
              <w:tc>
                <w:tcPr>
                  <w:tcW w:w="1052" w:type="dxa"/>
                  <w:tcBorders>
                    <w:tl2br w:val="nil"/>
                    <w:tr2bl w:val="nil"/>
                  </w:tcBorders>
                  <w:vAlign w:val="center"/>
                </w:tcPr>
                <w:p w14:paraId="26955AF3">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0ADEFAE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44" w:type="dxa"/>
                  <w:tcBorders>
                    <w:tl2br w:val="nil"/>
                    <w:tr2bl w:val="nil"/>
                  </w:tcBorders>
                  <w:vAlign w:val="center"/>
                </w:tcPr>
                <w:p w14:paraId="46DED7D4">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36</w:t>
                  </w:r>
                </w:p>
              </w:tc>
              <w:tc>
                <w:tcPr>
                  <w:tcW w:w="322" w:type="dxa"/>
                  <w:vMerge w:val="continue"/>
                  <w:tcBorders>
                    <w:tl2br w:val="nil"/>
                    <w:tr2bl w:val="nil"/>
                  </w:tcBorders>
                  <w:vAlign w:val="center"/>
                </w:tcPr>
                <w:p w14:paraId="444178F8">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450" w:type="dxa"/>
                  <w:tcBorders>
                    <w:tl2br w:val="nil"/>
                    <w:tr2bl w:val="nil"/>
                  </w:tcBorders>
                  <w:vAlign w:val="center"/>
                </w:tcPr>
                <w:p w14:paraId="3107B139">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三溪河</w:t>
                  </w:r>
                </w:p>
              </w:tc>
              <w:tc>
                <w:tcPr>
                  <w:tcW w:w="761" w:type="dxa"/>
                  <w:tcBorders>
                    <w:tl2br w:val="nil"/>
                    <w:tr2bl w:val="nil"/>
                  </w:tcBorders>
                  <w:vAlign w:val="center"/>
                </w:tcPr>
                <w:p w14:paraId="365F8A15">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黑龙潭</w:t>
                  </w:r>
                </w:p>
              </w:tc>
              <w:tc>
                <w:tcPr>
                  <w:tcW w:w="2816" w:type="dxa"/>
                  <w:tcBorders>
                    <w:tl2br w:val="nil"/>
                    <w:tr2bl w:val="nil"/>
                  </w:tcBorders>
                  <w:vAlign w:val="center"/>
                </w:tcPr>
                <w:p w14:paraId="5239DC30">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入河口（入州河）</w:t>
                  </w:r>
                </w:p>
              </w:tc>
              <w:tc>
                <w:tcPr>
                  <w:tcW w:w="693" w:type="dxa"/>
                  <w:tcBorders>
                    <w:tl2br w:val="nil"/>
                    <w:tr2bl w:val="nil"/>
                  </w:tcBorders>
                  <w:vAlign w:val="center"/>
                </w:tcPr>
                <w:p w14:paraId="71AE5B72">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市控</w:t>
                  </w:r>
                </w:p>
              </w:tc>
              <w:tc>
                <w:tcPr>
                  <w:tcW w:w="507" w:type="dxa"/>
                  <w:tcBorders>
                    <w:tl2br w:val="nil"/>
                    <w:tr2bl w:val="nil"/>
                  </w:tcBorders>
                  <w:vAlign w:val="center"/>
                </w:tcPr>
                <w:p w14:paraId="1A372D9A">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467" w:type="dxa"/>
                  <w:tcBorders>
                    <w:tl2br w:val="nil"/>
                    <w:tr2bl w:val="nil"/>
                  </w:tcBorders>
                  <w:vAlign w:val="center"/>
                </w:tcPr>
                <w:p w14:paraId="04413D81">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586" w:type="dxa"/>
                  <w:tcBorders>
                    <w:tl2br w:val="nil"/>
                    <w:tr2bl w:val="nil"/>
                  </w:tcBorders>
                  <w:vAlign w:val="center"/>
                </w:tcPr>
                <w:p w14:paraId="3F8C36B3">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1052" w:type="dxa"/>
                  <w:tcBorders>
                    <w:tl2br w:val="nil"/>
                    <w:tr2bl w:val="nil"/>
                  </w:tcBorders>
                  <w:vAlign w:val="center"/>
                </w:tcPr>
                <w:p w14:paraId="58D4B6EB">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00B61A2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01" w:hRule="atLeast"/>
                <w:jc w:val="center"/>
              </w:trPr>
              <w:tc>
                <w:tcPr>
                  <w:tcW w:w="444" w:type="dxa"/>
                  <w:tcBorders>
                    <w:tl2br w:val="nil"/>
                    <w:tr2bl w:val="nil"/>
                  </w:tcBorders>
                  <w:vAlign w:val="center"/>
                </w:tcPr>
                <w:p w14:paraId="69CEBED0">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37</w:t>
                  </w:r>
                </w:p>
              </w:tc>
              <w:tc>
                <w:tcPr>
                  <w:tcW w:w="322" w:type="dxa"/>
                  <w:vMerge w:val="continue"/>
                  <w:tcBorders>
                    <w:tl2br w:val="nil"/>
                    <w:tr2bl w:val="nil"/>
                  </w:tcBorders>
                  <w:vAlign w:val="center"/>
                </w:tcPr>
                <w:p w14:paraId="3498690B">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p>
              </w:tc>
              <w:tc>
                <w:tcPr>
                  <w:tcW w:w="450" w:type="dxa"/>
                  <w:tcBorders>
                    <w:tl2br w:val="nil"/>
                    <w:tr2bl w:val="nil"/>
                  </w:tcBorders>
                  <w:vAlign w:val="center"/>
                </w:tcPr>
                <w:p w14:paraId="2C6946AC">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杨家河</w:t>
                  </w:r>
                </w:p>
              </w:tc>
              <w:tc>
                <w:tcPr>
                  <w:tcW w:w="761" w:type="dxa"/>
                  <w:tcBorders>
                    <w:tl2br w:val="nil"/>
                    <w:tr2bl w:val="nil"/>
                  </w:tcBorders>
                  <w:vAlign w:val="center"/>
                </w:tcPr>
                <w:p w14:paraId="32CCF82C">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小英农家</w:t>
                  </w:r>
                </w:p>
              </w:tc>
              <w:tc>
                <w:tcPr>
                  <w:tcW w:w="2816" w:type="dxa"/>
                  <w:tcBorders>
                    <w:tl2br w:val="nil"/>
                    <w:tr2bl w:val="nil"/>
                  </w:tcBorders>
                  <w:vAlign w:val="center"/>
                </w:tcPr>
                <w:p w14:paraId="58EBFFB3">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入河口（入州河）</w:t>
                  </w:r>
                </w:p>
              </w:tc>
              <w:tc>
                <w:tcPr>
                  <w:tcW w:w="693" w:type="dxa"/>
                  <w:tcBorders>
                    <w:tl2br w:val="nil"/>
                    <w:tr2bl w:val="nil"/>
                  </w:tcBorders>
                  <w:vAlign w:val="center"/>
                </w:tcPr>
                <w:p w14:paraId="28612919">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市控</w:t>
                  </w:r>
                </w:p>
              </w:tc>
              <w:tc>
                <w:tcPr>
                  <w:tcW w:w="507" w:type="dxa"/>
                  <w:tcBorders>
                    <w:tl2br w:val="nil"/>
                    <w:tr2bl w:val="nil"/>
                  </w:tcBorders>
                  <w:vAlign w:val="center"/>
                </w:tcPr>
                <w:p w14:paraId="176DC150">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467" w:type="dxa"/>
                  <w:tcBorders>
                    <w:tl2br w:val="nil"/>
                    <w:tr2bl w:val="nil"/>
                  </w:tcBorders>
                  <w:vAlign w:val="center"/>
                </w:tcPr>
                <w:p w14:paraId="57850D19">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586" w:type="dxa"/>
                  <w:tcBorders>
                    <w:tl2br w:val="nil"/>
                    <w:tr2bl w:val="nil"/>
                  </w:tcBorders>
                  <w:vAlign w:val="center"/>
                </w:tcPr>
                <w:p w14:paraId="54AD6189">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II</w:t>
                  </w:r>
                </w:p>
              </w:tc>
              <w:tc>
                <w:tcPr>
                  <w:tcW w:w="1052" w:type="dxa"/>
                  <w:tcBorders>
                    <w:tl2br w:val="nil"/>
                    <w:tr2bl w:val="nil"/>
                  </w:tcBorders>
                  <w:vAlign w:val="center"/>
                </w:tcPr>
                <w:p w14:paraId="64F937A6">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442051E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240" w:hRule="atLeast"/>
                <w:jc w:val="center"/>
              </w:trPr>
              <w:tc>
                <w:tcPr>
                  <w:tcW w:w="8098" w:type="dxa"/>
                  <w:gridSpan w:val="10"/>
                  <w:tcBorders>
                    <w:tl2br w:val="nil"/>
                    <w:tr2bl w:val="nil"/>
                  </w:tcBorders>
                  <w:vAlign w:val="center"/>
                </w:tcPr>
                <w:p w14:paraId="6ECBC592">
                  <w:pPr>
                    <w:pStyle w:val="104"/>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注：1.地表水环境评价执行《地表水环境质量标准》（GB3838-2002）、《地表水环境质量评价办法（试行）》（环办〔2011〕22号</w:t>
                  </w:r>
                  <w:r>
                    <w:rPr>
                      <w:rFonts w:hint="default" w:ascii="Times New Roman" w:hAnsi="Times New Roman" w:eastAsia="宋体" w:cs="Times New Roman"/>
                      <w:spacing w:val="-2"/>
                      <w:sz w:val="21"/>
                      <w:szCs w:val="21"/>
                    </w:rPr>
                    <w:t>）和《关于印发〈“十四</w:t>
                  </w:r>
                  <w:r>
                    <w:rPr>
                      <w:rFonts w:hint="default" w:ascii="Times New Roman" w:hAnsi="Times New Roman" w:eastAsia="宋体" w:cs="Times New Roman"/>
                      <w:spacing w:val="-1"/>
                      <w:sz w:val="21"/>
                      <w:szCs w:val="21"/>
                    </w:rPr>
                    <w:t>五”国家地表水监测及评价方案（试行）〉的通知》（环办监测函〔2020〕714</w:t>
                  </w:r>
                  <w:r>
                    <w:rPr>
                      <w:rFonts w:hint="default" w:ascii="Times New Roman" w:hAnsi="Times New Roman" w:eastAsia="宋体" w:cs="Times New Roman"/>
                      <w:spacing w:val="-8"/>
                      <w:sz w:val="21"/>
                      <w:szCs w:val="21"/>
                    </w:rPr>
                    <w:t>号）。</w:t>
                  </w:r>
                  <w:r>
                    <w:rPr>
                      <w:rFonts w:hint="default" w:ascii="Times New Roman" w:hAnsi="Times New Roman" w:eastAsia="宋体" w:cs="Times New Roman"/>
                      <w:sz w:val="21"/>
                      <w:szCs w:val="21"/>
                    </w:rPr>
                    <w:t>2.本月，澌滩河园门、后河漩坑坝、月滩河苟家湾、明月江李家</w:t>
                  </w:r>
                  <w:r>
                    <w:rPr>
                      <w:rFonts w:hint="default" w:ascii="Times New Roman" w:hAnsi="Times New Roman" w:eastAsia="宋体" w:cs="Times New Roman"/>
                      <w:spacing w:val="-1"/>
                      <w:sz w:val="21"/>
                      <w:szCs w:val="21"/>
                    </w:rPr>
                    <w:t>渡、大洪河岗架</w:t>
                  </w:r>
                  <w:r>
                    <w:rPr>
                      <w:rFonts w:hint="default" w:ascii="Times New Roman" w:hAnsi="Times New Roman" w:eastAsia="宋体" w:cs="Times New Roman"/>
                      <w:spacing w:val="1"/>
                      <w:sz w:val="21"/>
                      <w:szCs w:val="21"/>
                    </w:rPr>
                    <w:t>大桥国控（国考）断面评价指标为《地表水环境质量标准》（</w:t>
                  </w:r>
                  <w:r>
                    <w:rPr>
                      <w:rFonts w:hint="default" w:ascii="Times New Roman" w:hAnsi="Times New Roman" w:eastAsia="宋体" w:cs="Times New Roman"/>
                      <w:sz w:val="21"/>
                      <w:szCs w:val="21"/>
                    </w:rPr>
                    <w:t>GB</w:t>
                  </w:r>
                  <w:r>
                    <w:rPr>
                      <w:rFonts w:hint="default" w:ascii="Times New Roman" w:hAnsi="Times New Roman" w:eastAsia="宋体" w:cs="Times New Roman"/>
                      <w:spacing w:val="1"/>
                      <w:sz w:val="21"/>
                      <w:szCs w:val="21"/>
                    </w:rPr>
                    <w:t>3838-2002）</w:t>
                  </w:r>
                  <w:r>
                    <w:rPr>
                      <w:rFonts w:hint="default" w:ascii="Times New Roman" w:hAnsi="Times New Roman" w:eastAsia="宋体" w:cs="Times New Roman"/>
                      <w:spacing w:val="-3"/>
                      <w:sz w:val="21"/>
                      <w:szCs w:val="21"/>
                    </w:rPr>
                    <w:t>表1中除水温、总氮、粪大肠菌群以外的</w:t>
                  </w:r>
                  <w:r>
                    <w:rPr>
                      <w:rFonts w:hint="default" w:ascii="Times New Roman" w:hAnsi="Times New Roman" w:eastAsia="宋体" w:cs="Times New Roman"/>
                      <w:spacing w:val="-54"/>
                      <w:sz w:val="21"/>
                      <w:szCs w:val="21"/>
                    </w:rPr>
                    <w:t xml:space="preserve"> </w:t>
                  </w:r>
                  <w:r>
                    <w:rPr>
                      <w:rFonts w:hint="default" w:ascii="Times New Roman" w:hAnsi="Times New Roman" w:eastAsia="宋体" w:cs="Times New Roman"/>
                      <w:spacing w:val="-3"/>
                      <w:sz w:val="21"/>
                      <w:szCs w:val="21"/>
                    </w:rPr>
                    <w:t>21项指</w:t>
                  </w:r>
                  <w:r>
                    <w:rPr>
                      <w:rFonts w:hint="default" w:ascii="Times New Roman" w:hAnsi="Times New Roman" w:eastAsia="宋体" w:cs="Times New Roman"/>
                      <w:spacing w:val="-4"/>
                      <w:sz w:val="21"/>
                      <w:szCs w:val="21"/>
                    </w:rPr>
                    <w:t>标；其余国控（国考）断面</w:t>
                  </w:r>
                  <w:r>
                    <w:rPr>
                      <w:rFonts w:hint="default" w:ascii="Times New Roman" w:hAnsi="Times New Roman" w:eastAsia="宋体" w:cs="Times New Roman"/>
                      <w:spacing w:val="-2"/>
                      <w:sz w:val="21"/>
                      <w:szCs w:val="21"/>
                    </w:rPr>
                    <w:t>评价指标为“5+X”，即：pH、溶解氧、高锰酸盐指数、氨氮、总磷等5项基本</w:t>
                  </w:r>
                  <w:r>
                    <w:rPr>
                      <w:rFonts w:hint="default" w:ascii="Times New Roman" w:hAnsi="Times New Roman" w:eastAsia="宋体" w:cs="Times New Roman"/>
                      <w:spacing w:val="-1"/>
                      <w:sz w:val="21"/>
                      <w:szCs w:val="21"/>
                    </w:rPr>
                    <w:t>指标及该断面的“X”特征指标；非国控评价指标为《地表水环境质量标准》</w:t>
                  </w:r>
                  <w:r>
                    <w:rPr>
                      <w:rFonts w:hint="default" w:ascii="Times New Roman" w:hAnsi="Times New Roman" w:eastAsia="宋体" w:cs="Times New Roman"/>
                      <w:spacing w:val="-4"/>
                      <w:sz w:val="21"/>
                      <w:szCs w:val="21"/>
                    </w:rPr>
                    <w:t>（GB3838-2002）表1中除水温、总氮、粪大肠菌</w:t>
                  </w:r>
                  <w:r>
                    <w:rPr>
                      <w:rFonts w:hint="default" w:ascii="Times New Roman" w:hAnsi="Times New Roman" w:eastAsia="宋体" w:cs="Times New Roman"/>
                      <w:spacing w:val="-5"/>
                      <w:sz w:val="21"/>
                      <w:szCs w:val="21"/>
                    </w:rPr>
                    <w:t>群以外的</w:t>
                  </w:r>
                  <w:r>
                    <w:rPr>
                      <w:rFonts w:hint="default" w:ascii="Times New Roman" w:hAnsi="Times New Roman" w:eastAsia="宋体" w:cs="Times New Roman"/>
                      <w:spacing w:val="-55"/>
                      <w:sz w:val="21"/>
                      <w:szCs w:val="21"/>
                    </w:rPr>
                    <w:t xml:space="preserve"> </w:t>
                  </w:r>
                  <w:r>
                    <w:rPr>
                      <w:rFonts w:hint="default" w:ascii="Times New Roman" w:hAnsi="Times New Roman" w:eastAsia="宋体" w:cs="Times New Roman"/>
                      <w:spacing w:val="-5"/>
                      <w:sz w:val="21"/>
                      <w:szCs w:val="21"/>
                    </w:rPr>
                    <w:t>21项指标。</w:t>
                  </w:r>
                  <w:r>
                    <w:rPr>
                      <w:rFonts w:hint="default" w:ascii="Times New Roman" w:hAnsi="Times New Roman" w:eastAsia="宋体" w:cs="Times New Roman"/>
                      <w:sz w:val="21"/>
                      <w:szCs w:val="21"/>
                    </w:rPr>
                    <w:t>3.超过Ⅲ类水质标准的指标为断面污染指标，取超标倍</w:t>
                  </w:r>
                  <w:r>
                    <w:rPr>
                      <w:rFonts w:hint="default" w:ascii="Times New Roman" w:hAnsi="Times New Roman" w:eastAsia="宋体" w:cs="Times New Roman"/>
                      <w:spacing w:val="-1"/>
                      <w:sz w:val="21"/>
                      <w:szCs w:val="21"/>
                    </w:rPr>
                    <w:t>数最大的前三项为主要污</w:t>
                  </w:r>
                  <w:r>
                    <w:rPr>
                      <w:rFonts w:hint="default" w:ascii="Times New Roman" w:hAnsi="Times New Roman" w:eastAsia="宋体" w:cs="Times New Roman"/>
                      <w:spacing w:val="-5"/>
                      <w:sz w:val="21"/>
                      <w:szCs w:val="21"/>
                    </w:rPr>
                    <w:t>染指标。</w:t>
                  </w:r>
                  <w:r>
                    <w:rPr>
                      <w:rFonts w:hint="default" w:ascii="Times New Roman" w:hAnsi="Times New Roman" w:eastAsia="宋体" w:cs="Times New Roman"/>
                      <w:spacing w:val="-1"/>
                      <w:sz w:val="21"/>
                      <w:szCs w:val="21"/>
                    </w:rPr>
                    <w:t>4.国控（国考）断面数据来源于采测分离反馈数据</w:t>
                  </w:r>
                  <w:r>
                    <w:rPr>
                      <w:rFonts w:hint="default" w:ascii="Times New Roman" w:hAnsi="Times New Roman" w:eastAsia="宋体" w:cs="Times New Roman"/>
                      <w:spacing w:val="-2"/>
                      <w:sz w:val="21"/>
                      <w:szCs w:val="21"/>
                    </w:rPr>
                    <w:t>，非国控断面数据来源于手工</w:t>
                  </w:r>
                  <w:r>
                    <w:rPr>
                      <w:rFonts w:hint="default" w:ascii="Times New Roman" w:hAnsi="Times New Roman" w:eastAsia="宋体" w:cs="Times New Roman"/>
                      <w:spacing w:val="-9"/>
                      <w:sz w:val="21"/>
                      <w:szCs w:val="21"/>
                    </w:rPr>
                    <w:t>监测数据。</w:t>
                  </w:r>
                </w:p>
              </w:tc>
            </w:tr>
          </w:tbl>
          <w:p w14:paraId="4065C984">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sz w:val="21"/>
                <w:szCs w:val="21"/>
              </w:rPr>
            </w:pPr>
          </w:p>
          <w:p w14:paraId="1DF2CFF6">
            <w:pPr>
              <w:wordWrap w:val="0"/>
              <w:spacing w:line="360" w:lineRule="auto"/>
              <w:ind w:left="21" w:leftChars="10" w:right="21" w:rightChars="10" w:firstLine="480" w:firstLineChars="200"/>
              <w:rPr>
                <w:rFonts w:hint="default" w:eastAsia="宋体"/>
                <w:sz w:val="24"/>
                <w:lang w:val="en-US" w:eastAsia="zh-CN"/>
              </w:rPr>
            </w:pPr>
            <w:r>
              <w:rPr>
                <w:rFonts w:hint="eastAsia"/>
                <w:sz w:val="24"/>
              </w:rPr>
              <w:t>本项目</w:t>
            </w:r>
            <w:r>
              <w:rPr>
                <w:rFonts w:hint="eastAsia"/>
                <w:sz w:val="24"/>
                <w:lang w:val="en-US" w:eastAsia="zh-CN"/>
              </w:rPr>
              <w:t>所在</w:t>
            </w:r>
            <w:r>
              <w:rPr>
                <w:rFonts w:hint="eastAsia"/>
                <w:sz w:val="24"/>
              </w:rPr>
              <w:t>区域</w:t>
            </w:r>
            <w:r>
              <w:rPr>
                <w:rFonts w:hint="eastAsia"/>
                <w:sz w:val="24"/>
                <w:lang w:val="en-US" w:eastAsia="zh-CN"/>
              </w:rPr>
              <w:t>临近双龙河，属于</w:t>
            </w:r>
            <w:r>
              <w:rPr>
                <w:rFonts w:hint="eastAsia"/>
                <w:sz w:val="24"/>
              </w:rPr>
              <w:t>州河</w:t>
            </w:r>
            <w:r>
              <w:rPr>
                <w:rFonts w:hint="eastAsia"/>
                <w:sz w:val="24"/>
                <w:lang w:val="en-US" w:eastAsia="zh-CN"/>
              </w:rPr>
              <w:t>支流</w:t>
            </w:r>
            <w:r>
              <w:rPr>
                <w:rFonts w:hint="eastAsia"/>
                <w:sz w:val="24"/>
                <w:lang w:eastAsia="zh-CN"/>
              </w:rPr>
              <w:t>，项目水环境管控单元属于州河-通川区-车家河-控制单元，</w:t>
            </w:r>
            <w:r>
              <w:rPr>
                <w:rFonts w:hint="eastAsia"/>
                <w:sz w:val="24"/>
              </w:rPr>
              <w:t>由上表可知，</w:t>
            </w:r>
            <w:r>
              <w:rPr>
                <w:rFonts w:hint="eastAsia"/>
                <w:sz w:val="24"/>
                <w:lang w:val="en-US" w:eastAsia="zh-CN"/>
              </w:rPr>
              <w:t>项目所在州河水系-车家河监测断面</w:t>
            </w:r>
            <w:r>
              <w:rPr>
                <w:rFonts w:hint="eastAsia"/>
                <w:sz w:val="24"/>
              </w:rPr>
              <w:t>水质</w:t>
            </w:r>
            <w:r>
              <w:rPr>
                <w:rFonts w:hint="eastAsia"/>
                <w:sz w:val="24"/>
                <w:lang w:val="en-US" w:eastAsia="zh-CN"/>
              </w:rPr>
              <w:t>能够满足</w:t>
            </w:r>
            <w:r>
              <w:rPr>
                <w:rFonts w:hint="eastAsia"/>
                <w:sz w:val="24"/>
              </w:rPr>
              <w:t>《地表水环境质量标准》（GB3838</w:t>
            </w:r>
            <w:r>
              <w:rPr>
                <w:rFonts w:hint="eastAsia"/>
                <w:sz w:val="24"/>
                <w:lang w:val="en-US" w:eastAsia="zh-CN"/>
              </w:rPr>
              <w:t>-</w:t>
            </w:r>
            <w:r>
              <w:rPr>
                <w:rFonts w:hint="eastAsia"/>
                <w:sz w:val="24"/>
              </w:rPr>
              <w:t>2002）中的III类水域标准</w:t>
            </w:r>
            <w:r>
              <w:rPr>
                <w:rFonts w:hint="eastAsia"/>
                <w:sz w:val="24"/>
                <w:lang w:eastAsia="zh-CN"/>
              </w:rPr>
              <w:t>，</w:t>
            </w:r>
            <w:r>
              <w:rPr>
                <w:rFonts w:hint="eastAsia"/>
                <w:sz w:val="24"/>
                <w:lang w:val="en-US" w:eastAsia="zh-CN"/>
              </w:rPr>
              <w:t>地表水环境质量较好。</w:t>
            </w:r>
          </w:p>
          <w:p w14:paraId="6C9621F8">
            <w:pPr>
              <w:wordWrap w:val="0"/>
              <w:spacing w:line="360" w:lineRule="auto"/>
              <w:ind w:left="21" w:leftChars="10" w:right="21" w:rightChars="10" w:firstLine="482" w:firstLineChars="200"/>
              <w:rPr>
                <w:b/>
                <w:bCs/>
                <w:sz w:val="24"/>
                <w:szCs w:val="22"/>
              </w:rPr>
            </w:pPr>
            <w:r>
              <w:rPr>
                <w:b/>
                <w:bCs/>
                <w:sz w:val="24"/>
                <w:szCs w:val="22"/>
              </w:rPr>
              <w:t>三、声学环境质量现状</w:t>
            </w:r>
          </w:p>
          <w:p w14:paraId="5CCF0644">
            <w:pPr>
              <w:wordWrap w:val="0"/>
              <w:spacing w:line="360" w:lineRule="auto"/>
              <w:ind w:left="21" w:leftChars="10" w:right="21" w:rightChars="10" w:firstLine="480" w:firstLineChars="200"/>
              <w:rPr>
                <w:rFonts w:hint="eastAsia"/>
                <w:sz w:val="24"/>
              </w:rPr>
            </w:pPr>
            <w:r>
              <w:rPr>
                <w:rFonts w:hint="eastAsia"/>
                <w:sz w:val="24"/>
              </w:rPr>
              <w:t>根据《建设项目环境影响评价报告表编制技术指南（污染影响类）》（试行），厂界外周边50米范围内存在声环境保护目标的建设项目，应监测保护目标声环境质量现状并评价达标情况。各点位应监测昼夜间噪声，监测时间不少于1天，项目夜间不生产则仅监测昼间噪声。</w:t>
            </w:r>
          </w:p>
          <w:p w14:paraId="665A16C6">
            <w:pPr>
              <w:spacing w:line="360" w:lineRule="auto"/>
              <w:ind w:firstLine="480" w:firstLineChars="200"/>
              <w:rPr>
                <w:rFonts w:hint="eastAsia"/>
                <w:sz w:val="24"/>
              </w:rPr>
            </w:pPr>
            <w:r>
              <w:rPr>
                <w:rFonts w:hint="eastAsia"/>
                <w:sz w:val="24"/>
              </w:rPr>
              <w:t>根据现场调查，本项目厂界外周边50m范围</w:t>
            </w:r>
            <w:r>
              <w:rPr>
                <w:rFonts w:hint="eastAsia"/>
                <w:sz w:val="24"/>
                <w:lang w:val="en-US" w:eastAsia="zh-CN"/>
              </w:rPr>
              <w:t>不</w:t>
            </w:r>
            <w:r>
              <w:rPr>
                <w:rFonts w:hint="eastAsia"/>
                <w:sz w:val="24"/>
              </w:rPr>
              <w:t>存在声环境保护目标，故本次评价</w:t>
            </w:r>
            <w:r>
              <w:rPr>
                <w:rFonts w:hint="eastAsia"/>
                <w:sz w:val="24"/>
                <w:lang w:val="en-US" w:eastAsia="zh-CN"/>
              </w:rPr>
              <w:t>无需进行</w:t>
            </w:r>
            <w:r>
              <w:rPr>
                <w:rFonts w:hint="eastAsia"/>
                <w:sz w:val="24"/>
              </w:rPr>
              <w:t>声环境质量</w:t>
            </w:r>
            <w:r>
              <w:rPr>
                <w:rFonts w:hint="eastAsia"/>
                <w:sz w:val="24"/>
                <w:lang w:val="en-US" w:eastAsia="zh-CN"/>
              </w:rPr>
              <w:t>现状</w:t>
            </w:r>
            <w:r>
              <w:rPr>
                <w:rFonts w:hint="eastAsia"/>
                <w:sz w:val="24"/>
              </w:rPr>
              <w:t>评价。</w:t>
            </w:r>
          </w:p>
          <w:p w14:paraId="6FBC0544">
            <w:pPr>
              <w:spacing w:line="360" w:lineRule="auto"/>
              <w:ind w:firstLine="482" w:firstLineChars="200"/>
              <w:rPr>
                <w:rFonts w:hint="eastAsia"/>
                <w:b/>
                <w:bCs/>
                <w:kern w:val="0"/>
                <w:sz w:val="24"/>
              </w:rPr>
            </w:pPr>
            <w:r>
              <w:rPr>
                <w:rFonts w:hint="eastAsia"/>
                <w:b/>
                <w:bCs/>
                <w:kern w:val="0"/>
                <w:sz w:val="24"/>
              </w:rPr>
              <w:t>四、土壤、地下水环境质量现状评价</w:t>
            </w:r>
          </w:p>
          <w:p w14:paraId="2596FF9B">
            <w:pPr>
              <w:spacing w:line="360" w:lineRule="auto"/>
              <w:ind w:firstLine="480" w:firstLineChars="200"/>
              <w:rPr>
                <w:rFonts w:hint="eastAsia"/>
                <w:kern w:val="0"/>
                <w:sz w:val="24"/>
              </w:rPr>
            </w:pPr>
            <w:r>
              <w:rPr>
                <w:rFonts w:hint="eastAsia"/>
                <w:kern w:val="0"/>
                <w:sz w:val="24"/>
              </w:rPr>
              <w:t>根据《建设项目环境影响报告编制指南（污染影响类）（试行）》，原则上不开展地下水环境质量现状调查，建设项目存在地下水环境污染途径的，应结合污染源、保护目标分布情况开展现状调查以留作背景值。</w:t>
            </w:r>
          </w:p>
          <w:p w14:paraId="40288781">
            <w:pPr>
              <w:spacing w:line="360" w:lineRule="auto"/>
              <w:ind w:firstLine="480" w:firstLineChars="200"/>
              <w:rPr>
                <w:rFonts w:hint="eastAsia"/>
                <w:kern w:val="0"/>
                <w:sz w:val="24"/>
              </w:rPr>
            </w:pPr>
            <w:r>
              <w:rPr>
                <w:rFonts w:hint="eastAsia"/>
                <w:kern w:val="0"/>
                <w:sz w:val="24"/>
              </w:rPr>
              <w:t>本项目分区防渗，防止污染物渗漏，阻隔土壤、地下水污染途径。根据《建设项目环境影响报告表编制技术指南》，原则上不开展土壤、地下水环境质量现状调查。</w:t>
            </w:r>
          </w:p>
          <w:p w14:paraId="6839B6A0">
            <w:pPr>
              <w:spacing w:line="360" w:lineRule="auto"/>
              <w:ind w:firstLine="482" w:firstLineChars="200"/>
              <w:rPr>
                <w:rFonts w:hint="eastAsia"/>
                <w:b/>
                <w:bCs/>
                <w:kern w:val="0"/>
                <w:sz w:val="24"/>
              </w:rPr>
            </w:pPr>
            <w:r>
              <w:rPr>
                <w:rFonts w:hint="eastAsia"/>
                <w:b/>
                <w:bCs/>
                <w:kern w:val="0"/>
                <w:sz w:val="24"/>
              </w:rPr>
              <w:t>五、生态环境质量</w:t>
            </w:r>
          </w:p>
          <w:p w14:paraId="6B4FA79B">
            <w:pPr>
              <w:spacing w:line="360" w:lineRule="auto"/>
              <w:ind w:firstLine="480" w:firstLineChars="200"/>
              <w:rPr>
                <w:rFonts w:hint="eastAsia"/>
                <w:kern w:val="0"/>
                <w:sz w:val="24"/>
              </w:rPr>
            </w:pPr>
            <w:r>
              <w:rPr>
                <w:rFonts w:hint="eastAsia"/>
                <w:kern w:val="0"/>
                <w:sz w:val="24"/>
              </w:rPr>
              <w:t>根据现场勘查，本项目位于达州市通川区东岳新型工业聚集区，区域内系统生物多样性程度较低，受人类活动影响，区域内没有属于重点保护的动植物物种资源、古树名木、自然保护区和需要重点保护的栖息地以及其他生态敏感点。</w:t>
            </w:r>
          </w:p>
          <w:p w14:paraId="69089F4F">
            <w:pPr>
              <w:wordWrap w:val="0"/>
              <w:spacing w:line="360" w:lineRule="auto"/>
              <w:ind w:left="21" w:leftChars="10" w:right="21" w:rightChars="10" w:firstLine="482" w:firstLineChars="200"/>
              <w:rPr>
                <w:rFonts w:hint="eastAsia"/>
                <w:b/>
                <w:bCs/>
                <w:kern w:val="0"/>
                <w:sz w:val="24"/>
              </w:rPr>
            </w:pPr>
            <w:r>
              <w:rPr>
                <w:rFonts w:hint="eastAsia"/>
                <w:b/>
                <w:bCs/>
                <w:kern w:val="0"/>
                <w:sz w:val="24"/>
                <w:lang w:val="en-US" w:eastAsia="zh-CN"/>
              </w:rPr>
              <w:t>六</w:t>
            </w:r>
            <w:r>
              <w:rPr>
                <w:rFonts w:hint="eastAsia"/>
                <w:b/>
                <w:bCs/>
                <w:kern w:val="0"/>
                <w:sz w:val="24"/>
              </w:rPr>
              <w:t>、电磁辐射现状</w:t>
            </w:r>
          </w:p>
          <w:p w14:paraId="41D16E63">
            <w:pPr>
              <w:wordWrap w:val="0"/>
              <w:spacing w:line="360" w:lineRule="auto"/>
              <w:ind w:left="21" w:leftChars="10" w:right="21" w:rightChars="10" w:firstLine="480" w:firstLineChars="200"/>
              <w:rPr>
                <w:rFonts w:hint="eastAsia"/>
                <w:kern w:val="0"/>
                <w:sz w:val="24"/>
              </w:rPr>
            </w:pPr>
            <w:r>
              <w:rPr>
                <w:rFonts w:hint="eastAsia"/>
                <w:kern w:val="0"/>
                <w:sz w:val="24"/>
              </w:rPr>
              <w:t>根据《建设项目环境影响评价报告表编制技术指南（污染影响类）》（试行），新建或改建、扩建广播电台、差转台、电视塔台、卫星地球上行站、雷达等电磁辐射类项目，应根据相关技术导则对项目电磁辐射现状开展监测与评价。</w:t>
            </w:r>
          </w:p>
          <w:p w14:paraId="09A80426">
            <w:pPr>
              <w:wordWrap w:val="0"/>
              <w:spacing w:line="360" w:lineRule="auto"/>
              <w:ind w:left="21" w:leftChars="10" w:right="21" w:rightChars="10" w:firstLine="480" w:firstLineChars="200"/>
              <w:rPr>
                <w:rFonts w:hint="eastAsia"/>
                <w:kern w:val="0"/>
                <w:sz w:val="24"/>
              </w:rPr>
            </w:pPr>
            <w:r>
              <w:rPr>
                <w:rFonts w:hint="eastAsia"/>
                <w:kern w:val="0"/>
                <w:sz w:val="24"/>
              </w:rPr>
              <w:t>本项目不属于广播电台、差转台、电视塔台、卫星地球上行站、雷达等电磁辐射类项目，无需开展电磁辐射现状监测与评价。</w:t>
            </w:r>
          </w:p>
        </w:tc>
      </w:tr>
      <w:tr w14:paraId="680862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 w:type="dxa"/>
            <w:bottom w:w="0" w:type="dxa"/>
            <w:right w:w="1" w:type="dxa"/>
          </w:tblCellMar>
        </w:tblPrEx>
        <w:trPr>
          <w:trHeight w:val="90" w:hRule="atLeast"/>
          <w:jc w:val="center"/>
        </w:trPr>
        <w:tc>
          <w:tcPr>
            <w:tcW w:w="800" w:type="dxa"/>
            <w:noWrap w:val="0"/>
            <w:vAlign w:val="center"/>
          </w:tcPr>
          <w:p w14:paraId="18EDAE08">
            <w:pPr>
              <w:wordWrap w:val="0"/>
              <w:adjustRightInd w:val="0"/>
              <w:ind w:left="21" w:leftChars="10" w:right="21" w:rightChars="10"/>
              <w:jc w:val="center"/>
              <w:rPr>
                <w:b/>
                <w:sz w:val="24"/>
              </w:rPr>
            </w:pPr>
            <w:r>
              <w:rPr>
                <w:b/>
                <w:sz w:val="24"/>
              </w:rPr>
              <w:t>环境</w:t>
            </w:r>
          </w:p>
          <w:p w14:paraId="7A4B06BA">
            <w:pPr>
              <w:wordWrap w:val="0"/>
              <w:adjustRightInd w:val="0"/>
              <w:ind w:left="21" w:leftChars="10" w:right="21" w:rightChars="10"/>
              <w:jc w:val="center"/>
              <w:rPr>
                <w:b/>
                <w:sz w:val="24"/>
              </w:rPr>
            </w:pPr>
            <w:r>
              <w:rPr>
                <w:b/>
                <w:sz w:val="24"/>
              </w:rPr>
              <w:t>保护</w:t>
            </w:r>
          </w:p>
          <w:p w14:paraId="69F4592A">
            <w:pPr>
              <w:wordWrap w:val="0"/>
              <w:adjustRightInd w:val="0"/>
              <w:ind w:left="21" w:leftChars="10" w:right="21" w:rightChars="10"/>
              <w:jc w:val="center"/>
              <w:rPr>
                <w:b/>
                <w:sz w:val="24"/>
              </w:rPr>
            </w:pPr>
            <w:r>
              <w:rPr>
                <w:b/>
                <w:sz w:val="24"/>
              </w:rPr>
              <w:t>目标</w:t>
            </w:r>
          </w:p>
        </w:tc>
        <w:tc>
          <w:tcPr>
            <w:tcW w:w="8190" w:type="dxa"/>
            <w:tcBorders>
              <w:bottom w:val="single" w:color="auto" w:sz="2" w:space="0"/>
            </w:tcBorders>
            <w:noWrap w:val="0"/>
            <w:vAlign w:val="center"/>
          </w:tcPr>
          <w:p w14:paraId="2C633501">
            <w:pPr>
              <w:wordWrap w:val="0"/>
              <w:autoSpaceDE w:val="0"/>
              <w:autoSpaceDN w:val="0"/>
              <w:spacing w:line="360" w:lineRule="auto"/>
              <w:ind w:left="21" w:leftChars="10" w:right="21" w:rightChars="10" w:firstLine="480" w:firstLineChars="200"/>
              <w:rPr>
                <w:rFonts w:hint="eastAsia"/>
                <w:bCs/>
                <w:sz w:val="24"/>
                <w:szCs w:val="28"/>
                <w:highlight w:val="none"/>
              </w:rPr>
            </w:pPr>
            <w:r>
              <w:rPr>
                <w:rFonts w:hint="eastAsia"/>
                <w:bCs/>
                <w:sz w:val="24"/>
                <w:szCs w:val="28"/>
                <w:highlight w:val="none"/>
              </w:rPr>
              <w:t>根据《建设项目环境影响报告表编制技术指南（污染影响类）（试行）》</w:t>
            </w:r>
            <w:r>
              <w:rPr>
                <w:rFonts w:hint="eastAsia"/>
                <w:bCs/>
                <w:sz w:val="24"/>
                <w:szCs w:val="28"/>
                <w:highlight w:val="none"/>
                <w:lang w:val="en-US" w:eastAsia="zh-CN"/>
              </w:rPr>
              <w:t>及《环境影响评价技术导则 大气环境》（HJ2.2-2018）</w:t>
            </w:r>
            <w:r>
              <w:rPr>
                <w:rFonts w:hint="eastAsia"/>
                <w:bCs/>
                <w:sz w:val="24"/>
                <w:szCs w:val="28"/>
                <w:highlight w:val="none"/>
              </w:rPr>
              <w:t>，项目环境保护目标为：</w:t>
            </w:r>
          </w:p>
          <w:p w14:paraId="70387C15">
            <w:pPr>
              <w:wordWrap w:val="0"/>
              <w:autoSpaceDE w:val="0"/>
              <w:autoSpaceDN w:val="0"/>
              <w:spacing w:line="360" w:lineRule="auto"/>
              <w:ind w:left="21" w:leftChars="10" w:right="21" w:rightChars="10" w:firstLine="480" w:firstLineChars="200"/>
              <w:rPr>
                <w:rFonts w:hint="eastAsia"/>
                <w:bCs/>
                <w:sz w:val="24"/>
                <w:szCs w:val="28"/>
                <w:highlight w:val="yellow"/>
              </w:rPr>
            </w:pPr>
            <w:r>
              <w:rPr>
                <w:rFonts w:hint="eastAsia"/>
                <w:bCs/>
                <w:sz w:val="24"/>
                <w:szCs w:val="28"/>
                <w:highlight w:val="none"/>
              </w:rPr>
              <w:t>①大气环境：明确厂界外</w:t>
            </w:r>
            <w:r>
              <w:rPr>
                <w:rFonts w:hint="eastAsia"/>
                <w:bCs/>
                <w:sz w:val="24"/>
                <w:szCs w:val="28"/>
                <w:highlight w:val="none"/>
                <w:lang w:val="en-US" w:eastAsia="zh-CN"/>
              </w:rPr>
              <w:t>2.5km</w:t>
            </w:r>
            <w:r>
              <w:rPr>
                <w:rFonts w:hint="eastAsia"/>
                <w:bCs/>
                <w:sz w:val="24"/>
                <w:szCs w:val="28"/>
                <w:highlight w:val="none"/>
              </w:rPr>
              <w:t>范围内的自然保护区、风景名胜区、居住区、文化区和农村地区中人群较集中的区域等保护目标的名称及与建设项目厂界位置关系。</w:t>
            </w:r>
          </w:p>
          <w:p w14:paraId="011E142A">
            <w:pPr>
              <w:wordWrap w:val="0"/>
              <w:autoSpaceDE w:val="0"/>
              <w:autoSpaceDN w:val="0"/>
              <w:spacing w:line="360" w:lineRule="auto"/>
              <w:ind w:left="21" w:leftChars="10" w:right="21" w:rightChars="10" w:firstLine="480" w:firstLineChars="200"/>
              <w:rPr>
                <w:rFonts w:hint="eastAsia"/>
                <w:bCs/>
                <w:sz w:val="24"/>
                <w:szCs w:val="28"/>
              </w:rPr>
            </w:pPr>
            <w:r>
              <w:rPr>
                <w:rFonts w:hint="eastAsia"/>
                <w:bCs/>
                <w:sz w:val="24"/>
                <w:szCs w:val="28"/>
              </w:rPr>
              <w:t>②声环境：明确厂界外50米范围内声环境保护目标。</w:t>
            </w:r>
          </w:p>
          <w:p w14:paraId="2D865297">
            <w:pPr>
              <w:wordWrap w:val="0"/>
              <w:spacing w:line="360" w:lineRule="auto"/>
              <w:ind w:left="21" w:leftChars="10" w:right="21" w:rightChars="10" w:firstLine="480" w:firstLineChars="200"/>
              <w:rPr>
                <w:rFonts w:hint="eastAsia" w:eastAsia="宋体"/>
                <w:bCs/>
                <w:sz w:val="24"/>
                <w:szCs w:val="28"/>
                <w:highlight w:val="none"/>
                <w:lang w:eastAsia="zh-CN"/>
              </w:rPr>
            </w:pPr>
            <w:r>
              <w:rPr>
                <w:rFonts w:hint="eastAsia"/>
                <w:bCs/>
                <w:sz w:val="24"/>
                <w:szCs w:val="28"/>
                <w:highlight w:val="none"/>
              </w:rPr>
              <w:t>根据项目周围环境特征，本项目环境保护目标见下表</w:t>
            </w:r>
            <w:r>
              <w:rPr>
                <w:rFonts w:hint="eastAsia"/>
                <w:bCs/>
                <w:sz w:val="24"/>
                <w:szCs w:val="28"/>
                <w:highlight w:val="none"/>
                <w:lang w:eastAsia="zh-CN"/>
              </w:rPr>
              <w:t>：</w:t>
            </w:r>
          </w:p>
          <w:p w14:paraId="66D4185B">
            <w:pPr>
              <w:numPr>
                <w:ilvl w:val="0"/>
                <w:numId w:val="5"/>
              </w:numPr>
              <w:wordWrap w:val="0"/>
              <w:ind w:left="21" w:leftChars="10" w:right="21" w:rightChars="10" w:firstLine="0"/>
              <w:jc w:val="center"/>
              <w:rPr>
                <w:rFonts w:hint="eastAsia" w:ascii="Times New Roman" w:hAnsi="Times New Roman" w:eastAsia="宋体" w:cs="Times New Roman"/>
                <w:b/>
                <w:bCs/>
                <w:szCs w:val="22"/>
                <w:highlight w:val="none"/>
                <w:lang w:val="en-US" w:eastAsia="zh-CN"/>
              </w:rPr>
            </w:pPr>
            <w:r>
              <w:rPr>
                <w:rFonts w:hint="eastAsia" w:ascii="Times New Roman" w:hAnsi="Times New Roman" w:eastAsia="宋体" w:cs="Times New Roman"/>
                <w:b/>
                <w:bCs/>
                <w:szCs w:val="22"/>
                <w:highlight w:val="none"/>
                <w:lang w:val="en-US" w:eastAsia="zh-CN"/>
              </w:rPr>
              <w:t>主要环境保护敏感点一览表</w:t>
            </w:r>
          </w:p>
          <w:tbl>
            <w:tblPr>
              <w:tblStyle w:val="26"/>
              <w:tblW w:w="809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358"/>
              <w:gridCol w:w="1535"/>
              <w:gridCol w:w="1099"/>
              <w:gridCol w:w="924"/>
              <w:gridCol w:w="815"/>
              <w:gridCol w:w="997"/>
              <w:gridCol w:w="1517"/>
              <w:gridCol w:w="852"/>
            </w:tblGrid>
            <w:tr w14:paraId="769B4D7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12" w:hRule="atLeast"/>
                <w:tblHeader/>
                <w:jc w:val="center"/>
              </w:trPr>
              <w:tc>
                <w:tcPr>
                  <w:tcW w:w="358" w:type="dxa"/>
                  <w:vMerge w:val="restart"/>
                  <w:noWrap w:val="0"/>
                  <w:vAlign w:val="center"/>
                </w:tcPr>
                <w:p w14:paraId="5E60334F">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环境要素</w:t>
                  </w:r>
                </w:p>
              </w:tc>
              <w:tc>
                <w:tcPr>
                  <w:tcW w:w="1535" w:type="dxa"/>
                  <w:vMerge w:val="restart"/>
                  <w:noWrap w:val="0"/>
                  <w:vAlign w:val="center"/>
                </w:tcPr>
                <w:p w14:paraId="64B81E34">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保护对象</w:t>
                  </w:r>
                </w:p>
              </w:tc>
              <w:tc>
                <w:tcPr>
                  <w:tcW w:w="2023" w:type="dxa"/>
                  <w:gridSpan w:val="2"/>
                  <w:noWrap w:val="0"/>
                  <w:vAlign w:val="center"/>
                </w:tcPr>
                <w:p w14:paraId="2172758F">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中心坐标</w:t>
                  </w:r>
                </w:p>
              </w:tc>
              <w:tc>
                <w:tcPr>
                  <w:tcW w:w="815" w:type="dxa"/>
                  <w:vMerge w:val="restart"/>
                  <w:noWrap w:val="0"/>
                  <w:vAlign w:val="center"/>
                </w:tcPr>
                <w:p w14:paraId="430CAF2C">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val="en-US" w:eastAsia="zh-CN"/>
                    </w:rPr>
                    <w:t>与本项目</w:t>
                  </w:r>
                  <w:r>
                    <w:rPr>
                      <w:rFonts w:hint="default" w:ascii="Times New Roman" w:hAnsi="Times New Roman" w:eastAsia="宋体" w:cs="Times New Roman"/>
                      <w:b/>
                      <w:sz w:val="21"/>
                      <w:szCs w:val="21"/>
                    </w:rPr>
                    <w:t>方位</w:t>
                  </w:r>
                </w:p>
              </w:tc>
              <w:tc>
                <w:tcPr>
                  <w:tcW w:w="997" w:type="dxa"/>
                  <w:vMerge w:val="restart"/>
                  <w:noWrap w:val="0"/>
                  <w:vAlign w:val="center"/>
                </w:tcPr>
                <w:p w14:paraId="460D3A6E">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rPr>
                    <w:t>距离厂界</w:t>
                  </w:r>
                  <w:r>
                    <w:rPr>
                      <w:rFonts w:hint="default" w:ascii="Times New Roman" w:hAnsi="Times New Roman" w:eastAsia="宋体" w:cs="Times New Roman"/>
                      <w:b/>
                      <w:sz w:val="21"/>
                      <w:szCs w:val="21"/>
                    </w:rPr>
                    <w:cr/>
                  </w:r>
                  <w:r>
                    <w:rPr>
                      <w:rFonts w:hint="default" w:ascii="Times New Roman" w:hAnsi="Times New Roman" w:eastAsia="宋体" w:cs="Times New Roman"/>
                      <w:b/>
                      <w:sz w:val="21"/>
                      <w:szCs w:val="21"/>
                    </w:rPr>
                    <w:cr/>
                  </w:r>
                  <w:r>
                    <w:rPr>
                      <w:rFonts w:hint="default" w:ascii="Times New Roman" w:hAnsi="Times New Roman" w:eastAsia="宋体" w:cs="Times New Roman"/>
                      <w:b/>
                      <w:sz w:val="21"/>
                      <w:szCs w:val="21"/>
                    </w:rPr>
                    <w:t>距离</w:t>
                  </w:r>
                  <w:r>
                    <w:rPr>
                      <w:rFonts w:hint="default" w:ascii="Times New Roman" w:hAnsi="Times New Roman" w:eastAsia="宋体" w:cs="Times New Roman"/>
                      <w:b/>
                      <w:sz w:val="21"/>
                      <w:szCs w:val="21"/>
                      <w:lang w:eastAsia="zh-CN"/>
                    </w:rPr>
                    <w:t>（</w:t>
                  </w:r>
                  <w:r>
                    <w:rPr>
                      <w:rFonts w:hint="default" w:ascii="Times New Roman" w:hAnsi="Times New Roman" w:eastAsia="宋体" w:cs="Times New Roman"/>
                      <w:b/>
                      <w:sz w:val="21"/>
                      <w:szCs w:val="21"/>
                      <w:lang w:val="en-US" w:eastAsia="zh-CN"/>
                    </w:rPr>
                    <w:t>m</w:t>
                  </w:r>
                  <w:r>
                    <w:rPr>
                      <w:rFonts w:hint="default" w:ascii="Times New Roman" w:hAnsi="Times New Roman" w:eastAsia="宋体" w:cs="Times New Roman"/>
                      <w:b/>
                      <w:sz w:val="21"/>
                      <w:szCs w:val="21"/>
                      <w:lang w:eastAsia="zh-CN"/>
                    </w:rPr>
                    <w:t>）</w:t>
                  </w:r>
                </w:p>
              </w:tc>
              <w:tc>
                <w:tcPr>
                  <w:tcW w:w="1517" w:type="dxa"/>
                  <w:vMerge w:val="restart"/>
                  <w:noWrap w:val="0"/>
                  <w:vAlign w:val="center"/>
                </w:tcPr>
                <w:p w14:paraId="01570B57">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规模</w:t>
                  </w:r>
                </w:p>
              </w:tc>
              <w:tc>
                <w:tcPr>
                  <w:tcW w:w="852" w:type="dxa"/>
                  <w:vMerge w:val="restart"/>
                  <w:noWrap w:val="0"/>
                  <w:vAlign w:val="center"/>
                </w:tcPr>
                <w:p w14:paraId="438D7531">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环境功能</w:t>
                  </w:r>
                </w:p>
              </w:tc>
            </w:tr>
            <w:tr w14:paraId="1027B56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564" w:hRule="atLeast"/>
                <w:tblHeader/>
                <w:jc w:val="center"/>
              </w:trPr>
              <w:tc>
                <w:tcPr>
                  <w:tcW w:w="358" w:type="dxa"/>
                  <w:vMerge w:val="continue"/>
                  <w:noWrap w:val="0"/>
                  <w:vAlign w:val="center"/>
                </w:tcPr>
                <w:p w14:paraId="4A940D3C">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p>
              </w:tc>
              <w:tc>
                <w:tcPr>
                  <w:tcW w:w="1535" w:type="dxa"/>
                  <w:vMerge w:val="continue"/>
                  <w:noWrap w:val="0"/>
                  <w:vAlign w:val="center"/>
                </w:tcPr>
                <w:p w14:paraId="171BDBA7">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p>
              </w:tc>
              <w:tc>
                <w:tcPr>
                  <w:tcW w:w="1099" w:type="dxa"/>
                  <w:noWrap w:val="0"/>
                  <w:vAlign w:val="center"/>
                </w:tcPr>
                <w:p w14:paraId="68D35B34">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经度</w:t>
                  </w:r>
                </w:p>
              </w:tc>
              <w:tc>
                <w:tcPr>
                  <w:tcW w:w="924" w:type="dxa"/>
                  <w:noWrap w:val="0"/>
                  <w:vAlign w:val="center"/>
                </w:tcPr>
                <w:p w14:paraId="078A6EE9">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纬度</w:t>
                  </w:r>
                </w:p>
              </w:tc>
              <w:tc>
                <w:tcPr>
                  <w:tcW w:w="815" w:type="dxa"/>
                  <w:vMerge w:val="continue"/>
                  <w:noWrap w:val="0"/>
                  <w:vAlign w:val="center"/>
                </w:tcPr>
                <w:p w14:paraId="053E8218">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p>
              </w:tc>
              <w:tc>
                <w:tcPr>
                  <w:tcW w:w="997" w:type="dxa"/>
                  <w:vMerge w:val="continue"/>
                  <w:noWrap w:val="0"/>
                  <w:vAlign w:val="center"/>
                </w:tcPr>
                <w:p w14:paraId="57EFF590">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p>
              </w:tc>
              <w:tc>
                <w:tcPr>
                  <w:tcW w:w="1517" w:type="dxa"/>
                  <w:vMerge w:val="continue"/>
                  <w:noWrap w:val="0"/>
                  <w:vAlign w:val="center"/>
                </w:tcPr>
                <w:p w14:paraId="1EBA59BC">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p>
              </w:tc>
              <w:tc>
                <w:tcPr>
                  <w:tcW w:w="852" w:type="dxa"/>
                  <w:vMerge w:val="continue"/>
                  <w:noWrap w:val="0"/>
                  <w:vAlign w:val="center"/>
                </w:tcPr>
                <w:p w14:paraId="61D16A20">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p>
              </w:tc>
            </w:tr>
            <w:tr w14:paraId="49DE84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192" w:hRule="atLeast"/>
                <w:jc w:val="center"/>
              </w:trPr>
              <w:tc>
                <w:tcPr>
                  <w:tcW w:w="358" w:type="dxa"/>
                  <w:vMerge w:val="restart"/>
                  <w:noWrap w:val="0"/>
                  <w:vAlign w:val="center"/>
                </w:tcPr>
                <w:p w14:paraId="44738676">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w:t>
                  </w:r>
                </w:p>
                <w:p w14:paraId="58E0E7A2">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tc>
              <w:tc>
                <w:tcPr>
                  <w:tcW w:w="1535" w:type="dxa"/>
                  <w:shd w:val="clear" w:color="auto" w:fill="auto"/>
                  <w:noWrap w:val="0"/>
                  <w:vAlign w:val="center"/>
                </w:tcPr>
                <w:p w14:paraId="7CC147F9">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kern w:val="2"/>
                      <w:sz w:val="21"/>
                      <w:szCs w:val="21"/>
                      <w:highlight w:val="none"/>
                      <w:vertAlign w:val="baseline"/>
                      <w:lang w:val="en-US" w:eastAsia="zh-CN" w:bidi="ar-SA"/>
                    </w:rPr>
                  </w:pPr>
                  <w:r>
                    <w:rPr>
                      <w:rFonts w:hint="default" w:ascii="Times New Roman" w:hAnsi="Times New Roman" w:eastAsia="宋体" w:cs="Times New Roman"/>
                      <w:bCs/>
                      <w:sz w:val="21"/>
                      <w:szCs w:val="21"/>
                      <w:highlight w:val="none"/>
                      <w:vertAlign w:val="baseline"/>
                      <w:lang w:val="en-US" w:eastAsia="zh-CN"/>
                    </w:rPr>
                    <w:t>有力村散居农户</w:t>
                  </w:r>
                </w:p>
              </w:tc>
              <w:tc>
                <w:tcPr>
                  <w:tcW w:w="1099" w:type="dxa"/>
                  <w:noWrap w:val="0"/>
                  <w:vAlign w:val="center"/>
                </w:tcPr>
                <w:p w14:paraId="06AF8313">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highlight w:val="none"/>
                      <w:vertAlign w:val="baseline"/>
                      <w:lang w:val="en-US" w:eastAsia="zh-CN"/>
                    </w:rPr>
                  </w:pPr>
                  <w:r>
                    <w:rPr>
                      <w:rFonts w:hint="default" w:ascii="Times New Roman" w:hAnsi="Times New Roman" w:eastAsia="宋体" w:cs="Times New Roman"/>
                      <w:bCs/>
                      <w:sz w:val="21"/>
                      <w:szCs w:val="21"/>
                      <w:highlight w:val="none"/>
                      <w:vertAlign w:val="baseline"/>
                      <w:lang w:val="en-US" w:eastAsia="zh-CN"/>
                    </w:rPr>
                    <w:t>107.486119</w:t>
                  </w:r>
                </w:p>
              </w:tc>
              <w:tc>
                <w:tcPr>
                  <w:tcW w:w="924" w:type="dxa"/>
                  <w:noWrap w:val="0"/>
                  <w:vAlign w:val="center"/>
                </w:tcPr>
                <w:p w14:paraId="30AA12A6">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highlight w:val="none"/>
                      <w:vertAlign w:val="baseline"/>
                      <w:lang w:val="en-US" w:eastAsia="zh-CN"/>
                    </w:rPr>
                  </w:pPr>
                  <w:r>
                    <w:rPr>
                      <w:rFonts w:hint="default" w:ascii="Times New Roman" w:hAnsi="Times New Roman" w:eastAsia="宋体" w:cs="Times New Roman"/>
                      <w:bCs/>
                      <w:sz w:val="21"/>
                      <w:szCs w:val="21"/>
                      <w:highlight w:val="none"/>
                      <w:vertAlign w:val="baseline"/>
                      <w:lang w:val="en-US" w:eastAsia="zh-CN"/>
                    </w:rPr>
                    <w:t>31.328120</w:t>
                  </w:r>
                </w:p>
              </w:tc>
              <w:tc>
                <w:tcPr>
                  <w:tcW w:w="815" w:type="dxa"/>
                  <w:noWrap w:val="0"/>
                  <w:vAlign w:val="center"/>
                </w:tcPr>
                <w:p w14:paraId="1B50DB54">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sz w:val="21"/>
                      <w:szCs w:val="21"/>
                      <w:highlight w:val="none"/>
                      <w:vertAlign w:val="baseline"/>
                      <w:lang w:val="en-US" w:eastAsia="zh-CN"/>
                    </w:rPr>
                    <w:t>东</w:t>
                  </w:r>
                </w:p>
              </w:tc>
              <w:tc>
                <w:tcPr>
                  <w:tcW w:w="997" w:type="dxa"/>
                  <w:noWrap w:val="0"/>
                  <w:vAlign w:val="center"/>
                </w:tcPr>
                <w:p w14:paraId="075ABF4E">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sz w:val="21"/>
                      <w:szCs w:val="21"/>
                      <w:highlight w:val="none"/>
                      <w:vertAlign w:val="baseline"/>
                      <w:lang w:val="en-US" w:eastAsia="zh-CN"/>
                    </w:rPr>
                    <w:t>255</w:t>
                  </w:r>
                </w:p>
              </w:tc>
              <w:tc>
                <w:tcPr>
                  <w:tcW w:w="1517" w:type="dxa"/>
                  <w:noWrap w:val="0"/>
                  <w:vAlign w:val="center"/>
                </w:tcPr>
                <w:p w14:paraId="6FE00B1D">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sz w:val="21"/>
                      <w:szCs w:val="21"/>
                      <w:highlight w:val="none"/>
                      <w:vertAlign w:val="baseline"/>
                      <w:lang w:val="en-US" w:eastAsia="zh-CN"/>
                    </w:rPr>
                    <w:t>20户，约60人</w:t>
                  </w:r>
                </w:p>
              </w:tc>
              <w:tc>
                <w:tcPr>
                  <w:tcW w:w="852" w:type="dxa"/>
                  <w:vMerge w:val="restart"/>
                  <w:noWrap w:val="0"/>
                  <w:vAlign w:val="center"/>
                </w:tcPr>
                <w:p w14:paraId="04BD40CC">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《环境空气质量标准》(GB3095-2012)二级标准</w:t>
                  </w:r>
                </w:p>
              </w:tc>
            </w:tr>
            <w:tr w14:paraId="43A265E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192" w:hRule="atLeast"/>
                <w:jc w:val="center"/>
              </w:trPr>
              <w:tc>
                <w:tcPr>
                  <w:tcW w:w="358" w:type="dxa"/>
                  <w:vMerge w:val="continue"/>
                  <w:noWrap w:val="0"/>
                  <w:vAlign w:val="center"/>
                </w:tcPr>
                <w:p w14:paraId="1969FEEE">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p>
              </w:tc>
              <w:tc>
                <w:tcPr>
                  <w:tcW w:w="1535" w:type="dxa"/>
                  <w:shd w:val="clear" w:color="auto" w:fill="auto"/>
                  <w:noWrap w:val="0"/>
                  <w:vAlign w:val="center"/>
                </w:tcPr>
                <w:p w14:paraId="3904319E">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kern w:val="2"/>
                      <w:sz w:val="21"/>
                      <w:szCs w:val="21"/>
                      <w:highlight w:val="none"/>
                      <w:vertAlign w:val="baseline"/>
                      <w:lang w:val="en-US" w:eastAsia="zh-CN" w:bidi="ar-SA"/>
                    </w:rPr>
                  </w:pPr>
                  <w:r>
                    <w:rPr>
                      <w:rFonts w:hint="default" w:ascii="Times New Roman" w:hAnsi="Times New Roman" w:eastAsia="宋体" w:cs="Times New Roman"/>
                      <w:bCs/>
                      <w:sz w:val="21"/>
                      <w:szCs w:val="21"/>
                      <w:highlight w:val="none"/>
                      <w:vertAlign w:val="baseline"/>
                    </w:rPr>
                    <w:t>有力村散居农户</w:t>
                  </w:r>
                </w:p>
              </w:tc>
              <w:tc>
                <w:tcPr>
                  <w:tcW w:w="1099" w:type="dxa"/>
                  <w:noWrap w:val="0"/>
                  <w:vAlign w:val="center"/>
                </w:tcPr>
                <w:p w14:paraId="3861B2A9">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highlight w:val="none"/>
                      <w:vertAlign w:val="baseline"/>
                    </w:rPr>
                  </w:pPr>
                  <w:r>
                    <w:rPr>
                      <w:rFonts w:hint="default" w:ascii="Times New Roman" w:hAnsi="Times New Roman" w:eastAsia="宋体" w:cs="Times New Roman"/>
                      <w:bCs/>
                      <w:sz w:val="21"/>
                      <w:szCs w:val="21"/>
                      <w:highlight w:val="none"/>
                      <w:vertAlign w:val="baseline"/>
                    </w:rPr>
                    <w:t>107.486044</w:t>
                  </w:r>
                </w:p>
              </w:tc>
              <w:tc>
                <w:tcPr>
                  <w:tcW w:w="924" w:type="dxa"/>
                  <w:noWrap w:val="0"/>
                  <w:vAlign w:val="center"/>
                </w:tcPr>
                <w:p w14:paraId="2E47DFD2">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highlight w:val="none"/>
                      <w:vertAlign w:val="baseline"/>
                    </w:rPr>
                  </w:pPr>
                  <w:r>
                    <w:rPr>
                      <w:rFonts w:hint="default" w:ascii="Times New Roman" w:hAnsi="Times New Roman" w:eastAsia="宋体" w:cs="Times New Roman"/>
                      <w:bCs/>
                      <w:sz w:val="21"/>
                      <w:szCs w:val="21"/>
                      <w:highlight w:val="none"/>
                      <w:vertAlign w:val="baseline"/>
                    </w:rPr>
                    <w:t>31.323367</w:t>
                  </w:r>
                </w:p>
              </w:tc>
              <w:tc>
                <w:tcPr>
                  <w:tcW w:w="815" w:type="dxa"/>
                  <w:noWrap w:val="0"/>
                  <w:vAlign w:val="center"/>
                </w:tcPr>
                <w:p w14:paraId="32F38081">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lang w:val="en-US" w:eastAsia="zh-CN"/>
                    </w:rPr>
                    <w:t>东南</w:t>
                  </w:r>
                </w:p>
              </w:tc>
              <w:tc>
                <w:tcPr>
                  <w:tcW w:w="997" w:type="dxa"/>
                  <w:noWrap w:val="0"/>
                  <w:vAlign w:val="center"/>
                </w:tcPr>
                <w:p w14:paraId="7855498A">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sz w:val="21"/>
                      <w:szCs w:val="21"/>
                      <w:highlight w:val="none"/>
                      <w:vertAlign w:val="baseline"/>
                    </w:rPr>
                    <w:t>490</w:t>
                  </w:r>
                </w:p>
              </w:tc>
              <w:tc>
                <w:tcPr>
                  <w:tcW w:w="1517" w:type="dxa"/>
                  <w:noWrap w:val="0"/>
                  <w:vAlign w:val="center"/>
                </w:tcPr>
                <w:p w14:paraId="7BE78620">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z w:val="21"/>
                      <w:szCs w:val="21"/>
                      <w:highlight w:val="none"/>
                      <w:vertAlign w:val="baseline"/>
                      <w:lang w:val="en-US" w:eastAsia="zh-CN"/>
                    </w:rPr>
                    <w:t>6户，约18人</w:t>
                  </w:r>
                </w:p>
              </w:tc>
              <w:tc>
                <w:tcPr>
                  <w:tcW w:w="852" w:type="dxa"/>
                  <w:vMerge w:val="continue"/>
                  <w:noWrap w:val="0"/>
                  <w:vAlign w:val="center"/>
                </w:tcPr>
                <w:p w14:paraId="36378BF7">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p>
              </w:tc>
            </w:tr>
            <w:tr w14:paraId="230F65A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192" w:hRule="atLeast"/>
                <w:jc w:val="center"/>
              </w:trPr>
              <w:tc>
                <w:tcPr>
                  <w:tcW w:w="358" w:type="dxa"/>
                  <w:vMerge w:val="continue"/>
                  <w:noWrap w:val="0"/>
                  <w:vAlign w:val="center"/>
                </w:tcPr>
                <w:p w14:paraId="2876CE80">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p>
              </w:tc>
              <w:tc>
                <w:tcPr>
                  <w:tcW w:w="1535" w:type="dxa"/>
                  <w:shd w:val="clear" w:color="auto" w:fill="auto"/>
                  <w:noWrap w:val="0"/>
                  <w:vAlign w:val="center"/>
                </w:tcPr>
                <w:p w14:paraId="368EBE7D">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kern w:val="2"/>
                      <w:sz w:val="21"/>
                      <w:szCs w:val="21"/>
                      <w:highlight w:val="none"/>
                      <w:vertAlign w:val="baseline"/>
                      <w:lang w:val="en-US" w:eastAsia="zh-CN" w:bidi="ar-SA"/>
                    </w:rPr>
                  </w:pPr>
                  <w:r>
                    <w:rPr>
                      <w:rFonts w:hint="default" w:ascii="Times New Roman" w:hAnsi="Times New Roman" w:eastAsia="宋体" w:cs="Times New Roman"/>
                      <w:bCs/>
                      <w:sz w:val="21"/>
                      <w:szCs w:val="21"/>
                      <w:highlight w:val="none"/>
                      <w:vertAlign w:val="baseline"/>
                    </w:rPr>
                    <w:t>有力村散居农户</w:t>
                  </w:r>
                </w:p>
              </w:tc>
              <w:tc>
                <w:tcPr>
                  <w:tcW w:w="1099" w:type="dxa"/>
                  <w:noWrap w:val="0"/>
                  <w:vAlign w:val="center"/>
                </w:tcPr>
                <w:p w14:paraId="46A8EFD8">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highlight w:val="none"/>
                      <w:vertAlign w:val="baseline"/>
                    </w:rPr>
                  </w:pPr>
                  <w:r>
                    <w:rPr>
                      <w:rFonts w:hint="default" w:ascii="Times New Roman" w:hAnsi="Times New Roman" w:eastAsia="宋体" w:cs="Times New Roman"/>
                      <w:bCs/>
                      <w:sz w:val="21"/>
                      <w:szCs w:val="21"/>
                      <w:highlight w:val="none"/>
                      <w:vertAlign w:val="baseline"/>
                    </w:rPr>
                    <w:t>107.478534</w:t>
                  </w:r>
                </w:p>
              </w:tc>
              <w:tc>
                <w:tcPr>
                  <w:tcW w:w="924" w:type="dxa"/>
                  <w:noWrap w:val="0"/>
                  <w:vAlign w:val="center"/>
                </w:tcPr>
                <w:p w14:paraId="4CF511AD">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highlight w:val="none"/>
                      <w:vertAlign w:val="baseline"/>
                    </w:rPr>
                  </w:pPr>
                  <w:r>
                    <w:rPr>
                      <w:rFonts w:hint="default" w:ascii="Times New Roman" w:hAnsi="Times New Roman" w:eastAsia="宋体" w:cs="Times New Roman"/>
                      <w:bCs/>
                      <w:sz w:val="21"/>
                      <w:szCs w:val="21"/>
                      <w:highlight w:val="none"/>
                      <w:vertAlign w:val="baseline"/>
                    </w:rPr>
                    <w:t>31.323989</w:t>
                  </w:r>
                </w:p>
              </w:tc>
              <w:tc>
                <w:tcPr>
                  <w:tcW w:w="815" w:type="dxa"/>
                  <w:noWrap w:val="0"/>
                  <w:vAlign w:val="center"/>
                </w:tcPr>
                <w:p w14:paraId="2F00E656">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lang w:val="en-US" w:eastAsia="zh-CN"/>
                    </w:rPr>
                    <w:t>西南</w:t>
                  </w:r>
                </w:p>
              </w:tc>
              <w:tc>
                <w:tcPr>
                  <w:tcW w:w="997" w:type="dxa"/>
                  <w:noWrap w:val="0"/>
                  <w:vAlign w:val="center"/>
                </w:tcPr>
                <w:p w14:paraId="71F9F57B">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sz w:val="21"/>
                      <w:szCs w:val="21"/>
                      <w:highlight w:val="none"/>
                      <w:vertAlign w:val="baseline"/>
                    </w:rPr>
                    <w:t>410</w:t>
                  </w:r>
                </w:p>
              </w:tc>
              <w:tc>
                <w:tcPr>
                  <w:tcW w:w="1517" w:type="dxa"/>
                  <w:noWrap w:val="0"/>
                  <w:vAlign w:val="center"/>
                </w:tcPr>
                <w:p w14:paraId="16A04421">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z w:val="21"/>
                      <w:szCs w:val="21"/>
                      <w:highlight w:val="none"/>
                      <w:vertAlign w:val="baseline"/>
                      <w:lang w:val="en-US" w:eastAsia="zh-CN"/>
                    </w:rPr>
                    <w:t>10户，约30人</w:t>
                  </w:r>
                </w:p>
              </w:tc>
              <w:tc>
                <w:tcPr>
                  <w:tcW w:w="852" w:type="dxa"/>
                  <w:vMerge w:val="continue"/>
                  <w:noWrap w:val="0"/>
                  <w:vAlign w:val="center"/>
                </w:tcPr>
                <w:p w14:paraId="60A3ECBF">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p>
              </w:tc>
            </w:tr>
            <w:tr w14:paraId="15B6821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192" w:hRule="atLeast"/>
                <w:jc w:val="center"/>
              </w:trPr>
              <w:tc>
                <w:tcPr>
                  <w:tcW w:w="358" w:type="dxa"/>
                  <w:vMerge w:val="continue"/>
                  <w:noWrap w:val="0"/>
                  <w:vAlign w:val="center"/>
                </w:tcPr>
                <w:p w14:paraId="4508CF21">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p>
              </w:tc>
              <w:tc>
                <w:tcPr>
                  <w:tcW w:w="1535" w:type="dxa"/>
                  <w:shd w:val="clear" w:color="auto" w:fill="auto"/>
                  <w:noWrap w:val="0"/>
                  <w:vAlign w:val="center"/>
                </w:tcPr>
                <w:p w14:paraId="726BAA3F">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kern w:val="2"/>
                      <w:sz w:val="21"/>
                      <w:szCs w:val="21"/>
                      <w:highlight w:val="none"/>
                      <w:vertAlign w:val="baseline"/>
                      <w:lang w:val="en-US" w:eastAsia="zh-CN" w:bidi="ar-SA"/>
                    </w:rPr>
                  </w:pPr>
                  <w:r>
                    <w:rPr>
                      <w:rFonts w:hint="default" w:ascii="Times New Roman" w:hAnsi="Times New Roman" w:eastAsia="宋体" w:cs="Times New Roman"/>
                      <w:bCs/>
                      <w:sz w:val="21"/>
                      <w:szCs w:val="21"/>
                      <w:highlight w:val="none"/>
                      <w:vertAlign w:val="baseline"/>
                    </w:rPr>
                    <w:t>有力村散居农户</w:t>
                  </w:r>
                </w:p>
              </w:tc>
              <w:tc>
                <w:tcPr>
                  <w:tcW w:w="1099" w:type="dxa"/>
                  <w:noWrap w:val="0"/>
                  <w:vAlign w:val="center"/>
                </w:tcPr>
                <w:p w14:paraId="0C160B43">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highlight w:val="none"/>
                      <w:vertAlign w:val="baseline"/>
                    </w:rPr>
                  </w:pPr>
                  <w:r>
                    <w:rPr>
                      <w:rFonts w:hint="default" w:ascii="Times New Roman" w:hAnsi="Times New Roman" w:eastAsia="宋体" w:cs="Times New Roman"/>
                      <w:bCs/>
                      <w:sz w:val="21"/>
                      <w:szCs w:val="21"/>
                      <w:highlight w:val="none"/>
                      <w:vertAlign w:val="baseline"/>
                    </w:rPr>
                    <w:t>107.476367</w:t>
                  </w:r>
                </w:p>
              </w:tc>
              <w:tc>
                <w:tcPr>
                  <w:tcW w:w="924" w:type="dxa"/>
                  <w:noWrap w:val="0"/>
                  <w:vAlign w:val="center"/>
                </w:tcPr>
                <w:p w14:paraId="4C4D1CD2">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highlight w:val="none"/>
                      <w:vertAlign w:val="baseline"/>
                    </w:rPr>
                  </w:pPr>
                  <w:r>
                    <w:rPr>
                      <w:rFonts w:hint="default" w:ascii="Times New Roman" w:hAnsi="Times New Roman" w:eastAsia="宋体" w:cs="Times New Roman"/>
                      <w:bCs/>
                      <w:sz w:val="21"/>
                      <w:szCs w:val="21"/>
                      <w:highlight w:val="none"/>
                      <w:vertAlign w:val="baseline"/>
                    </w:rPr>
                    <w:t>31.326532</w:t>
                  </w:r>
                </w:p>
              </w:tc>
              <w:tc>
                <w:tcPr>
                  <w:tcW w:w="815" w:type="dxa"/>
                  <w:vMerge w:val="restart"/>
                  <w:noWrap w:val="0"/>
                  <w:vAlign w:val="center"/>
                </w:tcPr>
                <w:p w14:paraId="04715997">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西</w:t>
                  </w:r>
                </w:p>
              </w:tc>
              <w:tc>
                <w:tcPr>
                  <w:tcW w:w="997" w:type="dxa"/>
                  <w:noWrap w:val="0"/>
                  <w:vAlign w:val="center"/>
                </w:tcPr>
                <w:p w14:paraId="76F98DBA">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sz w:val="21"/>
                      <w:szCs w:val="21"/>
                      <w:highlight w:val="none"/>
                      <w:vertAlign w:val="baseline"/>
                    </w:rPr>
                    <w:t>435</w:t>
                  </w:r>
                </w:p>
              </w:tc>
              <w:tc>
                <w:tcPr>
                  <w:tcW w:w="1517" w:type="dxa"/>
                  <w:noWrap w:val="0"/>
                  <w:vAlign w:val="center"/>
                </w:tcPr>
                <w:p w14:paraId="179A300A">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z w:val="21"/>
                      <w:szCs w:val="21"/>
                      <w:highlight w:val="none"/>
                      <w:vertAlign w:val="baseline"/>
                      <w:lang w:val="en-US" w:eastAsia="zh-CN"/>
                    </w:rPr>
                    <w:t>2户，约6人</w:t>
                  </w:r>
                </w:p>
              </w:tc>
              <w:tc>
                <w:tcPr>
                  <w:tcW w:w="852" w:type="dxa"/>
                  <w:vMerge w:val="continue"/>
                  <w:noWrap w:val="0"/>
                  <w:vAlign w:val="center"/>
                </w:tcPr>
                <w:p w14:paraId="7C115179">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p>
              </w:tc>
            </w:tr>
            <w:tr w14:paraId="58B5659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192" w:hRule="atLeast"/>
                <w:jc w:val="center"/>
              </w:trPr>
              <w:tc>
                <w:tcPr>
                  <w:tcW w:w="358" w:type="dxa"/>
                  <w:vMerge w:val="continue"/>
                  <w:noWrap w:val="0"/>
                  <w:vAlign w:val="center"/>
                </w:tcPr>
                <w:p w14:paraId="7039F7D8">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p>
              </w:tc>
              <w:tc>
                <w:tcPr>
                  <w:tcW w:w="1535" w:type="dxa"/>
                  <w:shd w:val="clear" w:color="auto" w:fill="auto"/>
                  <w:noWrap w:val="0"/>
                  <w:vAlign w:val="center"/>
                </w:tcPr>
                <w:p w14:paraId="39B92A66">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kern w:val="2"/>
                      <w:sz w:val="21"/>
                      <w:szCs w:val="21"/>
                      <w:highlight w:val="none"/>
                      <w:vertAlign w:val="baseline"/>
                      <w:lang w:val="en-US" w:eastAsia="zh-CN" w:bidi="ar-SA"/>
                    </w:rPr>
                  </w:pPr>
                  <w:r>
                    <w:rPr>
                      <w:rFonts w:hint="default" w:ascii="Times New Roman" w:hAnsi="Times New Roman" w:eastAsia="宋体" w:cs="Times New Roman"/>
                      <w:bCs/>
                      <w:sz w:val="21"/>
                      <w:szCs w:val="21"/>
                      <w:highlight w:val="none"/>
                      <w:vertAlign w:val="baseline"/>
                    </w:rPr>
                    <w:t>有力村散居农户</w:t>
                  </w:r>
                </w:p>
              </w:tc>
              <w:tc>
                <w:tcPr>
                  <w:tcW w:w="1099" w:type="dxa"/>
                  <w:noWrap w:val="0"/>
                  <w:vAlign w:val="center"/>
                </w:tcPr>
                <w:p w14:paraId="0F656EE5">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highlight w:val="none"/>
                      <w:vertAlign w:val="baseline"/>
                    </w:rPr>
                  </w:pPr>
                  <w:r>
                    <w:rPr>
                      <w:rFonts w:hint="default" w:ascii="Times New Roman" w:hAnsi="Times New Roman" w:eastAsia="宋体" w:cs="Times New Roman"/>
                      <w:bCs/>
                      <w:sz w:val="21"/>
                      <w:szCs w:val="21"/>
                      <w:highlight w:val="none"/>
                      <w:vertAlign w:val="baseline"/>
                    </w:rPr>
                    <w:t>107.477847</w:t>
                  </w:r>
                </w:p>
              </w:tc>
              <w:tc>
                <w:tcPr>
                  <w:tcW w:w="924" w:type="dxa"/>
                  <w:noWrap w:val="0"/>
                  <w:vAlign w:val="center"/>
                </w:tcPr>
                <w:p w14:paraId="50FD4D52">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highlight w:val="none"/>
                      <w:vertAlign w:val="baseline"/>
                    </w:rPr>
                  </w:pPr>
                  <w:r>
                    <w:rPr>
                      <w:rFonts w:hint="default" w:ascii="Times New Roman" w:hAnsi="Times New Roman" w:eastAsia="宋体" w:cs="Times New Roman"/>
                      <w:bCs/>
                      <w:sz w:val="21"/>
                      <w:szCs w:val="21"/>
                      <w:highlight w:val="none"/>
                      <w:vertAlign w:val="baseline"/>
                    </w:rPr>
                    <w:t>31.327433</w:t>
                  </w:r>
                </w:p>
              </w:tc>
              <w:tc>
                <w:tcPr>
                  <w:tcW w:w="815" w:type="dxa"/>
                  <w:vMerge w:val="continue"/>
                  <w:noWrap w:val="0"/>
                  <w:vAlign w:val="center"/>
                </w:tcPr>
                <w:p w14:paraId="374E963D">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p>
              </w:tc>
              <w:tc>
                <w:tcPr>
                  <w:tcW w:w="997" w:type="dxa"/>
                  <w:noWrap w:val="0"/>
                  <w:vAlign w:val="center"/>
                </w:tcPr>
                <w:p w14:paraId="232B131C">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sz w:val="21"/>
                      <w:szCs w:val="21"/>
                      <w:highlight w:val="none"/>
                      <w:vertAlign w:val="baseline"/>
                    </w:rPr>
                    <w:t>284</w:t>
                  </w:r>
                </w:p>
              </w:tc>
              <w:tc>
                <w:tcPr>
                  <w:tcW w:w="1517" w:type="dxa"/>
                  <w:noWrap w:val="0"/>
                  <w:vAlign w:val="center"/>
                </w:tcPr>
                <w:p w14:paraId="5237C180">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sz w:val="21"/>
                      <w:szCs w:val="21"/>
                      <w:highlight w:val="none"/>
                      <w:vertAlign w:val="baseline"/>
                      <w:lang w:val="en-US" w:eastAsia="zh-CN"/>
                    </w:rPr>
                    <w:t>20户，约60人</w:t>
                  </w:r>
                </w:p>
              </w:tc>
              <w:tc>
                <w:tcPr>
                  <w:tcW w:w="852" w:type="dxa"/>
                  <w:vMerge w:val="continue"/>
                  <w:noWrap w:val="0"/>
                  <w:vAlign w:val="center"/>
                </w:tcPr>
                <w:p w14:paraId="2DD38E00">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p>
              </w:tc>
            </w:tr>
            <w:tr w14:paraId="6400F88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192" w:hRule="atLeast"/>
                <w:jc w:val="center"/>
              </w:trPr>
              <w:tc>
                <w:tcPr>
                  <w:tcW w:w="358" w:type="dxa"/>
                  <w:vMerge w:val="continue"/>
                  <w:noWrap w:val="0"/>
                  <w:vAlign w:val="center"/>
                </w:tcPr>
                <w:p w14:paraId="6815D90E">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p>
              </w:tc>
              <w:tc>
                <w:tcPr>
                  <w:tcW w:w="1535" w:type="dxa"/>
                  <w:shd w:val="clear" w:color="auto" w:fill="auto"/>
                  <w:noWrap w:val="0"/>
                  <w:vAlign w:val="center"/>
                </w:tcPr>
                <w:p w14:paraId="69433C55">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kern w:val="2"/>
                      <w:sz w:val="21"/>
                      <w:szCs w:val="21"/>
                      <w:highlight w:val="none"/>
                      <w:vertAlign w:val="baseline"/>
                      <w:lang w:val="en-US" w:eastAsia="zh-CN" w:bidi="ar-SA"/>
                    </w:rPr>
                  </w:pPr>
                  <w:r>
                    <w:rPr>
                      <w:rFonts w:hint="default" w:ascii="Times New Roman" w:hAnsi="Times New Roman" w:eastAsia="宋体" w:cs="Times New Roman"/>
                      <w:bCs/>
                      <w:sz w:val="21"/>
                      <w:szCs w:val="21"/>
                      <w:highlight w:val="none"/>
                      <w:vertAlign w:val="baseline"/>
                    </w:rPr>
                    <w:t>有力村散居农户</w:t>
                  </w:r>
                </w:p>
              </w:tc>
              <w:tc>
                <w:tcPr>
                  <w:tcW w:w="1099" w:type="dxa"/>
                  <w:noWrap w:val="0"/>
                  <w:vAlign w:val="center"/>
                </w:tcPr>
                <w:p w14:paraId="00F7D4BE">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highlight w:val="none"/>
                      <w:vertAlign w:val="baseline"/>
                    </w:rPr>
                  </w:pPr>
                  <w:r>
                    <w:rPr>
                      <w:rFonts w:hint="default" w:ascii="Times New Roman" w:hAnsi="Times New Roman" w:eastAsia="宋体" w:cs="Times New Roman"/>
                      <w:bCs/>
                      <w:sz w:val="21"/>
                      <w:szCs w:val="21"/>
                      <w:highlight w:val="none"/>
                      <w:vertAlign w:val="baseline"/>
                    </w:rPr>
                    <w:t>107.479693</w:t>
                  </w:r>
                </w:p>
              </w:tc>
              <w:tc>
                <w:tcPr>
                  <w:tcW w:w="924" w:type="dxa"/>
                  <w:noWrap w:val="0"/>
                  <w:vAlign w:val="center"/>
                </w:tcPr>
                <w:p w14:paraId="41D89D73">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highlight w:val="none"/>
                      <w:vertAlign w:val="baseline"/>
                    </w:rPr>
                  </w:pPr>
                  <w:r>
                    <w:rPr>
                      <w:rFonts w:hint="default" w:ascii="Times New Roman" w:hAnsi="Times New Roman" w:eastAsia="宋体" w:cs="Times New Roman"/>
                      <w:bCs/>
                      <w:sz w:val="21"/>
                      <w:szCs w:val="21"/>
                      <w:highlight w:val="none"/>
                      <w:vertAlign w:val="baseline"/>
                    </w:rPr>
                    <w:t>31.329354</w:t>
                  </w:r>
                </w:p>
              </w:tc>
              <w:tc>
                <w:tcPr>
                  <w:tcW w:w="815" w:type="dxa"/>
                  <w:vMerge w:val="restart"/>
                  <w:noWrap w:val="0"/>
                  <w:vAlign w:val="center"/>
                </w:tcPr>
                <w:p w14:paraId="2825C81C">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西北</w:t>
                  </w:r>
                </w:p>
              </w:tc>
              <w:tc>
                <w:tcPr>
                  <w:tcW w:w="997" w:type="dxa"/>
                  <w:noWrap w:val="0"/>
                  <w:vAlign w:val="center"/>
                </w:tcPr>
                <w:p w14:paraId="2E0F5AE7">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sz w:val="21"/>
                      <w:szCs w:val="21"/>
                      <w:highlight w:val="none"/>
                      <w:vertAlign w:val="baseline"/>
                    </w:rPr>
                    <w:t>228</w:t>
                  </w:r>
                </w:p>
              </w:tc>
              <w:tc>
                <w:tcPr>
                  <w:tcW w:w="1517" w:type="dxa"/>
                  <w:noWrap w:val="0"/>
                  <w:vAlign w:val="center"/>
                </w:tcPr>
                <w:p w14:paraId="6E278682">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sz w:val="21"/>
                      <w:szCs w:val="21"/>
                      <w:highlight w:val="none"/>
                      <w:vertAlign w:val="baseline"/>
                      <w:lang w:val="en-US" w:eastAsia="zh-CN"/>
                    </w:rPr>
                    <w:t>2户，约6人</w:t>
                  </w:r>
                </w:p>
              </w:tc>
              <w:tc>
                <w:tcPr>
                  <w:tcW w:w="852" w:type="dxa"/>
                  <w:vMerge w:val="continue"/>
                  <w:noWrap w:val="0"/>
                  <w:vAlign w:val="center"/>
                </w:tcPr>
                <w:p w14:paraId="5CE9FE90">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p>
              </w:tc>
            </w:tr>
            <w:tr w14:paraId="0BD84A0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192" w:hRule="atLeast"/>
                <w:jc w:val="center"/>
              </w:trPr>
              <w:tc>
                <w:tcPr>
                  <w:tcW w:w="358" w:type="dxa"/>
                  <w:vMerge w:val="continue"/>
                  <w:noWrap w:val="0"/>
                  <w:vAlign w:val="center"/>
                </w:tcPr>
                <w:p w14:paraId="36A44625">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p>
              </w:tc>
              <w:tc>
                <w:tcPr>
                  <w:tcW w:w="1535" w:type="dxa"/>
                  <w:shd w:val="clear" w:color="auto" w:fill="auto"/>
                  <w:noWrap w:val="0"/>
                  <w:vAlign w:val="center"/>
                </w:tcPr>
                <w:p w14:paraId="11BCF456">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kern w:val="2"/>
                      <w:sz w:val="21"/>
                      <w:szCs w:val="21"/>
                      <w:highlight w:val="none"/>
                      <w:vertAlign w:val="baseline"/>
                      <w:lang w:val="en-US" w:eastAsia="zh-CN" w:bidi="ar-SA"/>
                    </w:rPr>
                  </w:pPr>
                  <w:r>
                    <w:rPr>
                      <w:rFonts w:hint="default" w:ascii="Times New Roman" w:hAnsi="Times New Roman" w:eastAsia="宋体" w:cs="Times New Roman"/>
                      <w:bCs/>
                      <w:sz w:val="21"/>
                      <w:szCs w:val="21"/>
                      <w:highlight w:val="none"/>
                      <w:vertAlign w:val="baseline"/>
                    </w:rPr>
                    <w:t>有力村散居农户</w:t>
                  </w:r>
                </w:p>
              </w:tc>
              <w:tc>
                <w:tcPr>
                  <w:tcW w:w="1099" w:type="dxa"/>
                  <w:noWrap w:val="0"/>
                  <w:vAlign w:val="center"/>
                </w:tcPr>
                <w:p w14:paraId="584D3A91">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highlight w:val="none"/>
                      <w:vertAlign w:val="baseline"/>
                    </w:rPr>
                  </w:pPr>
                  <w:r>
                    <w:rPr>
                      <w:rFonts w:hint="default" w:ascii="Times New Roman" w:hAnsi="Times New Roman" w:eastAsia="宋体" w:cs="Times New Roman"/>
                      <w:bCs/>
                      <w:sz w:val="21"/>
                      <w:szCs w:val="21"/>
                      <w:highlight w:val="none"/>
                      <w:vertAlign w:val="baseline"/>
                    </w:rPr>
                    <w:t>107.479907</w:t>
                  </w:r>
                </w:p>
              </w:tc>
              <w:tc>
                <w:tcPr>
                  <w:tcW w:w="924" w:type="dxa"/>
                  <w:noWrap w:val="0"/>
                  <w:vAlign w:val="center"/>
                </w:tcPr>
                <w:p w14:paraId="701C19B1">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highlight w:val="none"/>
                      <w:vertAlign w:val="baseline"/>
                      <w:lang w:val="en-US" w:eastAsia="zh-CN"/>
                    </w:rPr>
                  </w:pPr>
                  <w:r>
                    <w:rPr>
                      <w:rFonts w:hint="default" w:ascii="Times New Roman" w:hAnsi="Times New Roman" w:eastAsia="宋体" w:cs="Times New Roman"/>
                      <w:bCs/>
                      <w:sz w:val="21"/>
                      <w:szCs w:val="21"/>
                      <w:highlight w:val="none"/>
                      <w:vertAlign w:val="baseline"/>
                    </w:rPr>
                    <w:t>31.33269</w:t>
                  </w:r>
                  <w:r>
                    <w:rPr>
                      <w:rFonts w:hint="default" w:ascii="Times New Roman" w:hAnsi="Times New Roman" w:eastAsia="宋体" w:cs="Times New Roman"/>
                      <w:bCs/>
                      <w:sz w:val="21"/>
                      <w:szCs w:val="21"/>
                      <w:highlight w:val="none"/>
                      <w:vertAlign w:val="baseline"/>
                      <w:lang w:val="en-US" w:eastAsia="zh-CN"/>
                    </w:rPr>
                    <w:t>1</w:t>
                  </w:r>
                </w:p>
              </w:tc>
              <w:tc>
                <w:tcPr>
                  <w:tcW w:w="815" w:type="dxa"/>
                  <w:vMerge w:val="continue"/>
                  <w:noWrap w:val="0"/>
                  <w:vAlign w:val="center"/>
                </w:tcPr>
                <w:p w14:paraId="3C6B448D">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p>
              </w:tc>
              <w:tc>
                <w:tcPr>
                  <w:tcW w:w="997" w:type="dxa"/>
                  <w:noWrap w:val="0"/>
                  <w:vAlign w:val="center"/>
                </w:tcPr>
                <w:p w14:paraId="1EBA1659">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sz w:val="21"/>
                      <w:szCs w:val="21"/>
                      <w:highlight w:val="none"/>
                      <w:vertAlign w:val="baseline"/>
                    </w:rPr>
                    <w:t>415</w:t>
                  </w:r>
                </w:p>
              </w:tc>
              <w:tc>
                <w:tcPr>
                  <w:tcW w:w="1517" w:type="dxa"/>
                  <w:noWrap w:val="0"/>
                  <w:vAlign w:val="center"/>
                </w:tcPr>
                <w:p w14:paraId="6D242FB0">
                  <w:pPr>
                    <w:keepNext w:val="0"/>
                    <w:keepLines w:val="0"/>
                    <w:pageBreakBefore w:val="0"/>
                    <w:widowControl w:val="0"/>
                    <w:kinsoku/>
                    <w:wordWrap w:val="0"/>
                    <w:overflowPunct/>
                    <w:topLinePunct w:val="0"/>
                    <w:autoSpaceDE w:val="0"/>
                    <w:autoSpaceDN w:val="0"/>
                    <w:bidi w:val="0"/>
                    <w:adjustRightInd/>
                    <w:snapToGrid/>
                    <w:spacing w:line="240" w:lineRule="exact"/>
                    <w:ind w:right="0" w:righ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sz w:val="21"/>
                      <w:szCs w:val="21"/>
                      <w:highlight w:val="none"/>
                      <w:vertAlign w:val="baseline"/>
                      <w:lang w:val="en-US" w:eastAsia="zh-CN"/>
                    </w:rPr>
                    <w:t>14户，约42人</w:t>
                  </w:r>
                </w:p>
              </w:tc>
              <w:tc>
                <w:tcPr>
                  <w:tcW w:w="852" w:type="dxa"/>
                  <w:vMerge w:val="continue"/>
                  <w:noWrap w:val="0"/>
                  <w:vAlign w:val="center"/>
                </w:tcPr>
                <w:p w14:paraId="16A835BC">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p>
              </w:tc>
            </w:tr>
            <w:tr w14:paraId="68E59C5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192" w:hRule="atLeast"/>
                <w:jc w:val="center"/>
              </w:trPr>
              <w:tc>
                <w:tcPr>
                  <w:tcW w:w="358" w:type="dxa"/>
                  <w:vMerge w:val="continue"/>
                  <w:noWrap w:val="0"/>
                  <w:vAlign w:val="center"/>
                </w:tcPr>
                <w:p w14:paraId="0526727D">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p>
              </w:tc>
              <w:tc>
                <w:tcPr>
                  <w:tcW w:w="1535" w:type="dxa"/>
                  <w:noWrap w:val="0"/>
                  <w:vAlign w:val="center"/>
                </w:tcPr>
                <w:p w14:paraId="2C36FEE4">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东岳镇中心校</w:t>
                  </w:r>
                </w:p>
              </w:tc>
              <w:tc>
                <w:tcPr>
                  <w:tcW w:w="1099" w:type="dxa"/>
                  <w:noWrap w:val="0"/>
                  <w:vAlign w:val="center"/>
                </w:tcPr>
                <w:p w14:paraId="50DBB999">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107.483635</w:t>
                  </w:r>
                </w:p>
              </w:tc>
              <w:tc>
                <w:tcPr>
                  <w:tcW w:w="924" w:type="dxa"/>
                  <w:noWrap w:val="0"/>
                  <w:vAlign w:val="center"/>
                </w:tcPr>
                <w:p w14:paraId="1700C208">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31.319231</w:t>
                  </w:r>
                </w:p>
              </w:tc>
              <w:tc>
                <w:tcPr>
                  <w:tcW w:w="815" w:type="dxa"/>
                  <w:noWrap w:val="0"/>
                  <w:vAlign w:val="center"/>
                </w:tcPr>
                <w:p w14:paraId="1F731DF5">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南</w:t>
                  </w:r>
                </w:p>
              </w:tc>
              <w:tc>
                <w:tcPr>
                  <w:tcW w:w="997" w:type="dxa"/>
                  <w:noWrap w:val="0"/>
                  <w:vAlign w:val="center"/>
                </w:tcPr>
                <w:p w14:paraId="236D1C19">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kern w:val="2"/>
                      <w:sz w:val="21"/>
                      <w:szCs w:val="21"/>
                      <w:vertAlign w:val="baseline"/>
                      <w:lang w:val="en-US" w:eastAsia="zh-CN" w:bidi="ar-SA"/>
                    </w:rPr>
                    <w:t>840</w:t>
                  </w:r>
                </w:p>
              </w:tc>
              <w:tc>
                <w:tcPr>
                  <w:tcW w:w="1517" w:type="dxa"/>
                  <w:noWrap w:val="0"/>
                  <w:vAlign w:val="center"/>
                </w:tcPr>
                <w:p w14:paraId="56086D37">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kern w:val="2"/>
                      <w:sz w:val="21"/>
                      <w:szCs w:val="21"/>
                      <w:vertAlign w:val="baseline"/>
                      <w:lang w:val="en-US" w:eastAsia="zh-CN" w:bidi="ar-SA"/>
                    </w:rPr>
                    <w:t>师生约1500人</w:t>
                  </w:r>
                </w:p>
              </w:tc>
              <w:tc>
                <w:tcPr>
                  <w:tcW w:w="852" w:type="dxa"/>
                  <w:vMerge w:val="continue"/>
                  <w:noWrap w:val="0"/>
                  <w:vAlign w:val="center"/>
                </w:tcPr>
                <w:p w14:paraId="2CB87906">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p>
              </w:tc>
            </w:tr>
            <w:tr w14:paraId="2087BBB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80" w:hRule="atLeast"/>
                <w:jc w:val="center"/>
              </w:trPr>
              <w:tc>
                <w:tcPr>
                  <w:tcW w:w="358" w:type="dxa"/>
                  <w:vMerge w:val="continue"/>
                  <w:noWrap w:val="0"/>
                  <w:vAlign w:val="center"/>
                </w:tcPr>
                <w:p w14:paraId="52562D9A">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p>
              </w:tc>
              <w:tc>
                <w:tcPr>
                  <w:tcW w:w="1535" w:type="dxa"/>
                  <w:noWrap w:val="0"/>
                  <w:vAlign w:val="center"/>
                </w:tcPr>
                <w:p w14:paraId="1DE9E6B1">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东岳镇场镇建成区</w:t>
                  </w:r>
                </w:p>
              </w:tc>
              <w:tc>
                <w:tcPr>
                  <w:tcW w:w="1099" w:type="dxa"/>
                  <w:noWrap w:val="0"/>
                  <w:vAlign w:val="center"/>
                </w:tcPr>
                <w:p w14:paraId="31509DE5">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107.483657</w:t>
                  </w:r>
                </w:p>
              </w:tc>
              <w:tc>
                <w:tcPr>
                  <w:tcW w:w="924" w:type="dxa"/>
                  <w:noWrap w:val="0"/>
                  <w:vAlign w:val="center"/>
                </w:tcPr>
                <w:p w14:paraId="7C581F37">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31.318072</w:t>
                  </w:r>
                </w:p>
              </w:tc>
              <w:tc>
                <w:tcPr>
                  <w:tcW w:w="815" w:type="dxa"/>
                  <w:noWrap w:val="0"/>
                  <w:vAlign w:val="center"/>
                </w:tcPr>
                <w:p w14:paraId="35877A7D">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南</w:t>
                  </w:r>
                </w:p>
              </w:tc>
              <w:tc>
                <w:tcPr>
                  <w:tcW w:w="997" w:type="dxa"/>
                  <w:noWrap w:val="0"/>
                  <w:vAlign w:val="center"/>
                </w:tcPr>
                <w:p w14:paraId="25544FD6">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kern w:val="2"/>
                      <w:sz w:val="21"/>
                      <w:szCs w:val="21"/>
                      <w:vertAlign w:val="baseline"/>
                      <w:lang w:val="en-US" w:eastAsia="zh-CN" w:bidi="ar-SA"/>
                    </w:rPr>
                    <w:t>655-1197</w:t>
                  </w:r>
                </w:p>
              </w:tc>
              <w:tc>
                <w:tcPr>
                  <w:tcW w:w="1517" w:type="dxa"/>
                  <w:noWrap w:val="0"/>
                  <w:vAlign w:val="center"/>
                </w:tcPr>
                <w:p w14:paraId="0875CB38">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kern w:val="2"/>
                      <w:sz w:val="21"/>
                      <w:szCs w:val="21"/>
                      <w:vertAlign w:val="baseline"/>
                      <w:lang w:val="en-US" w:eastAsia="zh-CN" w:bidi="ar-SA"/>
                    </w:rPr>
                    <w:t>约10000人</w:t>
                  </w:r>
                </w:p>
              </w:tc>
              <w:tc>
                <w:tcPr>
                  <w:tcW w:w="852" w:type="dxa"/>
                  <w:vMerge w:val="continue"/>
                  <w:noWrap w:val="0"/>
                  <w:vAlign w:val="center"/>
                </w:tcPr>
                <w:p w14:paraId="228E2785">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p>
              </w:tc>
            </w:tr>
            <w:tr w14:paraId="415A7CD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192" w:hRule="atLeast"/>
                <w:jc w:val="center"/>
              </w:trPr>
              <w:tc>
                <w:tcPr>
                  <w:tcW w:w="358" w:type="dxa"/>
                  <w:vMerge w:val="continue"/>
                  <w:noWrap w:val="0"/>
                  <w:vAlign w:val="center"/>
                </w:tcPr>
                <w:p w14:paraId="17F16935">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p>
              </w:tc>
              <w:tc>
                <w:tcPr>
                  <w:tcW w:w="1535" w:type="dxa"/>
                  <w:noWrap w:val="0"/>
                  <w:vAlign w:val="center"/>
                </w:tcPr>
                <w:p w14:paraId="25994B60">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rPr>
                    <w:t>玉钟村</w:t>
                  </w:r>
                </w:p>
              </w:tc>
              <w:tc>
                <w:tcPr>
                  <w:tcW w:w="1099" w:type="dxa"/>
                  <w:noWrap w:val="0"/>
                  <w:vAlign w:val="center"/>
                </w:tcPr>
                <w:p w14:paraId="7EF1B6CD">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107.484751</w:t>
                  </w:r>
                </w:p>
              </w:tc>
              <w:tc>
                <w:tcPr>
                  <w:tcW w:w="924" w:type="dxa"/>
                  <w:noWrap w:val="0"/>
                  <w:vAlign w:val="center"/>
                </w:tcPr>
                <w:p w14:paraId="01750B9E">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31.337191</w:t>
                  </w:r>
                </w:p>
              </w:tc>
              <w:tc>
                <w:tcPr>
                  <w:tcW w:w="815" w:type="dxa"/>
                  <w:noWrap w:val="0"/>
                  <w:vAlign w:val="center"/>
                </w:tcPr>
                <w:p w14:paraId="2A393344">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北、东北</w:t>
                  </w:r>
                </w:p>
              </w:tc>
              <w:tc>
                <w:tcPr>
                  <w:tcW w:w="997" w:type="dxa"/>
                  <w:noWrap w:val="0"/>
                  <w:vAlign w:val="center"/>
                </w:tcPr>
                <w:p w14:paraId="0D4C270C">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kern w:val="2"/>
                      <w:sz w:val="21"/>
                      <w:szCs w:val="21"/>
                      <w:vertAlign w:val="baseline"/>
                      <w:lang w:val="en-US" w:eastAsia="zh-CN" w:bidi="ar-SA"/>
                    </w:rPr>
                    <w:t>700-1879</w:t>
                  </w:r>
                </w:p>
              </w:tc>
              <w:tc>
                <w:tcPr>
                  <w:tcW w:w="1517" w:type="dxa"/>
                  <w:noWrap w:val="0"/>
                  <w:vAlign w:val="center"/>
                </w:tcPr>
                <w:p w14:paraId="596B5D21">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kern w:val="2"/>
                      <w:sz w:val="21"/>
                      <w:szCs w:val="21"/>
                      <w:vertAlign w:val="baseline"/>
                      <w:lang w:val="en-US" w:eastAsia="zh-CN" w:bidi="ar-SA"/>
                    </w:rPr>
                    <w:t>约1000人</w:t>
                  </w:r>
                </w:p>
              </w:tc>
              <w:tc>
                <w:tcPr>
                  <w:tcW w:w="852" w:type="dxa"/>
                  <w:vMerge w:val="continue"/>
                  <w:noWrap w:val="0"/>
                  <w:vAlign w:val="center"/>
                </w:tcPr>
                <w:p w14:paraId="65D14CBA">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p>
              </w:tc>
            </w:tr>
            <w:tr w14:paraId="474D968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12" w:hRule="atLeast"/>
                <w:jc w:val="center"/>
              </w:trPr>
              <w:tc>
                <w:tcPr>
                  <w:tcW w:w="358" w:type="dxa"/>
                  <w:vMerge w:val="continue"/>
                  <w:noWrap w:val="0"/>
                  <w:vAlign w:val="center"/>
                </w:tcPr>
                <w:p w14:paraId="09F93B2D">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p>
              </w:tc>
              <w:tc>
                <w:tcPr>
                  <w:tcW w:w="1535" w:type="dxa"/>
                  <w:noWrap w:val="0"/>
                  <w:vAlign w:val="center"/>
                </w:tcPr>
                <w:p w14:paraId="2274F7BE">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飞进村</w:t>
                  </w:r>
                </w:p>
              </w:tc>
              <w:tc>
                <w:tcPr>
                  <w:tcW w:w="1099" w:type="dxa"/>
                  <w:noWrap w:val="0"/>
                  <w:vAlign w:val="center"/>
                </w:tcPr>
                <w:p w14:paraId="13F4E45E">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107.482348</w:t>
                  </w:r>
                </w:p>
              </w:tc>
              <w:tc>
                <w:tcPr>
                  <w:tcW w:w="924" w:type="dxa"/>
                  <w:noWrap w:val="0"/>
                  <w:vAlign w:val="center"/>
                </w:tcPr>
                <w:p w14:paraId="164A1E32">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31.312815</w:t>
                  </w:r>
                </w:p>
              </w:tc>
              <w:tc>
                <w:tcPr>
                  <w:tcW w:w="815" w:type="dxa"/>
                  <w:noWrap w:val="0"/>
                  <w:vAlign w:val="center"/>
                </w:tcPr>
                <w:p w14:paraId="266D04E9">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南</w:t>
                  </w:r>
                </w:p>
              </w:tc>
              <w:tc>
                <w:tcPr>
                  <w:tcW w:w="997" w:type="dxa"/>
                  <w:noWrap w:val="0"/>
                  <w:vAlign w:val="center"/>
                </w:tcPr>
                <w:p w14:paraId="57D3AB73">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kern w:val="2"/>
                      <w:sz w:val="21"/>
                      <w:szCs w:val="21"/>
                      <w:vertAlign w:val="baseline"/>
                      <w:lang w:val="en-US" w:eastAsia="zh-CN" w:bidi="ar-SA"/>
                    </w:rPr>
                    <w:t>1286-2500</w:t>
                  </w:r>
                </w:p>
              </w:tc>
              <w:tc>
                <w:tcPr>
                  <w:tcW w:w="1517" w:type="dxa"/>
                  <w:noWrap w:val="0"/>
                  <w:vAlign w:val="center"/>
                </w:tcPr>
                <w:p w14:paraId="2011233B">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kern w:val="2"/>
                      <w:sz w:val="21"/>
                      <w:szCs w:val="21"/>
                      <w:vertAlign w:val="baseline"/>
                      <w:lang w:val="en-US" w:eastAsia="zh-CN" w:bidi="ar-SA"/>
                    </w:rPr>
                    <w:t>约1000人</w:t>
                  </w:r>
                </w:p>
              </w:tc>
              <w:tc>
                <w:tcPr>
                  <w:tcW w:w="852" w:type="dxa"/>
                  <w:vMerge w:val="continue"/>
                  <w:noWrap w:val="0"/>
                  <w:vAlign w:val="center"/>
                </w:tcPr>
                <w:p w14:paraId="09AC165C">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p>
              </w:tc>
            </w:tr>
            <w:tr w14:paraId="5555B7F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192" w:hRule="atLeast"/>
                <w:jc w:val="center"/>
              </w:trPr>
              <w:tc>
                <w:tcPr>
                  <w:tcW w:w="358" w:type="dxa"/>
                  <w:vMerge w:val="continue"/>
                  <w:noWrap w:val="0"/>
                  <w:vAlign w:val="center"/>
                </w:tcPr>
                <w:p w14:paraId="0F8C71D6">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p>
              </w:tc>
              <w:tc>
                <w:tcPr>
                  <w:tcW w:w="1535" w:type="dxa"/>
                  <w:noWrap w:val="0"/>
                  <w:vAlign w:val="center"/>
                </w:tcPr>
                <w:p w14:paraId="5FD89B96">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龙兴村</w:t>
                  </w:r>
                </w:p>
              </w:tc>
              <w:tc>
                <w:tcPr>
                  <w:tcW w:w="1099" w:type="dxa"/>
                  <w:noWrap w:val="0"/>
                  <w:vAlign w:val="center"/>
                </w:tcPr>
                <w:p w14:paraId="700C1290">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107.470847</w:t>
                  </w:r>
                </w:p>
              </w:tc>
              <w:tc>
                <w:tcPr>
                  <w:tcW w:w="924" w:type="dxa"/>
                  <w:noWrap w:val="0"/>
                  <w:vAlign w:val="center"/>
                </w:tcPr>
                <w:p w14:paraId="7E926518">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31.352276</w:t>
                  </w:r>
                </w:p>
              </w:tc>
              <w:tc>
                <w:tcPr>
                  <w:tcW w:w="815" w:type="dxa"/>
                  <w:noWrap w:val="0"/>
                  <w:vAlign w:val="center"/>
                </w:tcPr>
                <w:p w14:paraId="6EFAE96E">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西北</w:t>
                  </w:r>
                </w:p>
              </w:tc>
              <w:tc>
                <w:tcPr>
                  <w:tcW w:w="997" w:type="dxa"/>
                  <w:noWrap w:val="0"/>
                  <w:vAlign w:val="center"/>
                </w:tcPr>
                <w:p w14:paraId="68031D3F">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kern w:val="2"/>
                      <w:sz w:val="21"/>
                      <w:szCs w:val="21"/>
                      <w:vertAlign w:val="baseline"/>
                      <w:lang w:val="en-US" w:eastAsia="zh-CN" w:bidi="ar-SA"/>
                    </w:rPr>
                    <w:t>1899-2500</w:t>
                  </w:r>
                </w:p>
              </w:tc>
              <w:tc>
                <w:tcPr>
                  <w:tcW w:w="1517" w:type="dxa"/>
                  <w:noWrap w:val="0"/>
                  <w:vAlign w:val="center"/>
                </w:tcPr>
                <w:p w14:paraId="3B6CFBB8">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kern w:val="2"/>
                      <w:sz w:val="21"/>
                      <w:szCs w:val="21"/>
                      <w:vertAlign w:val="baseline"/>
                      <w:lang w:val="en-US" w:eastAsia="zh-CN" w:bidi="ar-SA"/>
                    </w:rPr>
                    <w:t>约800人</w:t>
                  </w:r>
                </w:p>
              </w:tc>
              <w:tc>
                <w:tcPr>
                  <w:tcW w:w="852" w:type="dxa"/>
                  <w:vMerge w:val="continue"/>
                  <w:noWrap w:val="0"/>
                  <w:vAlign w:val="center"/>
                </w:tcPr>
                <w:p w14:paraId="49121375">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p>
              </w:tc>
            </w:tr>
            <w:tr w14:paraId="0DAC99F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192" w:hRule="atLeast"/>
                <w:jc w:val="center"/>
              </w:trPr>
              <w:tc>
                <w:tcPr>
                  <w:tcW w:w="358" w:type="dxa"/>
                  <w:vMerge w:val="continue"/>
                  <w:noWrap w:val="0"/>
                  <w:vAlign w:val="center"/>
                </w:tcPr>
                <w:p w14:paraId="05634C62">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p>
              </w:tc>
              <w:tc>
                <w:tcPr>
                  <w:tcW w:w="1535" w:type="dxa"/>
                  <w:noWrap w:val="0"/>
                  <w:vAlign w:val="center"/>
                </w:tcPr>
                <w:p w14:paraId="405AFF27">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邱林村</w:t>
                  </w:r>
                </w:p>
              </w:tc>
              <w:tc>
                <w:tcPr>
                  <w:tcW w:w="1099" w:type="dxa"/>
                  <w:noWrap w:val="0"/>
                  <w:vAlign w:val="center"/>
                </w:tcPr>
                <w:p w14:paraId="0C2D3AE2">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107.463980</w:t>
                  </w:r>
                </w:p>
              </w:tc>
              <w:tc>
                <w:tcPr>
                  <w:tcW w:w="924" w:type="dxa"/>
                  <w:noWrap w:val="0"/>
                  <w:vAlign w:val="center"/>
                </w:tcPr>
                <w:p w14:paraId="4B2416FC">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31.320476</w:t>
                  </w:r>
                </w:p>
              </w:tc>
              <w:tc>
                <w:tcPr>
                  <w:tcW w:w="815" w:type="dxa"/>
                  <w:noWrap w:val="0"/>
                  <w:vAlign w:val="center"/>
                </w:tcPr>
                <w:p w14:paraId="4DC08BE0">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西南</w:t>
                  </w:r>
                </w:p>
              </w:tc>
              <w:tc>
                <w:tcPr>
                  <w:tcW w:w="997" w:type="dxa"/>
                  <w:noWrap w:val="0"/>
                  <w:vAlign w:val="center"/>
                </w:tcPr>
                <w:p w14:paraId="7E6BD5DE">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kern w:val="2"/>
                      <w:sz w:val="21"/>
                      <w:szCs w:val="21"/>
                      <w:vertAlign w:val="baseline"/>
                      <w:lang w:val="en-US" w:eastAsia="zh-CN" w:bidi="ar-SA"/>
                    </w:rPr>
                    <w:t>1780-2500</w:t>
                  </w:r>
                </w:p>
              </w:tc>
              <w:tc>
                <w:tcPr>
                  <w:tcW w:w="1517" w:type="dxa"/>
                  <w:noWrap w:val="0"/>
                  <w:vAlign w:val="center"/>
                </w:tcPr>
                <w:p w14:paraId="7B94CF86">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kern w:val="2"/>
                      <w:sz w:val="21"/>
                      <w:szCs w:val="21"/>
                      <w:vertAlign w:val="baseline"/>
                      <w:lang w:val="en-US" w:eastAsia="zh-CN" w:bidi="ar-SA"/>
                    </w:rPr>
                    <w:t>约800人</w:t>
                  </w:r>
                </w:p>
              </w:tc>
              <w:tc>
                <w:tcPr>
                  <w:tcW w:w="852" w:type="dxa"/>
                  <w:vMerge w:val="continue"/>
                  <w:noWrap w:val="0"/>
                  <w:vAlign w:val="center"/>
                </w:tcPr>
                <w:p w14:paraId="64F991E8">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p>
              </w:tc>
            </w:tr>
            <w:tr w14:paraId="7E046DF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16" w:hRule="atLeast"/>
                <w:jc w:val="center"/>
              </w:trPr>
              <w:tc>
                <w:tcPr>
                  <w:tcW w:w="358" w:type="dxa"/>
                  <w:vMerge w:val="continue"/>
                  <w:noWrap w:val="0"/>
                  <w:vAlign w:val="center"/>
                </w:tcPr>
                <w:p w14:paraId="4B2279A0">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p>
              </w:tc>
              <w:tc>
                <w:tcPr>
                  <w:tcW w:w="1535" w:type="dxa"/>
                  <w:noWrap w:val="0"/>
                  <w:vAlign w:val="center"/>
                </w:tcPr>
                <w:p w14:paraId="582EA1D6">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凤凰村</w:t>
                  </w:r>
                </w:p>
              </w:tc>
              <w:tc>
                <w:tcPr>
                  <w:tcW w:w="1099" w:type="dxa"/>
                  <w:noWrap w:val="0"/>
                  <w:vAlign w:val="center"/>
                </w:tcPr>
                <w:p w14:paraId="19ACBD00">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107.489086</w:t>
                  </w:r>
                </w:p>
              </w:tc>
              <w:tc>
                <w:tcPr>
                  <w:tcW w:w="924" w:type="dxa"/>
                  <w:noWrap w:val="0"/>
                  <w:vAlign w:val="center"/>
                </w:tcPr>
                <w:p w14:paraId="3D1673A2">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rPr>
                    <w:t>31.30833</w:t>
                  </w:r>
                  <w:r>
                    <w:rPr>
                      <w:rFonts w:hint="default" w:ascii="Times New Roman" w:hAnsi="Times New Roman" w:eastAsia="宋体" w:cs="Times New Roman"/>
                      <w:bCs/>
                      <w:sz w:val="21"/>
                      <w:szCs w:val="21"/>
                      <w:vertAlign w:val="baseline"/>
                      <w:lang w:val="en-US" w:eastAsia="zh-CN"/>
                    </w:rPr>
                    <w:t>1</w:t>
                  </w:r>
                </w:p>
              </w:tc>
              <w:tc>
                <w:tcPr>
                  <w:tcW w:w="815" w:type="dxa"/>
                  <w:noWrap w:val="0"/>
                  <w:vAlign w:val="center"/>
                </w:tcPr>
                <w:p w14:paraId="5D12DF79">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南、东南</w:t>
                  </w:r>
                </w:p>
              </w:tc>
              <w:tc>
                <w:tcPr>
                  <w:tcW w:w="997" w:type="dxa"/>
                  <w:noWrap w:val="0"/>
                  <w:vAlign w:val="center"/>
                </w:tcPr>
                <w:p w14:paraId="15F88D58">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kern w:val="2"/>
                      <w:sz w:val="21"/>
                      <w:szCs w:val="21"/>
                      <w:vertAlign w:val="baseline"/>
                      <w:lang w:val="en-US" w:eastAsia="zh-CN" w:bidi="ar-SA"/>
                    </w:rPr>
                    <w:t>1685-2500</w:t>
                  </w:r>
                </w:p>
              </w:tc>
              <w:tc>
                <w:tcPr>
                  <w:tcW w:w="1517" w:type="dxa"/>
                  <w:noWrap w:val="0"/>
                  <w:vAlign w:val="center"/>
                </w:tcPr>
                <w:p w14:paraId="4634A6F7">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kern w:val="2"/>
                      <w:sz w:val="21"/>
                      <w:szCs w:val="21"/>
                      <w:vertAlign w:val="baseline"/>
                      <w:lang w:val="en-US" w:eastAsia="zh-CN" w:bidi="ar-SA"/>
                    </w:rPr>
                    <w:t>约1000人</w:t>
                  </w:r>
                </w:p>
              </w:tc>
              <w:tc>
                <w:tcPr>
                  <w:tcW w:w="852" w:type="dxa"/>
                  <w:vMerge w:val="continue"/>
                  <w:noWrap w:val="0"/>
                  <w:vAlign w:val="center"/>
                </w:tcPr>
                <w:p w14:paraId="0FF0683A">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p>
              </w:tc>
            </w:tr>
            <w:tr w14:paraId="391889E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216" w:hRule="atLeast"/>
                <w:jc w:val="center"/>
              </w:trPr>
              <w:tc>
                <w:tcPr>
                  <w:tcW w:w="358" w:type="dxa"/>
                  <w:noWrap w:val="0"/>
                  <w:vAlign w:val="center"/>
                </w:tcPr>
                <w:p w14:paraId="4072AF52">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lang w:val="en-US" w:eastAsia="zh-CN"/>
                    </w:rPr>
                    <w:t>声环境</w:t>
                  </w:r>
                </w:p>
              </w:tc>
              <w:tc>
                <w:tcPr>
                  <w:tcW w:w="6887" w:type="dxa"/>
                  <w:gridSpan w:val="6"/>
                  <w:noWrap w:val="0"/>
                  <w:vAlign w:val="center"/>
                </w:tcPr>
                <w:p w14:paraId="13EE08A7">
                  <w:pPr>
                    <w:keepNext w:val="0"/>
                    <w:keepLines w:val="0"/>
                    <w:pageBreakBefore w:val="0"/>
                    <w:widowControl w:val="0"/>
                    <w:kinsoku/>
                    <w:wordWrap w:val="0"/>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sz w:val="21"/>
                      <w:szCs w:val="21"/>
                      <w:highlight w:val="none"/>
                      <w:lang w:val="en-US" w:eastAsia="zh-CN"/>
                    </w:rPr>
                    <w:t>本项目厂界周边50m范围内不存在声环境敏感目标</w:t>
                  </w:r>
                </w:p>
              </w:tc>
              <w:tc>
                <w:tcPr>
                  <w:tcW w:w="852" w:type="dxa"/>
                  <w:noWrap w:val="0"/>
                  <w:vAlign w:val="center"/>
                </w:tcPr>
                <w:p w14:paraId="4EAF4A61">
                  <w:pPr>
                    <w:keepNext w:val="0"/>
                    <w:keepLines w:val="0"/>
                    <w:pageBreakBefore w:val="0"/>
                    <w:widowControl w:val="0"/>
                    <w:kinsoku/>
                    <w:wordWrap w:val="0"/>
                    <w:overflowPunct/>
                    <w:topLinePunct w:val="0"/>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bl>
          <w:p w14:paraId="2BFC6987">
            <w:pPr>
              <w:pStyle w:val="59"/>
              <w:wordWrap w:val="0"/>
              <w:spacing w:line="240" w:lineRule="auto"/>
              <w:ind w:left="21" w:leftChars="10" w:right="21" w:rightChars="10"/>
              <w:jc w:val="both"/>
              <w:rPr>
                <w:rFonts w:cs="Times New Roman"/>
                <w:lang w:val="en-US" w:eastAsia="zh-CN" w:bidi="ar-SA"/>
              </w:rPr>
            </w:pPr>
          </w:p>
        </w:tc>
      </w:tr>
      <w:tr w14:paraId="7F3647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 w:type="dxa"/>
            <w:bottom w:w="0" w:type="dxa"/>
            <w:right w:w="1" w:type="dxa"/>
          </w:tblCellMar>
        </w:tblPrEx>
        <w:trPr>
          <w:trHeight w:val="662" w:hRule="atLeast"/>
          <w:jc w:val="center"/>
        </w:trPr>
        <w:tc>
          <w:tcPr>
            <w:tcW w:w="800" w:type="dxa"/>
            <w:noWrap w:val="0"/>
            <w:tcMar>
              <w:left w:w="28" w:type="dxa"/>
              <w:right w:w="28" w:type="dxa"/>
            </w:tcMar>
            <w:vAlign w:val="center"/>
          </w:tcPr>
          <w:p w14:paraId="00813469">
            <w:pPr>
              <w:wordWrap w:val="0"/>
              <w:adjustRightInd w:val="0"/>
              <w:ind w:left="21" w:leftChars="10" w:right="21" w:rightChars="10"/>
              <w:jc w:val="center"/>
              <w:rPr>
                <w:b/>
                <w:sz w:val="24"/>
              </w:rPr>
            </w:pPr>
            <w:r>
              <w:rPr>
                <w:b/>
                <w:sz w:val="24"/>
              </w:rPr>
              <w:t>污染</w:t>
            </w:r>
          </w:p>
          <w:p w14:paraId="671A1531">
            <w:pPr>
              <w:wordWrap w:val="0"/>
              <w:adjustRightInd w:val="0"/>
              <w:ind w:left="21" w:leftChars="10" w:right="21" w:rightChars="10"/>
              <w:jc w:val="center"/>
              <w:rPr>
                <w:b/>
                <w:sz w:val="24"/>
              </w:rPr>
            </w:pPr>
            <w:r>
              <w:rPr>
                <w:b/>
                <w:sz w:val="24"/>
              </w:rPr>
              <w:t>物排</w:t>
            </w:r>
          </w:p>
          <w:p w14:paraId="428CA625">
            <w:pPr>
              <w:wordWrap w:val="0"/>
              <w:adjustRightInd w:val="0"/>
              <w:ind w:left="21" w:leftChars="10" w:right="21" w:rightChars="10"/>
              <w:jc w:val="center"/>
              <w:rPr>
                <w:b/>
                <w:sz w:val="24"/>
              </w:rPr>
            </w:pPr>
            <w:r>
              <w:rPr>
                <w:b/>
                <w:sz w:val="24"/>
              </w:rPr>
              <w:t>放控</w:t>
            </w:r>
          </w:p>
          <w:p w14:paraId="4E046C56">
            <w:pPr>
              <w:wordWrap w:val="0"/>
              <w:adjustRightInd w:val="0"/>
              <w:ind w:left="21" w:leftChars="10" w:right="21" w:rightChars="10"/>
              <w:jc w:val="center"/>
              <w:rPr>
                <w:b/>
                <w:sz w:val="24"/>
              </w:rPr>
            </w:pPr>
            <w:r>
              <w:rPr>
                <w:b/>
                <w:sz w:val="24"/>
              </w:rPr>
              <w:t>制标</w:t>
            </w:r>
          </w:p>
          <w:p w14:paraId="60B29285">
            <w:pPr>
              <w:wordWrap w:val="0"/>
              <w:adjustRightInd w:val="0"/>
              <w:ind w:left="21" w:leftChars="10" w:right="21" w:rightChars="10"/>
              <w:jc w:val="center"/>
              <w:rPr>
                <w:b/>
                <w:sz w:val="24"/>
              </w:rPr>
            </w:pPr>
            <w:r>
              <w:rPr>
                <w:b/>
                <w:sz w:val="24"/>
              </w:rPr>
              <w:t>准</w:t>
            </w:r>
          </w:p>
        </w:tc>
        <w:tc>
          <w:tcPr>
            <w:tcW w:w="8190" w:type="dxa"/>
            <w:noWrap w:val="0"/>
            <w:vAlign w:val="center"/>
          </w:tcPr>
          <w:p w14:paraId="5872E838">
            <w:pPr>
              <w:pStyle w:val="87"/>
              <w:wordWrap w:val="0"/>
              <w:adjustRightInd/>
              <w:ind w:left="21" w:leftChars="10" w:right="21" w:rightChars="10" w:firstLine="482"/>
              <w:rPr>
                <w:rFonts w:cs="Times New Roman"/>
                <w:b/>
                <w:bCs/>
              </w:rPr>
            </w:pPr>
            <w:r>
              <w:rPr>
                <w:rFonts w:cs="Times New Roman"/>
                <w:b/>
                <w:bCs/>
              </w:rPr>
              <w:t>1、废气</w:t>
            </w:r>
          </w:p>
          <w:p w14:paraId="5D286417">
            <w:pPr>
              <w:pStyle w:val="87"/>
              <w:wordWrap w:val="0"/>
              <w:adjustRightInd/>
              <w:ind w:left="21" w:leftChars="10" w:right="21" w:rightChars="10" w:firstLine="482"/>
              <w:rPr>
                <w:rFonts w:cs="Times New Roman"/>
                <w:b/>
                <w:bCs/>
              </w:rPr>
            </w:pPr>
            <w:r>
              <w:rPr>
                <w:rFonts w:hint="eastAsia" w:cs="Times New Roman"/>
                <w:b/>
                <w:bCs/>
              </w:rPr>
              <w:t>1.1施工期</w:t>
            </w:r>
          </w:p>
          <w:p w14:paraId="14669BF8">
            <w:pPr>
              <w:pStyle w:val="87"/>
              <w:wordWrap w:val="0"/>
              <w:adjustRightInd/>
              <w:ind w:left="21" w:leftChars="10" w:right="21" w:rightChars="10" w:firstLine="480"/>
              <w:rPr>
                <w:rFonts w:hint="eastAsia" w:cs="Times New Roman"/>
              </w:rPr>
            </w:pPr>
            <w:r>
              <w:rPr>
                <w:rFonts w:hint="eastAsia" w:cs="Times New Roman"/>
              </w:rPr>
              <w:t>项目施工扬尘排放执行《四川省施工场地扬尘排放标准》（DB51/2682-2020）表1中</w:t>
            </w:r>
            <w:r>
              <w:rPr>
                <w:rFonts w:hint="eastAsia" w:cs="Times New Roman"/>
                <w:lang w:val="en-US" w:eastAsia="zh-CN"/>
              </w:rPr>
              <w:t>达州市</w:t>
            </w:r>
            <w:r>
              <w:rPr>
                <w:rFonts w:hint="eastAsia" w:cs="Times New Roman"/>
              </w:rPr>
              <w:t>施工场地排放限值；</w:t>
            </w:r>
          </w:p>
          <w:p w14:paraId="52FC36B7">
            <w:pPr>
              <w:numPr>
                <w:ilvl w:val="0"/>
                <w:numId w:val="5"/>
              </w:numPr>
              <w:wordWrap w:val="0"/>
              <w:ind w:left="21" w:leftChars="10" w:right="21" w:rightChars="10" w:firstLine="0"/>
              <w:jc w:val="center"/>
              <w:rPr>
                <w:rFonts w:hint="eastAsia"/>
                <w:b/>
                <w:bCs/>
                <w:szCs w:val="22"/>
              </w:rPr>
            </w:pPr>
            <w:r>
              <w:rPr>
                <w:rFonts w:hint="eastAsia"/>
                <w:b/>
                <w:bCs/>
                <w:szCs w:val="22"/>
              </w:rPr>
              <w:t>《四川省施工场地扬尘排放标准》（DB51/2682-2020）</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39"/>
              <w:gridCol w:w="3754"/>
              <w:gridCol w:w="1903"/>
              <w:gridCol w:w="1482"/>
            </w:tblGrid>
            <w:tr w14:paraId="7A175D9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39" w:type="dxa"/>
                  <w:noWrap w:val="0"/>
                  <w:vAlign w:val="center"/>
                </w:tcPr>
                <w:p w14:paraId="03B07016">
                  <w:pPr>
                    <w:pStyle w:val="87"/>
                    <w:wordWrap w:val="0"/>
                    <w:adjustRightInd/>
                    <w:spacing w:line="240" w:lineRule="auto"/>
                    <w:ind w:left="21" w:leftChars="10" w:right="21" w:rightChars="10" w:firstLine="0" w:firstLineChars="0"/>
                    <w:jc w:val="center"/>
                    <w:rPr>
                      <w:rFonts w:hint="eastAsia" w:cs="Times New Roman"/>
                      <w:sz w:val="21"/>
                    </w:rPr>
                  </w:pPr>
                  <w:r>
                    <w:rPr>
                      <w:rFonts w:hint="eastAsia" w:cs="Times New Roman"/>
                      <w:sz w:val="21"/>
                    </w:rPr>
                    <w:t>监测项目</w:t>
                  </w:r>
                </w:p>
              </w:tc>
              <w:tc>
                <w:tcPr>
                  <w:tcW w:w="3754" w:type="dxa"/>
                  <w:noWrap w:val="0"/>
                  <w:vAlign w:val="center"/>
                </w:tcPr>
                <w:p w14:paraId="14254E52">
                  <w:pPr>
                    <w:pStyle w:val="87"/>
                    <w:wordWrap w:val="0"/>
                    <w:adjustRightInd/>
                    <w:spacing w:line="240" w:lineRule="auto"/>
                    <w:ind w:left="21" w:leftChars="10" w:right="21" w:rightChars="10" w:firstLine="0" w:firstLineChars="0"/>
                    <w:jc w:val="center"/>
                    <w:rPr>
                      <w:rFonts w:hint="eastAsia" w:cs="Times New Roman"/>
                      <w:sz w:val="21"/>
                    </w:rPr>
                  </w:pPr>
                  <w:r>
                    <w:rPr>
                      <w:rFonts w:hint="eastAsia" w:cs="Times New Roman"/>
                      <w:sz w:val="21"/>
                    </w:rPr>
                    <w:t>区域</w:t>
                  </w:r>
                </w:p>
              </w:tc>
              <w:tc>
                <w:tcPr>
                  <w:tcW w:w="1903" w:type="dxa"/>
                  <w:noWrap w:val="0"/>
                  <w:vAlign w:val="center"/>
                </w:tcPr>
                <w:p w14:paraId="63D83661">
                  <w:pPr>
                    <w:pStyle w:val="87"/>
                    <w:wordWrap w:val="0"/>
                    <w:adjustRightInd/>
                    <w:spacing w:line="240" w:lineRule="auto"/>
                    <w:ind w:left="21" w:leftChars="10" w:right="21" w:rightChars="10" w:firstLine="0" w:firstLineChars="0"/>
                    <w:jc w:val="center"/>
                    <w:rPr>
                      <w:rFonts w:hint="eastAsia" w:cs="Times New Roman"/>
                      <w:sz w:val="21"/>
                    </w:rPr>
                  </w:pPr>
                  <w:r>
                    <w:rPr>
                      <w:rFonts w:hint="eastAsia" w:cs="Times New Roman"/>
                      <w:sz w:val="21"/>
                    </w:rPr>
                    <w:t>施工阶段</w:t>
                  </w:r>
                </w:p>
              </w:tc>
              <w:tc>
                <w:tcPr>
                  <w:tcW w:w="1482" w:type="dxa"/>
                  <w:noWrap w:val="0"/>
                  <w:vAlign w:val="center"/>
                </w:tcPr>
                <w:p w14:paraId="0C4BCF7D">
                  <w:pPr>
                    <w:pStyle w:val="87"/>
                    <w:wordWrap w:val="0"/>
                    <w:adjustRightInd/>
                    <w:spacing w:line="240" w:lineRule="auto"/>
                    <w:ind w:left="21" w:leftChars="10" w:right="21" w:rightChars="10" w:firstLine="0" w:firstLineChars="0"/>
                    <w:jc w:val="center"/>
                    <w:rPr>
                      <w:rFonts w:hint="eastAsia" w:cs="Times New Roman"/>
                      <w:sz w:val="21"/>
                    </w:rPr>
                  </w:pPr>
                  <w:r>
                    <w:rPr>
                      <w:rFonts w:hint="eastAsia" w:cs="Times New Roman"/>
                      <w:sz w:val="21"/>
                    </w:rPr>
                    <w:t>监测点排放限值（mg/m</w:t>
                  </w:r>
                  <w:r>
                    <w:rPr>
                      <w:rFonts w:hint="eastAsia" w:cs="Times New Roman"/>
                      <w:sz w:val="21"/>
                      <w:vertAlign w:val="superscript"/>
                    </w:rPr>
                    <w:t>3</w:t>
                  </w:r>
                  <w:r>
                    <w:rPr>
                      <w:rFonts w:hint="eastAsia" w:cs="Times New Roman"/>
                      <w:sz w:val="21"/>
                    </w:rPr>
                    <w:t>）</w:t>
                  </w:r>
                </w:p>
              </w:tc>
            </w:tr>
            <w:tr w14:paraId="39C5D9A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39" w:type="dxa"/>
                  <w:vMerge w:val="restart"/>
                  <w:noWrap w:val="0"/>
                  <w:vAlign w:val="center"/>
                </w:tcPr>
                <w:p w14:paraId="6214E688">
                  <w:pPr>
                    <w:pStyle w:val="87"/>
                    <w:wordWrap w:val="0"/>
                    <w:adjustRightInd/>
                    <w:spacing w:line="240" w:lineRule="auto"/>
                    <w:ind w:left="21" w:leftChars="10" w:right="21" w:rightChars="10" w:firstLine="0" w:firstLineChars="0"/>
                    <w:jc w:val="center"/>
                    <w:rPr>
                      <w:rFonts w:hint="eastAsia" w:cs="Times New Roman"/>
                      <w:sz w:val="21"/>
                    </w:rPr>
                  </w:pPr>
                  <w:r>
                    <w:rPr>
                      <w:rFonts w:hint="eastAsia" w:cs="Times New Roman"/>
                      <w:sz w:val="21"/>
                    </w:rPr>
                    <w:t>总悬浮颗粒物（TSP）</w:t>
                  </w:r>
                </w:p>
              </w:tc>
              <w:tc>
                <w:tcPr>
                  <w:tcW w:w="3754" w:type="dxa"/>
                  <w:vMerge w:val="restart"/>
                  <w:noWrap w:val="0"/>
                  <w:vAlign w:val="center"/>
                </w:tcPr>
                <w:p w14:paraId="60D712D7">
                  <w:pPr>
                    <w:pStyle w:val="87"/>
                    <w:wordWrap w:val="0"/>
                    <w:adjustRightInd/>
                    <w:spacing w:line="240" w:lineRule="auto"/>
                    <w:ind w:left="21" w:leftChars="10" w:right="21" w:rightChars="10" w:firstLine="0" w:firstLineChars="0"/>
                    <w:jc w:val="center"/>
                    <w:rPr>
                      <w:rFonts w:hint="eastAsia" w:cs="Times New Roman"/>
                      <w:sz w:val="21"/>
                    </w:rPr>
                  </w:pPr>
                  <w:r>
                    <w:rPr>
                      <w:rFonts w:hint="eastAsia" w:cs="Times New Roman"/>
                      <w:b w:val="0"/>
                      <w:bCs w:val="0"/>
                      <w:sz w:val="21"/>
                    </w:rPr>
                    <w:t>成都市、自贡市、</w:t>
                  </w:r>
                  <w:r>
                    <w:rPr>
                      <w:rFonts w:hint="eastAsia" w:cs="Times New Roman"/>
                      <w:sz w:val="21"/>
                    </w:rPr>
                    <w:t>泸州市、德阳市、绵阳市、广元市、遂宁市、</w:t>
                  </w:r>
                  <w:r>
                    <w:rPr>
                      <w:rFonts w:hint="eastAsia" w:cs="Times New Roman"/>
                      <w:b w:val="0"/>
                      <w:bCs w:val="0"/>
                      <w:sz w:val="21"/>
                    </w:rPr>
                    <w:t>内江市</w:t>
                  </w:r>
                  <w:r>
                    <w:rPr>
                      <w:rFonts w:hint="eastAsia" w:cs="Times New Roman"/>
                      <w:sz w:val="21"/>
                    </w:rPr>
                    <w:t>、乐山市、南充市、宜宾市、广安市、</w:t>
                  </w:r>
                  <w:r>
                    <w:rPr>
                      <w:rFonts w:hint="eastAsia" w:cs="Times New Roman"/>
                      <w:b/>
                      <w:bCs/>
                      <w:sz w:val="21"/>
                    </w:rPr>
                    <w:t>达州市</w:t>
                  </w:r>
                  <w:r>
                    <w:rPr>
                      <w:rFonts w:hint="eastAsia" w:cs="Times New Roman"/>
                      <w:sz w:val="21"/>
                    </w:rPr>
                    <w:t>、巴中市、雅安市、</w:t>
                  </w:r>
                  <w:r>
                    <w:rPr>
                      <w:rFonts w:hint="eastAsia" w:cs="Times New Roman"/>
                      <w:b w:val="0"/>
                      <w:bCs w:val="0"/>
                      <w:sz w:val="21"/>
                    </w:rPr>
                    <w:t>眉山市</w:t>
                  </w:r>
                  <w:r>
                    <w:rPr>
                      <w:rFonts w:hint="eastAsia" w:cs="Times New Roman"/>
                      <w:sz w:val="21"/>
                    </w:rPr>
                    <w:t>、</w:t>
                  </w:r>
                  <w:r>
                    <w:rPr>
                      <w:rFonts w:hint="eastAsia" w:cs="Times New Roman"/>
                      <w:b w:val="0"/>
                      <w:bCs w:val="0"/>
                      <w:sz w:val="21"/>
                    </w:rPr>
                    <w:t>资阳市</w:t>
                  </w:r>
                </w:p>
              </w:tc>
              <w:tc>
                <w:tcPr>
                  <w:tcW w:w="1903" w:type="dxa"/>
                  <w:noWrap w:val="0"/>
                  <w:vAlign w:val="center"/>
                </w:tcPr>
                <w:p w14:paraId="04DBB7B8">
                  <w:pPr>
                    <w:pStyle w:val="87"/>
                    <w:wordWrap w:val="0"/>
                    <w:adjustRightInd/>
                    <w:spacing w:line="240" w:lineRule="auto"/>
                    <w:ind w:left="21" w:leftChars="10" w:right="21" w:rightChars="10" w:firstLine="0" w:firstLineChars="0"/>
                    <w:jc w:val="center"/>
                    <w:rPr>
                      <w:rFonts w:hint="eastAsia" w:cs="Times New Roman"/>
                      <w:sz w:val="21"/>
                    </w:rPr>
                  </w:pPr>
                  <w:r>
                    <w:rPr>
                      <w:rFonts w:hint="eastAsia" w:cs="Times New Roman"/>
                      <w:sz w:val="21"/>
                    </w:rPr>
                    <w:t>拆除工程/土方开挖/土方回填阶段</w:t>
                  </w:r>
                </w:p>
              </w:tc>
              <w:tc>
                <w:tcPr>
                  <w:tcW w:w="1482" w:type="dxa"/>
                  <w:noWrap w:val="0"/>
                  <w:vAlign w:val="center"/>
                </w:tcPr>
                <w:p w14:paraId="12C6618C">
                  <w:pPr>
                    <w:pStyle w:val="87"/>
                    <w:wordWrap w:val="0"/>
                    <w:adjustRightInd/>
                    <w:spacing w:line="240" w:lineRule="auto"/>
                    <w:ind w:left="21" w:leftChars="10" w:right="21" w:rightChars="10" w:firstLine="0" w:firstLineChars="0"/>
                    <w:jc w:val="center"/>
                    <w:rPr>
                      <w:rFonts w:hint="eastAsia" w:cs="Times New Roman"/>
                      <w:sz w:val="21"/>
                    </w:rPr>
                  </w:pPr>
                  <w:r>
                    <w:rPr>
                      <w:rFonts w:hint="eastAsia" w:cs="Times New Roman"/>
                      <w:sz w:val="21"/>
                    </w:rPr>
                    <w:t>0.6</w:t>
                  </w:r>
                </w:p>
              </w:tc>
            </w:tr>
            <w:tr w14:paraId="0DD88EC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39" w:type="dxa"/>
                  <w:vMerge w:val="continue"/>
                  <w:noWrap w:val="0"/>
                  <w:vAlign w:val="center"/>
                </w:tcPr>
                <w:p w14:paraId="02F912CB">
                  <w:pPr>
                    <w:pStyle w:val="87"/>
                    <w:wordWrap w:val="0"/>
                    <w:adjustRightInd/>
                    <w:spacing w:line="240" w:lineRule="auto"/>
                    <w:ind w:left="21" w:leftChars="10" w:right="21" w:rightChars="10" w:firstLine="0" w:firstLineChars="0"/>
                    <w:jc w:val="center"/>
                    <w:rPr>
                      <w:rFonts w:hint="eastAsia" w:cs="Times New Roman"/>
                      <w:sz w:val="21"/>
                    </w:rPr>
                  </w:pPr>
                </w:p>
              </w:tc>
              <w:tc>
                <w:tcPr>
                  <w:tcW w:w="3754" w:type="dxa"/>
                  <w:vMerge w:val="continue"/>
                  <w:noWrap w:val="0"/>
                  <w:vAlign w:val="center"/>
                </w:tcPr>
                <w:p w14:paraId="228C5F70">
                  <w:pPr>
                    <w:pStyle w:val="87"/>
                    <w:wordWrap w:val="0"/>
                    <w:adjustRightInd/>
                    <w:spacing w:line="240" w:lineRule="auto"/>
                    <w:ind w:left="21" w:leftChars="10" w:right="21" w:rightChars="10" w:firstLine="0" w:firstLineChars="0"/>
                    <w:jc w:val="center"/>
                    <w:rPr>
                      <w:rFonts w:hint="eastAsia" w:cs="Times New Roman"/>
                      <w:sz w:val="21"/>
                    </w:rPr>
                  </w:pPr>
                </w:p>
              </w:tc>
              <w:tc>
                <w:tcPr>
                  <w:tcW w:w="1903" w:type="dxa"/>
                  <w:noWrap w:val="0"/>
                  <w:vAlign w:val="center"/>
                </w:tcPr>
                <w:p w14:paraId="29EC35D0">
                  <w:pPr>
                    <w:pStyle w:val="87"/>
                    <w:wordWrap w:val="0"/>
                    <w:adjustRightInd/>
                    <w:spacing w:line="240" w:lineRule="auto"/>
                    <w:ind w:left="21" w:leftChars="10" w:right="21" w:rightChars="10" w:firstLine="0" w:firstLineChars="0"/>
                    <w:jc w:val="center"/>
                    <w:rPr>
                      <w:rFonts w:hint="eastAsia" w:cs="Times New Roman"/>
                      <w:sz w:val="21"/>
                    </w:rPr>
                  </w:pPr>
                  <w:r>
                    <w:rPr>
                      <w:rFonts w:hint="eastAsia" w:cs="Times New Roman"/>
                      <w:sz w:val="21"/>
                    </w:rPr>
                    <w:t>其他工程阶段</w:t>
                  </w:r>
                </w:p>
              </w:tc>
              <w:tc>
                <w:tcPr>
                  <w:tcW w:w="1482" w:type="dxa"/>
                  <w:noWrap w:val="0"/>
                  <w:vAlign w:val="center"/>
                </w:tcPr>
                <w:p w14:paraId="6C1F4771">
                  <w:pPr>
                    <w:pStyle w:val="87"/>
                    <w:wordWrap w:val="0"/>
                    <w:adjustRightInd/>
                    <w:spacing w:line="240" w:lineRule="auto"/>
                    <w:ind w:left="21" w:leftChars="10" w:right="21" w:rightChars="10" w:firstLine="0" w:firstLineChars="0"/>
                    <w:jc w:val="center"/>
                    <w:rPr>
                      <w:rFonts w:hint="eastAsia" w:cs="Times New Roman"/>
                      <w:sz w:val="21"/>
                    </w:rPr>
                  </w:pPr>
                  <w:r>
                    <w:rPr>
                      <w:rFonts w:hint="eastAsia" w:cs="Times New Roman"/>
                      <w:sz w:val="21"/>
                    </w:rPr>
                    <w:t>0.25</w:t>
                  </w:r>
                </w:p>
              </w:tc>
            </w:tr>
          </w:tbl>
          <w:p w14:paraId="3D1A15FF">
            <w:pPr>
              <w:pStyle w:val="87"/>
              <w:wordWrap w:val="0"/>
              <w:adjustRightInd/>
              <w:spacing w:line="240" w:lineRule="auto"/>
              <w:ind w:left="21" w:leftChars="10" w:right="21" w:rightChars="10" w:firstLine="482"/>
              <w:jc w:val="center"/>
              <w:rPr>
                <w:rFonts w:hint="eastAsia" w:cs="Times New Roman"/>
                <w:b/>
                <w:bCs/>
                <w:sz w:val="21"/>
                <w:szCs w:val="21"/>
              </w:rPr>
            </w:pPr>
          </w:p>
          <w:p w14:paraId="00DECD2A">
            <w:pPr>
              <w:pStyle w:val="87"/>
              <w:wordWrap w:val="0"/>
              <w:adjustRightInd/>
              <w:ind w:left="21" w:leftChars="10" w:right="21" w:rightChars="10" w:firstLine="482"/>
              <w:rPr>
                <w:rFonts w:cs="Times New Roman"/>
                <w:b/>
                <w:bCs/>
              </w:rPr>
            </w:pPr>
            <w:r>
              <w:rPr>
                <w:rFonts w:hint="eastAsia" w:cs="Times New Roman"/>
                <w:b/>
                <w:bCs/>
              </w:rPr>
              <w:t>1.2运营期</w:t>
            </w:r>
          </w:p>
          <w:p w14:paraId="46AF60DF">
            <w:pPr>
              <w:pStyle w:val="87"/>
              <w:adjustRightInd/>
              <w:ind w:firstLine="482"/>
              <w:rPr>
                <w:rFonts w:hint="eastAsia"/>
                <w:szCs w:val="32"/>
                <w:lang w:val="en-US" w:eastAsia="zh-CN"/>
              </w:rPr>
            </w:pPr>
            <w:r>
              <w:rPr>
                <w:rFonts w:hint="eastAsia"/>
                <w:szCs w:val="32"/>
                <w:lang w:val="en-US" w:eastAsia="zh-CN"/>
              </w:rPr>
              <w:t>根据《四川省生态环境厅关于执行大气污染物特别排放限值的公告》（四川省生态环境厅公告2020年第2号）“附件2四川省大气污染防治重点区域划分表”，达州市通川区全域划定为大气污染防治重点区域，本项目选址位于达州市通川区，因此本项目外排废气须执行国家排放标准特别排放限值和特别控制要求。</w:t>
            </w:r>
          </w:p>
          <w:p w14:paraId="57D22602">
            <w:pPr>
              <w:pStyle w:val="87"/>
              <w:adjustRightInd/>
              <w:ind w:firstLine="482"/>
              <w:rPr>
                <w:rFonts w:hint="eastAsia"/>
                <w:szCs w:val="32"/>
                <w:highlight w:val="yellow"/>
                <w:lang w:val="en-US" w:eastAsia="zh-CN"/>
              </w:rPr>
            </w:pPr>
            <w:r>
              <w:rPr>
                <w:rFonts w:hint="eastAsia"/>
                <w:szCs w:val="32"/>
                <w:highlight w:val="none"/>
                <w:lang w:val="en-US" w:eastAsia="zh-CN"/>
              </w:rPr>
              <w:t>①由于《四川省工业炉窑大气污染综合治理实施清单》中未明确达州市要求，按从严原则，本次环评DA001、DA004排气筒中颗粒物、SO</w:t>
            </w:r>
            <w:r>
              <w:rPr>
                <w:rFonts w:hint="eastAsia"/>
                <w:szCs w:val="32"/>
                <w:highlight w:val="none"/>
                <w:vertAlign w:val="subscript"/>
                <w:lang w:val="en-US" w:eastAsia="zh-CN"/>
              </w:rPr>
              <w:t>2</w:t>
            </w:r>
            <w:r>
              <w:rPr>
                <w:rFonts w:hint="eastAsia"/>
                <w:szCs w:val="32"/>
                <w:highlight w:val="none"/>
                <w:lang w:val="en-US" w:eastAsia="zh-CN"/>
              </w:rPr>
              <w:t>、NO</w:t>
            </w:r>
            <w:r>
              <w:rPr>
                <w:rFonts w:hint="eastAsia"/>
                <w:szCs w:val="32"/>
                <w:highlight w:val="none"/>
                <w:vertAlign w:val="subscript"/>
                <w:lang w:val="en-US" w:eastAsia="zh-CN"/>
              </w:rPr>
              <w:t>x</w:t>
            </w:r>
            <w:r>
              <w:rPr>
                <w:rFonts w:hint="eastAsia"/>
                <w:szCs w:val="32"/>
                <w:highlight w:val="none"/>
                <w:lang w:val="en-US" w:eastAsia="zh-CN"/>
              </w:rPr>
              <w:t>参照执行《四川省工业炉窑大气污染综合治理实施清单》中排放限值（颗粒物、二氧化硫、氮氧化物排放限值分别不高于30、200、300毫克/立方米）；</w:t>
            </w:r>
          </w:p>
          <w:p w14:paraId="4B586E40">
            <w:pPr>
              <w:pStyle w:val="87"/>
              <w:adjustRightInd/>
              <w:ind w:firstLine="482"/>
              <w:rPr>
                <w:rFonts w:hint="default"/>
                <w:szCs w:val="32"/>
                <w:highlight w:val="none"/>
                <w:lang w:val="en-US" w:eastAsia="zh-CN"/>
              </w:rPr>
            </w:pPr>
            <w:r>
              <w:rPr>
                <w:rFonts w:hint="eastAsia"/>
                <w:szCs w:val="32"/>
                <w:highlight w:val="none"/>
                <w:lang w:val="en-US" w:eastAsia="zh-CN"/>
              </w:rPr>
              <w:t>②DA002排气筒中苯并[a]芘、沥青烟排放执行《大气污染物综合排放标准》（GB16297-1996）表2中二级标准，VOCs（以非甲烷总烃计）执行《四川省固定污染源大气挥发性有机物排放标准》（DB51/2377-2017）表3（涉及有机溶剂生产和使用的其它行业）排放限值；</w:t>
            </w:r>
          </w:p>
          <w:p w14:paraId="67DE511E">
            <w:pPr>
              <w:pStyle w:val="87"/>
              <w:adjustRightInd/>
              <w:ind w:firstLine="482"/>
              <w:rPr>
                <w:rFonts w:hint="default"/>
                <w:szCs w:val="32"/>
                <w:highlight w:val="none"/>
                <w:lang w:val="en-US" w:eastAsia="zh-CN"/>
              </w:rPr>
            </w:pPr>
            <w:r>
              <w:rPr>
                <w:rFonts w:hint="eastAsia"/>
                <w:szCs w:val="32"/>
                <w:highlight w:val="none"/>
                <w:lang w:val="en-US" w:eastAsia="zh-CN"/>
              </w:rPr>
              <w:t>③DA003排气筒中颗粒物、SO</w:t>
            </w:r>
            <w:r>
              <w:rPr>
                <w:rFonts w:hint="eastAsia"/>
                <w:szCs w:val="32"/>
                <w:highlight w:val="none"/>
                <w:vertAlign w:val="subscript"/>
                <w:lang w:val="en-US" w:eastAsia="zh-CN"/>
              </w:rPr>
              <w:t>2</w:t>
            </w:r>
            <w:r>
              <w:rPr>
                <w:rFonts w:hint="eastAsia"/>
                <w:szCs w:val="32"/>
                <w:highlight w:val="none"/>
                <w:lang w:val="en-US" w:eastAsia="zh-CN"/>
              </w:rPr>
              <w:t>、NO</w:t>
            </w:r>
            <w:r>
              <w:rPr>
                <w:rFonts w:hint="eastAsia"/>
                <w:szCs w:val="32"/>
                <w:highlight w:val="none"/>
                <w:vertAlign w:val="subscript"/>
                <w:lang w:val="en-US" w:eastAsia="zh-CN"/>
              </w:rPr>
              <w:t>x</w:t>
            </w:r>
            <w:r>
              <w:rPr>
                <w:rFonts w:hint="eastAsia"/>
                <w:szCs w:val="32"/>
                <w:highlight w:val="none"/>
                <w:lang w:val="en-US" w:eastAsia="zh-CN"/>
              </w:rPr>
              <w:t>参照执行《四川省大气污染物工程减量指导意见（2023-2025年）》（川污防攻坚办【2023】15号）中燃气锅炉排放限值（颗粒物、二氧化硫、氮氧化物排放限值分别不高于5、10、50毫克/立方米）；</w:t>
            </w:r>
          </w:p>
          <w:p w14:paraId="0BB4ACB9">
            <w:pPr>
              <w:pStyle w:val="87"/>
              <w:adjustRightInd/>
              <w:ind w:firstLine="482"/>
              <w:rPr>
                <w:rFonts w:hint="default"/>
                <w:szCs w:val="32"/>
                <w:highlight w:val="none"/>
                <w:lang w:val="en-US" w:eastAsia="zh-CN"/>
              </w:rPr>
            </w:pPr>
            <w:r>
              <w:rPr>
                <w:rFonts w:hint="eastAsia"/>
                <w:szCs w:val="32"/>
                <w:highlight w:val="none"/>
                <w:lang w:val="en-US" w:eastAsia="zh-CN"/>
              </w:rPr>
              <w:t>④DA005排气筒中颗粒物排放执行《大气污染物综合排放标准》（GB16297-1996）表2排放限值要求；</w:t>
            </w:r>
          </w:p>
          <w:p w14:paraId="074CB078">
            <w:pPr>
              <w:pStyle w:val="87"/>
              <w:adjustRightInd/>
              <w:ind w:firstLine="482"/>
              <w:rPr>
                <w:rFonts w:hint="default"/>
                <w:szCs w:val="32"/>
                <w:highlight w:val="none"/>
                <w:lang w:val="en-US" w:eastAsia="zh-CN"/>
              </w:rPr>
            </w:pPr>
            <w:r>
              <w:rPr>
                <w:rFonts w:hint="eastAsia"/>
                <w:szCs w:val="32"/>
                <w:highlight w:val="none"/>
                <w:lang w:val="en-US" w:eastAsia="zh-CN"/>
              </w:rPr>
              <w:t>⑤食堂油烟执行《饮食业油烟排放标准（试行）》（GB18483-2001）中最高允许排放浓度。</w:t>
            </w:r>
          </w:p>
          <w:p w14:paraId="44BD3E89">
            <w:pPr>
              <w:pStyle w:val="87"/>
              <w:adjustRightInd/>
              <w:ind w:firstLine="482"/>
              <w:rPr>
                <w:rFonts w:hint="eastAsia"/>
                <w:szCs w:val="32"/>
                <w:lang w:val="en-US" w:eastAsia="zh-CN"/>
              </w:rPr>
            </w:pPr>
            <w:r>
              <w:rPr>
                <w:rFonts w:hint="eastAsia"/>
                <w:szCs w:val="32"/>
                <w:highlight w:val="none"/>
                <w:lang w:val="en-US" w:eastAsia="zh-CN"/>
              </w:rPr>
              <w:t>⑥苯并[a]芘、沥青烟、SO</w:t>
            </w:r>
            <w:r>
              <w:rPr>
                <w:rFonts w:hint="eastAsia"/>
                <w:szCs w:val="32"/>
                <w:highlight w:val="none"/>
                <w:vertAlign w:val="subscript"/>
                <w:lang w:val="en-US" w:eastAsia="zh-CN"/>
              </w:rPr>
              <w:t>2</w:t>
            </w:r>
            <w:r>
              <w:rPr>
                <w:rFonts w:hint="eastAsia"/>
                <w:szCs w:val="32"/>
                <w:highlight w:val="none"/>
                <w:lang w:val="en-US" w:eastAsia="zh-CN"/>
              </w:rPr>
              <w:t>、NOx、颗粒物厂界无组织排放执行《大气污染物综合排放标准》（GB16297-1996）表2中无组织排放限值；VOCs（以非甲烷总烃计）厂界无组织排放执行《四川省固定污染源大气挥发性有机物排放标准》（DB51/2377-2017）表5排放限值；VOCs（以非甲烷总烃计）</w:t>
            </w:r>
            <w:r>
              <w:rPr>
                <w:rFonts w:hint="eastAsia"/>
                <w:szCs w:val="32"/>
                <w:lang w:val="en-US" w:eastAsia="zh-CN"/>
              </w:rPr>
              <w:t>厂区内无组织排放执行《挥发性有机物无组织排放控制标准》（GB37822-2019）中特别排放限值要求。</w:t>
            </w:r>
          </w:p>
          <w:p w14:paraId="5A49244F">
            <w:pPr>
              <w:numPr>
                <w:ilvl w:val="0"/>
                <w:numId w:val="5"/>
              </w:numPr>
              <w:wordWrap w:val="0"/>
              <w:ind w:left="21" w:leftChars="10" w:right="21" w:rightChars="10" w:firstLine="0"/>
              <w:jc w:val="center"/>
              <w:rPr>
                <w:rFonts w:hint="eastAsia" w:ascii="Times New Roman" w:hAnsi="Times New Roman" w:eastAsia="宋体" w:cs="Times New Roman"/>
                <w:b/>
                <w:bCs/>
                <w:szCs w:val="22"/>
                <w:lang w:val="zh-CN"/>
              </w:rPr>
            </w:pPr>
            <w:r>
              <w:rPr>
                <w:rFonts w:hint="eastAsia" w:ascii="Times New Roman" w:hAnsi="Times New Roman" w:eastAsia="宋体" w:cs="Times New Roman"/>
                <w:b/>
                <w:bCs/>
                <w:szCs w:val="22"/>
                <w:lang w:val="zh-CN"/>
              </w:rPr>
              <w:t>《四川省工业炉窑大气污染综合治理实施清单》</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923"/>
              <w:gridCol w:w="3096"/>
              <w:gridCol w:w="3040"/>
            </w:tblGrid>
            <w:tr w14:paraId="2227697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90" w:hRule="atLeast"/>
                <w:jc w:val="center"/>
              </w:trPr>
              <w:tc>
                <w:tcPr>
                  <w:tcW w:w="1923" w:type="dxa"/>
                  <w:noWrap w:val="0"/>
                  <w:vAlign w:val="center"/>
                </w:tcPr>
                <w:p w14:paraId="22FD37B5">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污染物</w:t>
                  </w:r>
                </w:p>
              </w:tc>
              <w:tc>
                <w:tcPr>
                  <w:tcW w:w="3096" w:type="dxa"/>
                  <w:noWrap w:val="0"/>
                  <w:vAlign w:val="center"/>
                </w:tcPr>
                <w:p w14:paraId="092C694E">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最高允许排放浓度mg/m</w:t>
                  </w:r>
                  <w:r>
                    <w:rPr>
                      <w:rFonts w:hint="eastAsia" w:ascii="Times New Roman" w:hAnsi="Times New Roman" w:eastAsia="宋体" w:cs="Times New Roman"/>
                      <w:color w:val="auto"/>
                      <w:sz w:val="21"/>
                      <w:szCs w:val="21"/>
                      <w:vertAlign w:val="superscript"/>
                      <w:lang w:val="en-US" w:eastAsia="zh-CN"/>
                    </w:rPr>
                    <w:t>3</w:t>
                  </w:r>
                </w:p>
              </w:tc>
              <w:tc>
                <w:tcPr>
                  <w:tcW w:w="3040" w:type="dxa"/>
                  <w:noWrap w:val="0"/>
                  <w:vAlign w:val="center"/>
                </w:tcPr>
                <w:p w14:paraId="753E6C18">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污染物排放监控位置</w:t>
                  </w:r>
                </w:p>
              </w:tc>
            </w:tr>
            <w:tr w14:paraId="50DB6DB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923" w:type="dxa"/>
                  <w:noWrap w:val="0"/>
                  <w:vAlign w:val="center"/>
                </w:tcPr>
                <w:p w14:paraId="4FD31A13">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3096" w:type="dxa"/>
                  <w:noWrap w:val="0"/>
                  <w:vAlign w:val="center"/>
                </w:tcPr>
                <w:p w14:paraId="7C7AD8DC">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30</w:t>
                  </w:r>
                </w:p>
              </w:tc>
              <w:tc>
                <w:tcPr>
                  <w:tcW w:w="3040" w:type="dxa"/>
                  <w:vMerge w:val="restart"/>
                  <w:noWrap w:val="0"/>
                  <w:vAlign w:val="center"/>
                </w:tcPr>
                <w:p w14:paraId="18ABC05A">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烟囱排放口</w:t>
                  </w:r>
                </w:p>
              </w:tc>
            </w:tr>
            <w:tr w14:paraId="17CFCC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923" w:type="dxa"/>
                  <w:noWrap w:val="0"/>
                  <w:vAlign w:val="center"/>
                </w:tcPr>
                <w:p w14:paraId="4691A0E7">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氮氧化物</w:t>
                  </w:r>
                </w:p>
              </w:tc>
              <w:tc>
                <w:tcPr>
                  <w:tcW w:w="3096" w:type="dxa"/>
                  <w:noWrap w:val="0"/>
                  <w:vAlign w:val="center"/>
                </w:tcPr>
                <w:p w14:paraId="369BDD57">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300</w:t>
                  </w:r>
                </w:p>
              </w:tc>
              <w:tc>
                <w:tcPr>
                  <w:tcW w:w="3040" w:type="dxa"/>
                  <w:vMerge w:val="continue"/>
                  <w:noWrap w:val="0"/>
                  <w:vAlign w:val="center"/>
                </w:tcPr>
                <w:p w14:paraId="1569FE61">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2AAE2EF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923" w:type="dxa"/>
                  <w:noWrap w:val="0"/>
                  <w:vAlign w:val="center"/>
                </w:tcPr>
                <w:p w14:paraId="312B8D9B">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二氧化硫</w:t>
                  </w:r>
                </w:p>
              </w:tc>
              <w:tc>
                <w:tcPr>
                  <w:tcW w:w="3096" w:type="dxa"/>
                  <w:noWrap w:val="0"/>
                  <w:vAlign w:val="center"/>
                </w:tcPr>
                <w:p w14:paraId="00AA0409">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200</w:t>
                  </w:r>
                </w:p>
              </w:tc>
              <w:tc>
                <w:tcPr>
                  <w:tcW w:w="3040" w:type="dxa"/>
                  <w:vMerge w:val="continue"/>
                  <w:noWrap w:val="0"/>
                  <w:vAlign w:val="center"/>
                </w:tcPr>
                <w:p w14:paraId="364B5EAD">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lang w:val="en-US"/>
                    </w:rPr>
                  </w:pPr>
                </w:p>
              </w:tc>
            </w:tr>
          </w:tbl>
          <w:p w14:paraId="3FA91D1B">
            <w:pPr>
              <w:pStyle w:val="8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p>
          <w:p w14:paraId="199C7A01">
            <w:pPr>
              <w:numPr>
                <w:ilvl w:val="0"/>
                <w:numId w:val="5"/>
              </w:numPr>
              <w:ind w:left="0" w:firstLine="0"/>
              <w:jc w:val="center"/>
              <w:rPr>
                <w:rFonts w:hint="eastAsia" w:ascii="Times New Roman" w:hAnsi="Times New Roman" w:eastAsia="宋体" w:cs="Times New Roman"/>
                <w:b/>
                <w:bCs/>
                <w:szCs w:val="22"/>
              </w:rPr>
            </w:pPr>
            <w:r>
              <w:rPr>
                <w:rFonts w:hint="eastAsia" w:ascii="Times New Roman" w:hAnsi="Times New Roman" w:eastAsia="宋体" w:cs="Times New Roman"/>
                <w:b/>
                <w:bCs/>
                <w:szCs w:val="22"/>
              </w:rPr>
              <w:t>《大气污染物综合排放标准》（GB16297-1996）</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8"/>
              <w:gridCol w:w="1503"/>
              <w:gridCol w:w="1300"/>
              <w:gridCol w:w="1625"/>
              <w:gridCol w:w="2673"/>
            </w:tblGrid>
            <w:tr w14:paraId="2E26D5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8" w:type="dxa"/>
                  <w:vMerge w:val="restart"/>
                  <w:noWrap w:val="0"/>
                  <w:vAlign w:val="center"/>
                </w:tcPr>
                <w:p w14:paraId="699114F6">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w:t>
                  </w:r>
                </w:p>
              </w:tc>
              <w:tc>
                <w:tcPr>
                  <w:tcW w:w="1503" w:type="dxa"/>
                  <w:vMerge w:val="restart"/>
                  <w:noWrap w:val="0"/>
                  <w:vAlign w:val="center"/>
                </w:tcPr>
                <w:p w14:paraId="027B89E6">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排放浓度</w:t>
                  </w:r>
                </w:p>
              </w:tc>
              <w:tc>
                <w:tcPr>
                  <w:tcW w:w="2925" w:type="dxa"/>
                  <w:gridSpan w:val="2"/>
                  <w:noWrap w:val="0"/>
                  <w:vAlign w:val="center"/>
                </w:tcPr>
                <w:p w14:paraId="3CE04CF1">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tc>
              <w:tc>
                <w:tcPr>
                  <w:tcW w:w="2673" w:type="dxa"/>
                  <w:vMerge w:val="restart"/>
                  <w:noWrap w:val="0"/>
                  <w:vAlign w:val="center"/>
                </w:tcPr>
                <w:p w14:paraId="0835503E">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无组织排放检测浓度限值</w:t>
                  </w:r>
                </w:p>
              </w:tc>
            </w:tr>
            <w:tr w14:paraId="6F68E4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8" w:type="dxa"/>
                  <w:vMerge w:val="continue"/>
                  <w:noWrap w:val="0"/>
                  <w:vAlign w:val="center"/>
                </w:tcPr>
                <w:p w14:paraId="1C825AE1">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rPr>
                  </w:pPr>
                </w:p>
              </w:tc>
              <w:tc>
                <w:tcPr>
                  <w:tcW w:w="1503" w:type="dxa"/>
                  <w:vMerge w:val="continue"/>
                  <w:noWrap w:val="0"/>
                  <w:vAlign w:val="center"/>
                </w:tcPr>
                <w:p w14:paraId="7AB3FAD4">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rPr>
                  </w:pPr>
                </w:p>
              </w:tc>
              <w:tc>
                <w:tcPr>
                  <w:tcW w:w="1300" w:type="dxa"/>
                  <w:noWrap w:val="0"/>
                  <w:vAlign w:val="center"/>
                </w:tcPr>
                <w:p w14:paraId="16FCF3D4">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排气筒高度</w:t>
                  </w:r>
                </w:p>
              </w:tc>
              <w:tc>
                <w:tcPr>
                  <w:tcW w:w="1625" w:type="dxa"/>
                  <w:noWrap w:val="0"/>
                  <w:vAlign w:val="center"/>
                </w:tcPr>
                <w:p w14:paraId="7F3B4A24">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限值</w:t>
                  </w:r>
                </w:p>
              </w:tc>
              <w:tc>
                <w:tcPr>
                  <w:tcW w:w="2673" w:type="dxa"/>
                  <w:vMerge w:val="continue"/>
                  <w:noWrap w:val="0"/>
                  <w:vAlign w:val="center"/>
                </w:tcPr>
                <w:p w14:paraId="0BAAEDA7">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rPr>
                  </w:pPr>
                </w:p>
              </w:tc>
            </w:tr>
            <w:tr w14:paraId="0D20E5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938" w:type="dxa"/>
                  <w:noWrap w:val="0"/>
                  <w:vAlign w:val="center"/>
                </w:tcPr>
                <w:p w14:paraId="69110037">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颗粒物</w:t>
                  </w:r>
                </w:p>
              </w:tc>
              <w:tc>
                <w:tcPr>
                  <w:tcW w:w="1503" w:type="dxa"/>
                  <w:noWrap w:val="0"/>
                  <w:vAlign w:val="center"/>
                </w:tcPr>
                <w:p w14:paraId="793BE653">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120mg/</w:t>
                  </w:r>
                  <w:r>
                    <w:rPr>
                      <w:rFonts w:hint="default" w:ascii="Times New Roman" w:hAnsi="Times New Roman" w:eastAsia="宋体" w:cs="Times New Roman"/>
                      <w:sz w:val="21"/>
                      <w:szCs w:val="21"/>
                      <w:vertAlign w:val="baseline"/>
                      <w:lang w:eastAsia="zh-CN"/>
                    </w:rPr>
                    <w:t>m</w:t>
                  </w:r>
                  <w:r>
                    <w:rPr>
                      <w:rFonts w:hint="default" w:ascii="Times New Roman" w:hAnsi="Times New Roman" w:eastAsia="宋体" w:cs="Times New Roman"/>
                      <w:sz w:val="21"/>
                      <w:szCs w:val="21"/>
                      <w:vertAlign w:val="superscript"/>
                      <w:lang w:eastAsia="zh-CN"/>
                    </w:rPr>
                    <w:t>3</w:t>
                  </w:r>
                </w:p>
              </w:tc>
              <w:tc>
                <w:tcPr>
                  <w:tcW w:w="1300" w:type="dxa"/>
                  <w:noWrap w:val="0"/>
                  <w:vAlign w:val="center"/>
                </w:tcPr>
                <w:p w14:paraId="6EAB7713">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15m</w:t>
                  </w:r>
                </w:p>
              </w:tc>
              <w:tc>
                <w:tcPr>
                  <w:tcW w:w="1625" w:type="dxa"/>
                  <w:noWrap w:val="0"/>
                  <w:vAlign w:val="center"/>
                </w:tcPr>
                <w:p w14:paraId="261BFB69">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3.5kg/h</w:t>
                  </w:r>
                </w:p>
              </w:tc>
              <w:tc>
                <w:tcPr>
                  <w:tcW w:w="2673" w:type="dxa"/>
                  <w:noWrap w:val="0"/>
                  <w:vAlign w:val="center"/>
                </w:tcPr>
                <w:p w14:paraId="0D1F218B">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1.0mg/</w:t>
                  </w:r>
                  <w:r>
                    <w:rPr>
                      <w:rFonts w:hint="default" w:ascii="Times New Roman" w:hAnsi="Times New Roman" w:eastAsia="宋体" w:cs="Times New Roman"/>
                      <w:sz w:val="21"/>
                      <w:szCs w:val="21"/>
                      <w:vertAlign w:val="baseline"/>
                      <w:lang w:eastAsia="zh-CN"/>
                    </w:rPr>
                    <w:t>m</w:t>
                  </w:r>
                  <w:r>
                    <w:rPr>
                      <w:rFonts w:hint="default" w:ascii="Times New Roman" w:hAnsi="Times New Roman" w:eastAsia="宋体" w:cs="Times New Roman"/>
                      <w:sz w:val="21"/>
                      <w:szCs w:val="21"/>
                      <w:vertAlign w:val="superscript"/>
                      <w:lang w:val="en-US" w:eastAsia="zh-CN"/>
                    </w:rPr>
                    <w:t>3</w:t>
                  </w:r>
                </w:p>
              </w:tc>
            </w:tr>
            <w:tr w14:paraId="517423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8" w:type="dxa"/>
                  <w:vMerge w:val="restart"/>
                  <w:noWrap w:val="0"/>
                  <w:vAlign w:val="center"/>
                </w:tcPr>
                <w:p w14:paraId="32D0B9C7">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沥青烟</w:t>
                  </w:r>
                </w:p>
              </w:tc>
              <w:tc>
                <w:tcPr>
                  <w:tcW w:w="1503" w:type="dxa"/>
                  <w:vMerge w:val="restart"/>
                  <w:noWrap w:val="0"/>
                  <w:vAlign w:val="center"/>
                </w:tcPr>
                <w:p w14:paraId="17C2E452">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75</w:t>
                  </w:r>
                  <w:r>
                    <w:rPr>
                      <w:rFonts w:hint="default" w:ascii="Times New Roman" w:hAnsi="Times New Roman" w:eastAsia="宋体" w:cs="Times New Roman"/>
                      <w:sz w:val="21"/>
                      <w:szCs w:val="21"/>
                    </w:rPr>
                    <w:t>mg/</w:t>
                  </w:r>
                  <w:r>
                    <w:rPr>
                      <w:rFonts w:hint="default" w:ascii="Times New Roman" w:hAnsi="Times New Roman" w:eastAsia="宋体" w:cs="Times New Roman"/>
                      <w:sz w:val="21"/>
                      <w:szCs w:val="21"/>
                      <w:vertAlign w:val="baseline"/>
                      <w:lang w:eastAsia="zh-CN"/>
                    </w:rPr>
                    <w:t>m</w:t>
                  </w:r>
                  <w:r>
                    <w:rPr>
                      <w:rFonts w:hint="default" w:ascii="Times New Roman" w:hAnsi="Times New Roman" w:eastAsia="宋体" w:cs="Times New Roman"/>
                      <w:sz w:val="21"/>
                      <w:szCs w:val="21"/>
                      <w:vertAlign w:val="superscript"/>
                      <w:lang w:eastAsia="zh-CN"/>
                    </w:rPr>
                    <w:t>3</w:t>
                  </w:r>
                </w:p>
              </w:tc>
              <w:tc>
                <w:tcPr>
                  <w:tcW w:w="1300" w:type="dxa"/>
                  <w:noWrap w:val="0"/>
                  <w:vAlign w:val="center"/>
                </w:tcPr>
                <w:p w14:paraId="66E3B318">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20m</w:t>
                  </w:r>
                </w:p>
              </w:tc>
              <w:tc>
                <w:tcPr>
                  <w:tcW w:w="1625" w:type="dxa"/>
                  <w:noWrap w:val="0"/>
                  <w:vAlign w:val="center"/>
                </w:tcPr>
                <w:p w14:paraId="5E220C69">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w:t>
                  </w:r>
                  <w:r>
                    <w:rPr>
                      <w:rFonts w:hint="default" w:ascii="Times New Roman" w:hAnsi="Times New Roman" w:eastAsia="宋体" w:cs="Times New Roman"/>
                      <w:sz w:val="21"/>
                      <w:szCs w:val="21"/>
                    </w:rPr>
                    <w:t>kg/h</w:t>
                  </w:r>
                </w:p>
              </w:tc>
              <w:tc>
                <w:tcPr>
                  <w:tcW w:w="2673" w:type="dxa"/>
                  <w:vMerge w:val="restart"/>
                  <w:noWrap w:val="0"/>
                  <w:vAlign w:val="center"/>
                </w:tcPr>
                <w:p w14:paraId="18D9220A">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生产设备不得有明显的无组织排放存在</w:t>
                  </w:r>
                </w:p>
              </w:tc>
            </w:tr>
            <w:tr w14:paraId="10EC12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8" w:type="dxa"/>
                  <w:vMerge w:val="continue"/>
                  <w:noWrap w:val="0"/>
                  <w:vAlign w:val="center"/>
                </w:tcPr>
                <w:p w14:paraId="5215D8C0">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lang w:val="en-US" w:eastAsia="zh-CN"/>
                    </w:rPr>
                  </w:pPr>
                </w:p>
              </w:tc>
              <w:tc>
                <w:tcPr>
                  <w:tcW w:w="1503" w:type="dxa"/>
                  <w:vMerge w:val="continue"/>
                  <w:noWrap w:val="0"/>
                  <w:vAlign w:val="center"/>
                </w:tcPr>
                <w:p w14:paraId="41355716">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lang w:val="en-US" w:eastAsia="zh-CN"/>
                    </w:rPr>
                  </w:pPr>
                </w:p>
              </w:tc>
              <w:tc>
                <w:tcPr>
                  <w:tcW w:w="1300" w:type="dxa"/>
                  <w:noWrap w:val="0"/>
                  <w:vAlign w:val="center"/>
                </w:tcPr>
                <w:p w14:paraId="026F1505">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22m</w:t>
                  </w:r>
                </w:p>
              </w:tc>
              <w:tc>
                <w:tcPr>
                  <w:tcW w:w="1625" w:type="dxa"/>
                  <w:noWrap w:val="0"/>
                  <w:vAlign w:val="center"/>
                </w:tcPr>
                <w:p w14:paraId="0E0E0C51">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w:t>
                  </w:r>
                  <w:r>
                    <w:rPr>
                      <w:rFonts w:hint="default" w:ascii="Times New Roman" w:hAnsi="Times New Roman" w:eastAsia="宋体" w:cs="Times New Roman"/>
                      <w:sz w:val="21"/>
                      <w:szCs w:val="21"/>
                    </w:rPr>
                    <w:t>kg/h</w:t>
                  </w:r>
                </w:p>
              </w:tc>
              <w:tc>
                <w:tcPr>
                  <w:tcW w:w="2673" w:type="dxa"/>
                  <w:vMerge w:val="continue"/>
                  <w:noWrap w:val="0"/>
                  <w:vAlign w:val="center"/>
                </w:tcPr>
                <w:p w14:paraId="08564362">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lang w:val="en-US" w:eastAsia="zh-CN"/>
                    </w:rPr>
                  </w:pPr>
                </w:p>
              </w:tc>
            </w:tr>
            <w:tr w14:paraId="5453AD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8" w:type="dxa"/>
                  <w:vMerge w:val="continue"/>
                  <w:noWrap w:val="0"/>
                  <w:vAlign w:val="center"/>
                </w:tcPr>
                <w:p w14:paraId="4E5AF176">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lang w:val="en-US" w:eastAsia="zh-CN"/>
                    </w:rPr>
                  </w:pPr>
                </w:p>
              </w:tc>
              <w:tc>
                <w:tcPr>
                  <w:tcW w:w="1503" w:type="dxa"/>
                  <w:vMerge w:val="continue"/>
                  <w:noWrap w:val="0"/>
                  <w:vAlign w:val="center"/>
                </w:tcPr>
                <w:p w14:paraId="15FE2CCD">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lang w:val="en-US" w:eastAsia="zh-CN"/>
                    </w:rPr>
                  </w:pPr>
                </w:p>
              </w:tc>
              <w:tc>
                <w:tcPr>
                  <w:tcW w:w="1300" w:type="dxa"/>
                  <w:noWrap w:val="0"/>
                  <w:vAlign w:val="center"/>
                </w:tcPr>
                <w:p w14:paraId="1B738E9A">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30m</w:t>
                  </w:r>
                </w:p>
              </w:tc>
              <w:tc>
                <w:tcPr>
                  <w:tcW w:w="1625" w:type="dxa"/>
                  <w:noWrap w:val="0"/>
                  <w:vAlign w:val="center"/>
                </w:tcPr>
                <w:p w14:paraId="6613085A">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w:t>
                  </w:r>
                  <w:r>
                    <w:rPr>
                      <w:rFonts w:hint="default" w:ascii="Times New Roman" w:hAnsi="Times New Roman" w:eastAsia="宋体" w:cs="Times New Roman"/>
                      <w:sz w:val="21"/>
                      <w:szCs w:val="21"/>
                    </w:rPr>
                    <w:t>kg/h</w:t>
                  </w:r>
                </w:p>
              </w:tc>
              <w:tc>
                <w:tcPr>
                  <w:tcW w:w="2673" w:type="dxa"/>
                  <w:vMerge w:val="continue"/>
                  <w:noWrap w:val="0"/>
                  <w:vAlign w:val="center"/>
                </w:tcPr>
                <w:p w14:paraId="65A695E6">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rPr>
                  </w:pPr>
                </w:p>
              </w:tc>
            </w:tr>
            <w:tr w14:paraId="453785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8" w:type="dxa"/>
                  <w:vMerge w:val="restart"/>
                  <w:noWrap w:val="0"/>
                  <w:vAlign w:val="center"/>
                </w:tcPr>
                <w:p w14:paraId="09D8A46E">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苯并[a]芘</w:t>
                  </w:r>
                </w:p>
              </w:tc>
              <w:tc>
                <w:tcPr>
                  <w:tcW w:w="1503" w:type="dxa"/>
                  <w:vMerge w:val="restart"/>
                  <w:noWrap w:val="0"/>
                  <w:vAlign w:val="center"/>
                </w:tcPr>
                <w:p w14:paraId="58F58CE6">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0.3×10</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rPr>
                    <w:t>mg/</w:t>
                  </w:r>
                  <w:r>
                    <w:rPr>
                      <w:rFonts w:hint="default" w:ascii="Times New Roman" w:hAnsi="Times New Roman" w:eastAsia="宋体" w:cs="Times New Roman"/>
                      <w:sz w:val="21"/>
                      <w:szCs w:val="21"/>
                      <w:vertAlign w:val="baseline"/>
                      <w:lang w:eastAsia="zh-CN"/>
                    </w:rPr>
                    <w:t>m</w:t>
                  </w:r>
                  <w:r>
                    <w:rPr>
                      <w:rFonts w:hint="default" w:ascii="Times New Roman" w:hAnsi="Times New Roman" w:eastAsia="宋体" w:cs="Times New Roman"/>
                      <w:sz w:val="21"/>
                      <w:szCs w:val="21"/>
                      <w:vertAlign w:val="superscript"/>
                      <w:lang w:eastAsia="zh-CN"/>
                    </w:rPr>
                    <w:t>3</w:t>
                  </w:r>
                </w:p>
              </w:tc>
              <w:tc>
                <w:tcPr>
                  <w:tcW w:w="1300" w:type="dxa"/>
                  <w:shd w:val="clear" w:color="auto" w:fill="auto"/>
                  <w:noWrap w:val="0"/>
                  <w:vAlign w:val="center"/>
                </w:tcPr>
                <w:p w14:paraId="5909F097">
                  <w:pPr>
                    <w:pStyle w:val="106"/>
                    <w:keepNext w:val="0"/>
                    <w:keepLines w:val="0"/>
                    <w:pageBreakBefore w:val="0"/>
                    <w:widowControl w:val="0"/>
                    <w:kinsoku/>
                    <w:wordWrap/>
                    <w:overflowPunct/>
                    <w:topLinePunct w:val="0"/>
                    <w:autoSpaceDE w:val="0"/>
                    <w:autoSpaceDN w:val="0"/>
                    <w:bidi w:val="0"/>
                    <w:adjustRightInd/>
                    <w:snapToGrid/>
                    <w:spacing w:line="240" w:lineRule="exact"/>
                    <w:ind w:left="0" w:leftChars="0" w:firstLine="0" w:firstLineChars="0"/>
                    <w:jc w:val="center"/>
                    <w:textAlignment w:val="bottom"/>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val="en-US" w:eastAsia="zh-CN"/>
                    </w:rPr>
                    <w:t>20m</w:t>
                  </w:r>
                </w:p>
              </w:tc>
              <w:tc>
                <w:tcPr>
                  <w:tcW w:w="1625" w:type="dxa"/>
                  <w:noWrap w:val="0"/>
                  <w:vAlign w:val="center"/>
                </w:tcPr>
                <w:p w14:paraId="4E87BFA6">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0.085×10</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rPr>
                    <w:t>kg/h</w:t>
                  </w:r>
                </w:p>
              </w:tc>
              <w:tc>
                <w:tcPr>
                  <w:tcW w:w="2673" w:type="dxa"/>
                  <w:vMerge w:val="restart"/>
                  <w:noWrap w:val="0"/>
                  <w:vAlign w:val="center"/>
                </w:tcPr>
                <w:p w14:paraId="7F8EECEE">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0.008μg/m</w:t>
                  </w:r>
                  <w:r>
                    <w:rPr>
                      <w:rFonts w:hint="default" w:ascii="Times New Roman" w:hAnsi="Times New Roman" w:eastAsia="宋体" w:cs="Times New Roman"/>
                      <w:sz w:val="21"/>
                      <w:szCs w:val="21"/>
                      <w:vertAlign w:val="superscript"/>
                      <w:lang w:val="en-US" w:eastAsia="zh-CN"/>
                    </w:rPr>
                    <w:t>3</w:t>
                  </w:r>
                </w:p>
              </w:tc>
            </w:tr>
            <w:tr w14:paraId="5831C3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8" w:type="dxa"/>
                  <w:vMerge w:val="continue"/>
                  <w:noWrap w:val="0"/>
                  <w:vAlign w:val="center"/>
                </w:tcPr>
                <w:p w14:paraId="70BC965F">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rPr>
                  </w:pPr>
                </w:p>
              </w:tc>
              <w:tc>
                <w:tcPr>
                  <w:tcW w:w="1503" w:type="dxa"/>
                  <w:vMerge w:val="continue"/>
                  <w:noWrap w:val="0"/>
                  <w:vAlign w:val="center"/>
                </w:tcPr>
                <w:p w14:paraId="3CFDBF7D">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lang w:val="en-US" w:eastAsia="zh-CN"/>
                    </w:rPr>
                  </w:pPr>
                </w:p>
              </w:tc>
              <w:tc>
                <w:tcPr>
                  <w:tcW w:w="1300" w:type="dxa"/>
                  <w:shd w:val="clear" w:color="auto" w:fill="auto"/>
                  <w:noWrap w:val="0"/>
                  <w:vAlign w:val="center"/>
                </w:tcPr>
                <w:p w14:paraId="2E585AA0">
                  <w:pPr>
                    <w:pStyle w:val="106"/>
                    <w:keepNext w:val="0"/>
                    <w:keepLines w:val="0"/>
                    <w:pageBreakBefore w:val="0"/>
                    <w:widowControl w:val="0"/>
                    <w:kinsoku/>
                    <w:wordWrap/>
                    <w:overflowPunct/>
                    <w:topLinePunct w:val="0"/>
                    <w:autoSpaceDE w:val="0"/>
                    <w:autoSpaceDN w:val="0"/>
                    <w:bidi w:val="0"/>
                    <w:adjustRightInd/>
                    <w:snapToGrid/>
                    <w:spacing w:line="240" w:lineRule="exact"/>
                    <w:ind w:left="0" w:leftChars="0" w:firstLine="0" w:firstLineChars="0"/>
                    <w:jc w:val="center"/>
                    <w:textAlignment w:val="bottom"/>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22m</w:t>
                  </w:r>
                </w:p>
              </w:tc>
              <w:tc>
                <w:tcPr>
                  <w:tcW w:w="1625" w:type="dxa"/>
                  <w:noWrap w:val="0"/>
                  <w:vAlign w:val="center"/>
                </w:tcPr>
                <w:p w14:paraId="2DB65557">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0.126</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rPr>
                    <w:t>kg/h</w:t>
                  </w:r>
                </w:p>
              </w:tc>
              <w:tc>
                <w:tcPr>
                  <w:tcW w:w="2673" w:type="dxa"/>
                  <w:vMerge w:val="continue"/>
                  <w:noWrap w:val="0"/>
                  <w:vAlign w:val="center"/>
                </w:tcPr>
                <w:p w14:paraId="488BEB5E">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lang w:val="en-US" w:eastAsia="zh-CN"/>
                    </w:rPr>
                  </w:pPr>
                </w:p>
              </w:tc>
            </w:tr>
            <w:tr w14:paraId="22BB6D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8" w:type="dxa"/>
                  <w:vMerge w:val="continue"/>
                  <w:noWrap w:val="0"/>
                  <w:vAlign w:val="center"/>
                </w:tcPr>
                <w:p w14:paraId="0E38C649">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rPr>
                  </w:pPr>
                </w:p>
              </w:tc>
              <w:tc>
                <w:tcPr>
                  <w:tcW w:w="1503" w:type="dxa"/>
                  <w:vMerge w:val="continue"/>
                  <w:noWrap w:val="0"/>
                  <w:vAlign w:val="center"/>
                </w:tcPr>
                <w:p w14:paraId="7F31C751">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rPr>
                  </w:pPr>
                </w:p>
              </w:tc>
              <w:tc>
                <w:tcPr>
                  <w:tcW w:w="1300" w:type="dxa"/>
                  <w:shd w:val="clear" w:color="auto" w:fill="auto"/>
                  <w:noWrap w:val="0"/>
                  <w:vAlign w:val="center"/>
                </w:tcPr>
                <w:p w14:paraId="31921F67">
                  <w:pPr>
                    <w:pStyle w:val="106"/>
                    <w:keepNext w:val="0"/>
                    <w:keepLines w:val="0"/>
                    <w:pageBreakBefore w:val="0"/>
                    <w:widowControl w:val="0"/>
                    <w:kinsoku/>
                    <w:wordWrap/>
                    <w:overflowPunct/>
                    <w:topLinePunct w:val="0"/>
                    <w:autoSpaceDE w:val="0"/>
                    <w:autoSpaceDN w:val="0"/>
                    <w:bidi w:val="0"/>
                    <w:adjustRightInd/>
                    <w:snapToGrid/>
                    <w:spacing w:line="240" w:lineRule="exact"/>
                    <w:ind w:left="0" w:leftChars="0" w:firstLine="0" w:firstLineChars="0"/>
                    <w:jc w:val="center"/>
                    <w:textAlignment w:val="bottom"/>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val="en-US" w:eastAsia="zh-CN"/>
                    </w:rPr>
                    <w:t>30m</w:t>
                  </w:r>
                </w:p>
              </w:tc>
              <w:tc>
                <w:tcPr>
                  <w:tcW w:w="1625" w:type="dxa"/>
                  <w:noWrap w:val="0"/>
                  <w:vAlign w:val="center"/>
                </w:tcPr>
                <w:p w14:paraId="56545BFB">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0.29×10</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rPr>
                    <w:t>kg/h</w:t>
                  </w:r>
                </w:p>
              </w:tc>
              <w:tc>
                <w:tcPr>
                  <w:tcW w:w="2673" w:type="dxa"/>
                  <w:vMerge w:val="continue"/>
                  <w:noWrap w:val="0"/>
                  <w:vAlign w:val="center"/>
                </w:tcPr>
                <w:p w14:paraId="126EA84F">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rPr>
                  </w:pPr>
                </w:p>
              </w:tc>
            </w:tr>
            <w:tr w14:paraId="6F8CD9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8" w:type="dxa"/>
                  <w:noWrap w:val="0"/>
                  <w:vAlign w:val="center"/>
                </w:tcPr>
                <w:p w14:paraId="1EA77CA4">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氮氧化物</w:t>
                  </w:r>
                </w:p>
              </w:tc>
              <w:tc>
                <w:tcPr>
                  <w:tcW w:w="1503" w:type="dxa"/>
                  <w:noWrap w:val="0"/>
                  <w:vAlign w:val="center"/>
                </w:tcPr>
                <w:p w14:paraId="04CB3B6D">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300" w:type="dxa"/>
                  <w:shd w:val="clear" w:color="auto" w:fill="auto"/>
                  <w:noWrap w:val="0"/>
                  <w:vAlign w:val="center"/>
                </w:tcPr>
                <w:p w14:paraId="53BA1802">
                  <w:pPr>
                    <w:pStyle w:val="106"/>
                    <w:keepNext w:val="0"/>
                    <w:keepLines w:val="0"/>
                    <w:pageBreakBefore w:val="0"/>
                    <w:widowControl w:val="0"/>
                    <w:kinsoku/>
                    <w:wordWrap/>
                    <w:overflowPunct/>
                    <w:topLinePunct w:val="0"/>
                    <w:autoSpaceDE w:val="0"/>
                    <w:autoSpaceDN w:val="0"/>
                    <w:bidi w:val="0"/>
                    <w:adjustRightInd/>
                    <w:snapToGrid/>
                    <w:spacing w:line="240" w:lineRule="exact"/>
                    <w:ind w:left="0" w:leftChars="0" w:firstLine="0" w:firstLineChars="0"/>
                    <w:jc w:val="center"/>
                    <w:textAlignment w:val="bottom"/>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625" w:type="dxa"/>
                  <w:noWrap w:val="0"/>
                  <w:vAlign w:val="center"/>
                </w:tcPr>
                <w:p w14:paraId="14DF1423">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2673" w:type="dxa"/>
                  <w:noWrap w:val="0"/>
                  <w:vAlign w:val="center"/>
                </w:tcPr>
                <w:p w14:paraId="37B0673E">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0.12</w:t>
                  </w:r>
                  <w:r>
                    <w:rPr>
                      <w:rFonts w:hint="default" w:ascii="Times New Roman" w:hAnsi="Times New Roman" w:eastAsia="宋体" w:cs="Times New Roman"/>
                      <w:sz w:val="21"/>
                      <w:szCs w:val="21"/>
                    </w:rPr>
                    <w:t>mg/</w:t>
                  </w:r>
                  <w:r>
                    <w:rPr>
                      <w:rFonts w:hint="default" w:ascii="Times New Roman" w:hAnsi="Times New Roman" w:eastAsia="宋体" w:cs="Times New Roman"/>
                      <w:sz w:val="21"/>
                      <w:szCs w:val="21"/>
                      <w:vertAlign w:val="baseline"/>
                      <w:lang w:eastAsia="zh-CN"/>
                    </w:rPr>
                    <w:t>m</w:t>
                  </w:r>
                  <w:r>
                    <w:rPr>
                      <w:rFonts w:hint="default" w:ascii="Times New Roman" w:hAnsi="Times New Roman" w:eastAsia="宋体" w:cs="Times New Roman"/>
                      <w:sz w:val="21"/>
                      <w:szCs w:val="21"/>
                      <w:vertAlign w:val="superscript"/>
                      <w:lang w:val="en-US" w:eastAsia="zh-CN"/>
                    </w:rPr>
                    <w:t>3</w:t>
                  </w:r>
                </w:p>
              </w:tc>
            </w:tr>
            <w:tr w14:paraId="66E502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8" w:type="dxa"/>
                  <w:noWrap w:val="0"/>
                  <w:vAlign w:val="center"/>
                </w:tcPr>
                <w:p w14:paraId="21C42C92">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二氧化硫</w:t>
                  </w:r>
                </w:p>
              </w:tc>
              <w:tc>
                <w:tcPr>
                  <w:tcW w:w="1503" w:type="dxa"/>
                  <w:noWrap w:val="0"/>
                  <w:vAlign w:val="center"/>
                </w:tcPr>
                <w:p w14:paraId="6DDED2EF">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300" w:type="dxa"/>
                  <w:shd w:val="clear" w:color="auto" w:fill="auto"/>
                  <w:noWrap w:val="0"/>
                  <w:vAlign w:val="center"/>
                </w:tcPr>
                <w:p w14:paraId="0C5D38D9">
                  <w:pPr>
                    <w:pStyle w:val="106"/>
                    <w:keepNext w:val="0"/>
                    <w:keepLines w:val="0"/>
                    <w:pageBreakBefore w:val="0"/>
                    <w:widowControl w:val="0"/>
                    <w:kinsoku/>
                    <w:wordWrap/>
                    <w:overflowPunct/>
                    <w:topLinePunct w:val="0"/>
                    <w:autoSpaceDE w:val="0"/>
                    <w:autoSpaceDN w:val="0"/>
                    <w:bidi w:val="0"/>
                    <w:adjustRightInd/>
                    <w:snapToGrid/>
                    <w:spacing w:line="240" w:lineRule="exact"/>
                    <w:ind w:left="0" w:leftChars="0" w:firstLine="0" w:firstLineChars="0"/>
                    <w:jc w:val="center"/>
                    <w:textAlignment w:val="bottom"/>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625" w:type="dxa"/>
                  <w:noWrap w:val="0"/>
                  <w:vAlign w:val="center"/>
                </w:tcPr>
                <w:p w14:paraId="5CE8FC62">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2673" w:type="dxa"/>
                  <w:noWrap w:val="0"/>
                  <w:vAlign w:val="center"/>
                </w:tcPr>
                <w:p w14:paraId="680A8241">
                  <w:pPr>
                    <w:pStyle w:val="106"/>
                    <w:keepNext w:val="0"/>
                    <w:keepLines w:val="0"/>
                    <w:pageBreakBefore w:val="0"/>
                    <w:widowControl w:val="0"/>
                    <w:kinsoku/>
                    <w:wordWrap/>
                    <w:overflowPunct/>
                    <w:topLinePunct w:val="0"/>
                    <w:autoSpaceDE w:val="0"/>
                    <w:autoSpaceDN w:val="0"/>
                    <w:bidi w:val="0"/>
                    <w:adjustRightInd/>
                    <w:snapToGrid/>
                    <w:spacing w:line="240" w:lineRule="exact"/>
                    <w:jc w:val="center"/>
                    <w:textAlignment w:val="bottom"/>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0.40</w:t>
                  </w:r>
                  <w:r>
                    <w:rPr>
                      <w:rFonts w:hint="default" w:ascii="Times New Roman" w:hAnsi="Times New Roman" w:eastAsia="宋体" w:cs="Times New Roman"/>
                      <w:sz w:val="21"/>
                      <w:szCs w:val="21"/>
                    </w:rPr>
                    <w:t>mg/</w:t>
                  </w:r>
                  <w:r>
                    <w:rPr>
                      <w:rFonts w:hint="default" w:ascii="Times New Roman" w:hAnsi="Times New Roman" w:eastAsia="宋体" w:cs="Times New Roman"/>
                      <w:sz w:val="21"/>
                      <w:szCs w:val="21"/>
                      <w:vertAlign w:val="baseline"/>
                      <w:lang w:eastAsia="zh-CN"/>
                    </w:rPr>
                    <w:t>m</w:t>
                  </w:r>
                  <w:r>
                    <w:rPr>
                      <w:rFonts w:hint="default" w:ascii="Times New Roman" w:hAnsi="Times New Roman" w:eastAsia="宋体" w:cs="Times New Roman"/>
                      <w:sz w:val="21"/>
                      <w:szCs w:val="21"/>
                      <w:vertAlign w:val="superscript"/>
                      <w:lang w:val="en-US" w:eastAsia="zh-CN"/>
                    </w:rPr>
                    <w:t>3</w:t>
                  </w:r>
                </w:p>
              </w:tc>
            </w:tr>
          </w:tbl>
          <w:p w14:paraId="3E2BA2DE">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sz w:val="21"/>
                <w:szCs w:val="21"/>
              </w:rPr>
            </w:pPr>
          </w:p>
          <w:p w14:paraId="735E13B3">
            <w:pPr>
              <w:numPr>
                <w:ilvl w:val="0"/>
                <w:numId w:val="5"/>
              </w:numPr>
              <w:ind w:left="0" w:firstLine="0"/>
              <w:jc w:val="center"/>
              <w:rPr>
                <w:rFonts w:ascii="Times New Roman" w:hAnsi="Times New Roman" w:eastAsia="宋体" w:cs="Times New Roman"/>
                <w:b/>
                <w:bCs/>
                <w:szCs w:val="22"/>
              </w:rPr>
            </w:pPr>
            <w:r>
              <w:rPr>
                <w:rFonts w:hint="eastAsia" w:ascii="Times New Roman" w:hAnsi="Times New Roman" w:eastAsia="宋体" w:cs="Times New Roman"/>
                <w:b/>
                <w:bCs/>
                <w:szCs w:val="22"/>
                <w:lang w:val="zh-CN"/>
              </w:rPr>
              <w:t>《四川省固定污染源大气挥发性有机物排放标准》（DB51/2377-2017）</w:t>
            </w:r>
          </w:p>
          <w:tbl>
            <w:tblPr>
              <w:tblStyle w:val="26"/>
              <w:tblW w:w="81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1174"/>
              <w:gridCol w:w="1715"/>
              <w:gridCol w:w="1791"/>
              <w:gridCol w:w="2343"/>
            </w:tblGrid>
            <w:tr w14:paraId="522F53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5" w:type="dxa"/>
                  <w:noWrap w:val="0"/>
                  <w:vAlign w:val="center"/>
                </w:tcPr>
                <w:p w14:paraId="676F8D1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aps/>
                      <w:sz w:val="21"/>
                      <w:szCs w:val="21"/>
                    </w:rPr>
                  </w:pPr>
                  <w:r>
                    <w:rPr>
                      <w:rFonts w:hint="default" w:ascii="Times New Roman" w:hAnsi="Times New Roman" w:eastAsia="宋体" w:cs="Times New Roman"/>
                      <w:caps/>
                      <w:sz w:val="21"/>
                      <w:szCs w:val="21"/>
                    </w:rPr>
                    <w:t>污染物</w:t>
                  </w:r>
                </w:p>
              </w:tc>
              <w:tc>
                <w:tcPr>
                  <w:tcW w:w="1174" w:type="dxa"/>
                  <w:noWrap w:val="0"/>
                  <w:vAlign w:val="center"/>
                </w:tcPr>
                <w:p w14:paraId="65BF3BAB">
                  <w:pPr>
                    <w:keepNext w:val="0"/>
                    <w:keepLines w:val="0"/>
                    <w:pageBreakBefore w:val="0"/>
                    <w:widowControl w:val="0"/>
                    <w:tabs>
                      <w:tab w:val="left" w:pos="600"/>
                    </w:tabs>
                    <w:kinsoku/>
                    <w:wordWrap/>
                    <w:overflowPunct/>
                    <w:topLinePunct w:val="0"/>
                    <w:bidi w:val="0"/>
                    <w:adjustRightInd/>
                    <w:snapToGrid/>
                    <w:spacing w:line="240" w:lineRule="exact"/>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排气筒高度（m）</w:t>
                  </w:r>
                </w:p>
              </w:tc>
              <w:tc>
                <w:tcPr>
                  <w:tcW w:w="1715" w:type="dxa"/>
                  <w:noWrap w:val="0"/>
                  <w:vAlign w:val="center"/>
                </w:tcPr>
                <w:p w14:paraId="7B28C4F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最高允许排放浓度（mg/m</w:t>
                  </w:r>
                  <w:r>
                    <w:rPr>
                      <w:rFonts w:hint="eastAsia" w:ascii="Times New Roman" w:hAnsi="Times New Roman" w:eastAsia="宋体" w:cs="Times New Roman"/>
                      <w:spacing w:val="-4"/>
                      <w:sz w:val="21"/>
                      <w:szCs w:val="21"/>
                      <w:vertAlign w:val="superscript"/>
                      <w:lang w:val="en-US" w:eastAsia="zh-CN"/>
                    </w:rPr>
                    <w:t>3</w:t>
                  </w:r>
                  <w:r>
                    <w:rPr>
                      <w:rFonts w:hint="eastAsia" w:ascii="Times New Roman" w:hAnsi="Times New Roman" w:eastAsia="宋体" w:cs="Times New Roman"/>
                      <w:spacing w:val="-4"/>
                      <w:sz w:val="21"/>
                      <w:szCs w:val="21"/>
                      <w:lang w:val="en-US" w:eastAsia="zh-CN"/>
                    </w:rPr>
                    <w:t>）——涉及有机溶剂生产和使用的其它行业</w:t>
                  </w:r>
                </w:p>
              </w:tc>
              <w:tc>
                <w:tcPr>
                  <w:tcW w:w="1791" w:type="dxa"/>
                  <w:noWrap w:val="0"/>
                  <w:vAlign w:val="center"/>
                </w:tcPr>
                <w:p w14:paraId="4AA07A6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aps/>
                      <w:spacing w:val="-4"/>
                      <w:sz w:val="21"/>
                      <w:szCs w:val="21"/>
                    </w:rPr>
                  </w:pPr>
                  <w:r>
                    <w:rPr>
                      <w:rFonts w:hint="eastAsia" w:ascii="Times New Roman" w:hAnsi="Times New Roman" w:eastAsia="宋体" w:cs="Times New Roman"/>
                      <w:spacing w:val="-4"/>
                      <w:sz w:val="21"/>
                      <w:szCs w:val="21"/>
                      <w:lang w:val="en-US" w:eastAsia="zh-CN"/>
                    </w:rPr>
                    <w:t>排放量</w:t>
                  </w:r>
                  <w:r>
                    <w:rPr>
                      <w:rFonts w:hint="default" w:ascii="Times New Roman" w:hAnsi="Times New Roman" w:eastAsia="宋体" w:cs="Times New Roman"/>
                      <w:spacing w:val="-4"/>
                      <w:sz w:val="21"/>
                      <w:szCs w:val="21"/>
                    </w:rPr>
                    <w:t>（kg/h）</w:t>
                  </w:r>
                </w:p>
              </w:tc>
              <w:tc>
                <w:tcPr>
                  <w:tcW w:w="2343" w:type="dxa"/>
                  <w:noWrap w:val="0"/>
                  <w:vAlign w:val="center"/>
                </w:tcPr>
                <w:p w14:paraId="04548B9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aps/>
                      <w:sz w:val="21"/>
                      <w:szCs w:val="21"/>
                    </w:rPr>
                  </w:pPr>
                  <w:r>
                    <w:rPr>
                      <w:rFonts w:hint="eastAsia" w:ascii="Times New Roman" w:hAnsi="Times New Roman" w:eastAsia="宋体" w:cs="Times New Roman"/>
                      <w:caps/>
                      <w:sz w:val="21"/>
                      <w:szCs w:val="21"/>
                      <w:lang w:val="en-US" w:eastAsia="zh-CN"/>
                    </w:rPr>
                    <w:t>厂界外</w:t>
                  </w:r>
                  <w:r>
                    <w:rPr>
                      <w:rFonts w:hint="default" w:ascii="Times New Roman" w:hAnsi="Times New Roman" w:eastAsia="宋体" w:cs="Times New Roman"/>
                      <w:caps/>
                      <w:sz w:val="21"/>
                      <w:szCs w:val="21"/>
                    </w:rPr>
                    <w:t>无组织排放监控浓度限值</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r>
            <w:tr w14:paraId="5F321B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095" w:type="dxa"/>
                  <w:vMerge w:val="restart"/>
                  <w:noWrap w:val="0"/>
                  <w:vAlign w:val="center"/>
                </w:tcPr>
                <w:p w14:paraId="6652FD8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VOCs</w:t>
                  </w:r>
                </w:p>
              </w:tc>
              <w:tc>
                <w:tcPr>
                  <w:tcW w:w="1174" w:type="dxa"/>
                  <w:noWrap w:val="0"/>
                  <w:vAlign w:val="center"/>
                </w:tcPr>
                <w:p w14:paraId="3ED88B0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20</w:t>
                  </w:r>
                </w:p>
              </w:tc>
              <w:tc>
                <w:tcPr>
                  <w:tcW w:w="1715" w:type="dxa"/>
                  <w:vMerge w:val="restart"/>
                  <w:noWrap w:val="0"/>
                  <w:vAlign w:val="center"/>
                </w:tcPr>
                <w:p w14:paraId="003DD32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60</w:t>
                  </w:r>
                </w:p>
              </w:tc>
              <w:tc>
                <w:tcPr>
                  <w:tcW w:w="1791" w:type="dxa"/>
                  <w:noWrap w:val="0"/>
                  <w:vAlign w:val="center"/>
                </w:tcPr>
                <w:p w14:paraId="3DE067B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6.8</w:t>
                  </w:r>
                </w:p>
              </w:tc>
              <w:tc>
                <w:tcPr>
                  <w:tcW w:w="2343" w:type="dxa"/>
                  <w:vMerge w:val="restart"/>
                  <w:noWrap w:val="0"/>
                  <w:vAlign w:val="center"/>
                </w:tcPr>
                <w:p w14:paraId="79E9904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2.0</w:t>
                  </w:r>
                </w:p>
              </w:tc>
            </w:tr>
            <w:tr w14:paraId="5D71A5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095" w:type="dxa"/>
                  <w:vMerge w:val="continue"/>
                  <w:noWrap w:val="0"/>
                  <w:vAlign w:val="center"/>
                </w:tcPr>
                <w:p w14:paraId="03E22D8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Cs/>
                      <w:sz w:val="21"/>
                      <w:szCs w:val="21"/>
                      <w:lang w:val="en-US" w:eastAsia="zh-CN"/>
                    </w:rPr>
                  </w:pPr>
                </w:p>
              </w:tc>
              <w:tc>
                <w:tcPr>
                  <w:tcW w:w="1174" w:type="dxa"/>
                  <w:noWrap w:val="0"/>
                  <w:vAlign w:val="center"/>
                </w:tcPr>
                <w:p w14:paraId="470A0FC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cs="Times New Roman"/>
                      <w:bCs/>
                      <w:sz w:val="21"/>
                      <w:szCs w:val="21"/>
                      <w:lang w:val="en-US" w:eastAsia="zh-CN"/>
                    </w:rPr>
                  </w:pPr>
                  <w:r>
                    <w:rPr>
                      <w:rFonts w:hint="eastAsia" w:cs="Times New Roman"/>
                      <w:bCs/>
                      <w:sz w:val="21"/>
                      <w:szCs w:val="21"/>
                      <w:lang w:val="en-US" w:eastAsia="zh-CN"/>
                    </w:rPr>
                    <w:t>22</w:t>
                  </w:r>
                </w:p>
              </w:tc>
              <w:tc>
                <w:tcPr>
                  <w:tcW w:w="1715" w:type="dxa"/>
                  <w:vMerge w:val="continue"/>
                  <w:noWrap w:val="0"/>
                  <w:vAlign w:val="center"/>
                </w:tcPr>
                <w:p w14:paraId="3A6B69A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Cs/>
                      <w:sz w:val="21"/>
                      <w:szCs w:val="21"/>
                      <w:lang w:val="en-US" w:eastAsia="zh-CN"/>
                    </w:rPr>
                  </w:pPr>
                </w:p>
              </w:tc>
              <w:tc>
                <w:tcPr>
                  <w:tcW w:w="1791" w:type="dxa"/>
                  <w:noWrap w:val="0"/>
                  <w:vAlign w:val="center"/>
                </w:tcPr>
                <w:p w14:paraId="284BBEA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cs="Times New Roman"/>
                      <w:bCs/>
                      <w:sz w:val="21"/>
                      <w:szCs w:val="21"/>
                      <w:lang w:val="en-US" w:eastAsia="zh-CN"/>
                    </w:rPr>
                  </w:pPr>
                  <w:r>
                    <w:rPr>
                      <w:rFonts w:hint="eastAsia" w:cs="Times New Roman"/>
                      <w:bCs/>
                      <w:sz w:val="21"/>
                      <w:szCs w:val="21"/>
                      <w:lang w:val="en-US" w:eastAsia="zh-CN"/>
                    </w:rPr>
                    <w:t>9.44</w:t>
                  </w:r>
                </w:p>
              </w:tc>
              <w:tc>
                <w:tcPr>
                  <w:tcW w:w="2343" w:type="dxa"/>
                  <w:vMerge w:val="continue"/>
                  <w:noWrap w:val="0"/>
                  <w:vAlign w:val="center"/>
                </w:tcPr>
                <w:p w14:paraId="16DBEDF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Cs/>
                      <w:sz w:val="21"/>
                      <w:szCs w:val="21"/>
                      <w:lang w:val="en-US" w:eastAsia="zh-CN"/>
                    </w:rPr>
                  </w:pPr>
                </w:p>
              </w:tc>
            </w:tr>
            <w:tr w14:paraId="6885F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095" w:type="dxa"/>
                  <w:vMerge w:val="continue"/>
                  <w:noWrap w:val="0"/>
                  <w:vAlign w:val="center"/>
                </w:tcPr>
                <w:p w14:paraId="3930C85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Cs/>
                      <w:sz w:val="21"/>
                      <w:szCs w:val="21"/>
                      <w:lang w:val="en-US" w:eastAsia="zh-CN"/>
                    </w:rPr>
                  </w:pPr>
                </w:p>
              </w:tc>
              <w:tc>
                <w:tcPr>
                  <w:tcW w:w="1174" w:type="dxa"/>
                  <w:noWrap w:val="0"/>
                  <w:vAlign w:val="center"/>
                </w:tcPr>
                <w:p w14:paraId="37733C0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30</w:t>
                  </w:r>
                </w:p>
              </w:tc>
              <w:tc>
                <w:tcPr>
                  <w:tcW w:w="1715" w:type="dxa"/>
                  <w:vMerge w:val="continue"/>
                  <w:noWrap w:val="0"/>
                  <w:vAlign w:val="center"/>
                </w:tcPr>
                <w:p w14:paraId="130D509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Cs/>
                      <w:sz w:val="21"/>
                      <w:szCs w:val="21"/>
                      <w:lang w:val="en-US" w:eastAsia="zh-CN"/>
                    </w:rPr>
                  </w:pPr>
                </w:p>
              </w:tc>
              <w:tc>
                <w:tcPr>
                  <w:tcW w:w="1791" w:type="dxa"/>
                  <w:noWrap w:val="0"/>
                  <w:vAlign w:val="center"/>
                </w:tcPr>
                <w:p w14:paraId="4C05010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20</w:t>
                  </w:r>
                </w:p>
              </w:tc>
              <w:tc>
                <w:tcPr>
                  <w:tcW w:w="2343" w:type="dxa"/>
                  <w:vMerge w:val="continue"/>
                  <w:noWrap w:val="0"/>
                  <w:vAlign w:val="center"/>
                </w:tcPr>
                <w:p w14:paraId="1636513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Cs/>
                      <w:sz w:val="21"/>
                      <w:szCs w:val="21"/>
                      <w:lang w:val="en-US" w:eastAsia="zh-CN"/>
                    </w:rPr>
                  </w:pPr>
                </w:p>
              </w:tc>
            </w:tr>
          </w:tbl>
          <w:p w14:paraId="4CB99E3C">
            <w:pPr>
              <w:pStyle w:val="2"/>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jc w:val="center"/>
              <w:textAlignment w:val="auto"/>
              <w:rPr>
                <w:sz w:val="21"/>
                <w:szCs w:val="21"/>
              </w:rPr>
            </w:pPr>
          </w:p>
          <w:p w14:paraId="3A03B12F">
            <w:pPr>
              <w:numPr>
                <w:ilvl w:val="0"/>
                <w:numId w:val="5"/>
              </w:numPr>
              <w:ind w:left="0" w:firstLine="0"/>
              <w:jc w:val="center"/>
              <w:rPr>
                <w:rFonts w:hint="eastAsia"/>
                <w:b/>
                <w:bCs/>
                <w:color w:val="auto"/>
                <w:szCs w:val="22"/>
                <w:lang w:val="zh-CN"/>
              </w:rPr>
            </w:pPr>
            <w:r>
              <w:rPr>
                <w:rFonts w:hint="eastAsia"/>
                <w:b/>
                <w:bCs/>
                <w:color w:val="auto"/>
                <w:szCs w:val="22"/>
                <w:lang w:val="en-US" w:eastAsia="zh-CN"/>
              </w:rPr>
              <w:t>《四川省大气污染物工程减量指导意见（2023-2025年）》（川污防攻坚办【2023】15号）</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923"/>
              <w:gridCol w:w="3096"/>
              <w:gridCol w:w="3040"/>
            </w:tblGrid>
            <w:tr w14:paraId="53321E5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923" w:type="dxa"/>
                  <w:noWrap w:val="0"/>
                  <w:vAlign w:val="center"/>
                </w:tcPr>
                <w:p w14:paraId="75D81E19">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污染物</w:t>
                  </w:r>
                </w:p>
              </w:tc>
              <w:tc>
                <w:tcPr>
                  <w:tcW w:w="3096" w:type="dxa"/>
                  <w:noWrap w:val="0"/>
                  <w:vAlign w:val="center"/>
                </w:tcPr>
                <w:p w14:paraId="28F34EAC">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最高允许排放浓度mg/m</w:t>
                  </w:r>
                  <w:r>
                    <w:rPr>
                      <w:rFonts w:hint="eastAsia" w:ascii="Times New Roman" w:hAnsi="Times New Roman" w:eastAsia="宋体" w:cs="Times New Roman"/>
                      <w:color w:val="auto"/>
                      <w:sz w:val="21"/>
                      <w:szCs w:val="21"/>
                      <w:vertAlign w:val="superscript"/>
                      <w:lang w:val="en-US" w:eastAsia="zh-CN"/>
                    </w:rPr>
                    <w:t>3</w:t>
                  </w:r>
                </w:p>
              </w:tc>
              <w:tc>
                <w:tcPr>
                  <w:tcW w:w="3040" w:type="dxa"/>
                  <w:noWrap w:val="0"/>
                  <w:vAlign w:val="center"/>
                </w:tcPr>
                <w:p w14:paraId="2488C875">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污染物排放监控位置</w:t>
                  </w:r>
                </w:p>
              </w:tc>
            </w:tr>
            <w:tr w14:paraId="510D2AB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923" w:type="dxa"/>
                  <w:noWrap w:val="0"/>
                  <w:vAlign w:val="center"/>
                </w:tcPr>
                <w:p w14:paraId="5764BC2F">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3096" w:type="dxa"/>
                  <w:noWrap w:val="0"/>
                  <w:vAlign w:val="center"/>
                </w:tcPr>
                <w:p w14:paraId="3F0E1D18">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3040" w:type="dxa"/>
                  <w:vMerge w:val="restart"/>
                  <w:noWrap w:val="0"/>
                  <w:vAlign w:val="center"/>
                </w:tcPr>
                <w:p w14:paraId="48334F93">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烟囱排放口</w:t>
                  </w:r>
                </w:p>
              </w:tc>
            </w:tr>
            <w:tr w14:paraId="2F3D1DF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923" w:type="dxa"/>
                  <w:noWrap w:val="0"/>
                  <w:vAlign w:val="center"/>
                </w:tcPr>
                <w:p w14:paraId="01416E7D">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氮氧化物</w:t>
                  </w:r>
                </w:p>
              </w:tc>
              <w:tc>
                <w:tcPr>
                  <w:tcW w:w="3096" w:type="dxa"/>
                  <w:noWrap w:val="0"/>
                  <w:vAlign w:val="center"/>
                </w:tcPr>
                <w:p w14:paraId="5B722F86">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3040" w:type="dxa"/>
                  <w:vMerge w:val="continue"/>
                  <w:noWrap w:val="0"/>
                  <w:vAlign w:val="center"/>
                </w:tcPr>
                <w:p w14:paraId="59CF50FB">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7963FAF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923" w:type="dxa"/>
                  <w:noWrap w:val="0"/>
                  <w:vAlign w:val="center"/>
                </w:tcPr>
                <w:p w14:paraId="0CFF8242">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二氧化硫</w:t>
                  </w:r>
                </w:p>
              </w:tc>
              <w:tc>
                <w:tcPr>
                  <w:tcW w:w="3096" w:type="dxa"/>
                  <w:noWrap w:val="0"/>
                  <w:vAlign w:val="center"/>
                </w:tcPr>
                <w:p w14:paraId="523A25A2">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c>
                <w:tcPr>
                  <w:tcW w:w="3040" w:type="dxa"/>
                  <w:vMerge w:val="continue"/>
                  <w:noWrap w:val="0"/>
                  <w:vAlign w:val="center"/>
                </w:tcPr>
                <w:p w14:paraId="1C311600">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lang w:val="en-US"/>
                    </w:rPr>
                  </w:pPr>
                </w:p>
              </w:tc>
            </w:tr>
          </w:tbl>
          <w:p w14:paraId="1AEB292A">
            <w:pPr>
              <w:pStyle w:val="2"/>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jc w:val="center"/>
              <w:textAlignment w:val="auto"/>
              <w:rPr>
                <w:sz w:val="21"/>
                <w:szCs w:val="21"/>
              </w:rPr>
            </w:pPr>
          </w:p>
          <w:p w14:paraId="646CD20D">
            <w:pPr>
              <w:numPr>
                <w:ilvl w:val="0"/>
                <w:numId w:val="5"/>
              </w:numPr>
              <w:ind w:left="0" w:firstLine="0"/>
              <w:jc w:val="center"/>
              <w:rPr>
                <w:rFonts w:hint="eastAsia" w:ascii="Times New Roman" w:hAnsi="Times New Roman" w:eastAsia="宋体" w:cs="Times New Roman"/>
                <w:b/>
                <w:bCs/>
                <w:szCs w:val="22"/>
                <w:lang w:val="zh-CN"/>
              </w:rPr>
            </w:pPr>
            <w:r>
              <w:rPr>
                <w:rFonts w:hint="eastAsia" w:ascii="Times New Roman" w:hAnsi="Times New Roman" w:eastAsia="宋体" w:cs="Times New Roman"/>
                <w:b/>
                <w:bCs/>
                <w:szCs w:val="22"/>
                <w:lang w:val="en-US" w:eastAsia="zh-CN"/>
              </w:rPr>
              <w:t>《挥发性有机物无组织排放控制标准》（GB37822-2019）</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289"/>
              <w:gridCol w:w="1100"/>
              <w:gridCol w:w="1500"/>
              <w:gridCol w:w="2543"/>
              <w:gridCol w:w="1608"/>
            </w:tblGrid>
            <w:tr w14:paraId="234D669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289" w:type="dxa"/>
                  <w:tcBorders>
                    <w:tl2br w:val="nil"/>
                    <w:tr2bl w:val="nil"/>
                  </w:tcBorders>
                  <w:noWrap w:val="0"/>
                  <w:vAlign w:val="center"/>
                </w:tcPr>
                <w:p w14:paraId="34C53C6C">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b w:val="0"/>
                      <w:bCs w:val="0"/>
                      <w:sz w:val="21"/>
                      <w:szCs w:val="21"/>
                      <w:vertAlign w:val="baseline"/>
                      <w:lang w:eastAsia="zh-CN"/>
                    </w:rPr>
                  </w:pPr>
                  <w:r>
                    <w:rPr>
                      <w:rFonts w:hint="eastAsia" w:ascii="Times New Roman" w:hAnsi="Times New Roman" w:eastAsia="宋体" w:cs="Times New Roman"/>
                      <w:b w:val="0"/>
                      <w:bCs w:val="0"/>
                      <w:sz w:val="21"/>
                      <w:szCs w:val="21"/>
                      <w:vertAlign w:val="baseline"/>
                      <w:lang w:eastAsia="zh-CN"/>
                    </w:rPr>
                    <w:t>污染物项目</w:t>
                  </w:r>
                </w:p>
              </w:tc>
              <w:tc>
                <w:tcPr>
                  <w:tcW w:w="1100" w:type="dxa"/>
                  <w:tcBorders>
                    <w:tl2br w:val="nil"/>
                    <w:tr2bl w:val="nil"/>
                  </w:tcBorders>
                  <w:noWrap w:val="0"/>
                  <w:vAlign w:val="center"/>
                </w:tcPr>
                <w:p w14:paraId="4048C9ED">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b w:val="0"/>
                      <w:bCs w:val="0"/>
                      <w:sz w:val="21"/>
                      <w:szCs w:val="21"/>
                      <w:vertAlign w:val="baseline"/>
                      <w:lang w:eastAsia="zh-CN"/>
                    </w:rPr>
                  </w:pPr>
                  <w:r>
                    <w:rPr>
                      <w:rFonts w:hint="eastAsia" w:ascii="Times New Roman" w:hAnsi="Times New Roman" w:eastAsia="宋体" w:cs="Times New Roman"/>
                      <w:b w:val="0"/>
                      <w:bCs w:val="0"/>
                      <w:sz w:val="21"/>
                      <w:szCs w:val="21"/>
                      <w:vertAlign w:val="baseline"/>
                      <w:lang w:eastAsia="zh-CN"/>
                    </w:rPr>
                    <w:t>排放限值</w:t>
                  </w:r>
                </w:p>
              </w:tc>
              <w:tc>
                <w:tcPr>
                  <w:tcW w:w="1500" w:type="dxa"/>
                  <w:tcBorders>
                    <w:tl2br w:val="nil"/>
                    <w:tr2bl w:val="nil"/>
                  </w:tcBorders>
                  <w:noWrap w:val="0"/>
                  <w:vAlign w:val="center"/>
                </w:tcPr>
                <w:p w14:paraId="45E46B81">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b w:val="0"/>
                      <w:bCs w:val="0"/>
                      <w:sz w:val="21"/>
                      <w:szCs w:val="21"/>
                      <w:vertAlign w:val="baseline"/>
                      <w:lang w:eastAsia="zh-CN"/>
                    </w:rPr>
                  </w:pPr>
                  <w:r>
                    <w:rPr>
                      <w:rFonts w:hint="eastAsia" w:ascii="Times New Roman" w:hAnsi="Times New Roman" w:eastAsia="宋体" w:cs="Times New Roman"/>
                      <w:b w:val="0"/>
                      <w:bCs w:val="0"/>
                      <w:sz w:val="21"/>
                      <w:szCs w:val="21"/>
                      <w:vertAlign w:val="baseline"/>
                      <w:lang w:eastAsia="zh-CN"/>
                    </w:rPr>
                    <w:t>特别排放限值</w:t>
                  </w:r>
                </w:p>
              </w:tc>
              <w:tc>
                <w:tcPr>
                  <w:tcW w:w="2543" w:type="dxa"/>
                  <w:tcBorders>
                    <w:tl2br w:val="nil"/>
                    <w:tr2bl w:val="nil"/>
                  </w:tcBorders>
                  <w:noWrap w:val="0"/>
                  <w:vAlign w:val="center"/>
                </w:tcPr>
                <w:p w14:paraId="19FBACFB">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b w:val="0"/>
                      <w:bCs w:val="0"/>
                      <w:sz w:val="21"/>
                      <w:szCs w:val="21"/>
                      <w:vertAlign w:val="baseline"/>
                      <w:lang w:eastAsia="zh-CN"/>
                    </w:rPr>
                  </w:pPr>
                  <w:r>
                    <w:rPr>
                      <w:rFonts w:hint="eastAsia" w:ascii="Times New Roman" w:hAnsi="Times New Roman" w:eastAsia="宋体" w:cs="Times New Roman"/>
                      <w:b w:val="0"/>
                      <w:bCs w:val="0"/>
                      <w:sz w:val="21"/>
                      <w:szCs w:val="21"/>
                      <w:vertAlign w:val="baseline"/>
                      <w:lang w:eastAsia="zh-CN"/>
                    </w:rPr>
                    <w:t>限值含义</w:t>
                  </w:r>
                </w:p>
              </w:tc>
              <w:tc>
                <w:tcPr>
                  <w:tcW w:w="1608" w:type="dxa"/>
                  <w:tcBorders>
                    <w:tl2br w:val="nil"/>
                    <w:tr2bl w:val="nil"/>
                  </w:tcBorders>
                  <w:noWrap w:val="0"/>
                  <w:vAlign w:val="center"/>
                </w:tcPr>
                <w:p w14:paraId="3834D2DC">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rPr>
                    <w:t>无组织排放监控位置</w:t>
                  </w:r>
                </w:p>
              </w:tc>
            </w:tr>
            <w:tr w14:paraId="1969721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289" w:type="dxa"/>
                  <w:vMerge w:val="restart"/>
                  <w:tcBorders>
                    <w:tl2br w:val="nil"/>
                    <w:tr2bl w:val="nil"/>
                  </w:tcBorders>
                  <w:noWrap w:val="0"/>
                  <w:vAlign w:val="center"/>
                </w:tcPr>
                <w:p w14:paraId="5B168DA7">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kern w:val="0"/>
                      <w:sz w:val="21"/>
                      <w:szCs w:val="21"/>
                    </w:rPr>
                    <w:t>非甲烷总烃（NMHC）</w:t>
                  </w:r>
                </w:p>
              </w:tc>
              <w:tc>
                <w:tcPr>
                  <w:tcW w:w="1100" w:type="dxa"/>
                  <w:tcBorders>
                    <w:tl2br w:val="nil"/>
                    <w:tr2bl w:val="nil"/>
                  </w:tcBorders>
                  <w:noWrap w:val="0"/>
                  <w:vAlign w:val="center"/>
                </w:tcPr>
                <w:p w14:paraId="530CEDA4">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10</w:t>
                  </w:r>
                </w:p>
              </w:tc>
              <w:tc>
                <w:tcPr>
                  <w:tcW w:w="1500" w:type="dxa"/>
                  <w:tcBorders>
                    <w:tl2br w:val="nil"/>
                    <w:tr2bl w:val="nil"/>
                  </w:tcBorders>
                  <w:noWrap w:val="0"/>
                  <w:vAlign w:val="center"/>
                </w:tcPr>
                <w:p w14:paraId="4F8D1E9D">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6</w:t>
                  </w:r>
                </w:p>
              </w:tc>
              <w:tc>
                <w:tcPr>
                  <w:tcW w:w="2543" w:type="dxa"/>
                  <w:tcBorders>
                    <w:tl2br w:val="nil"/>
                    <w:tr2bl w:val="nil"/>
                  </w:tcBorders>
                  <w:noWrap w:val="0"/>
                  <w:vAlign w:val="center"/>
                </w:tcPr>
                <w:p w14:paraId="76C05971">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rPr>
                    <w:t>监控点处1h平均浓度值</w:t>
                  </w:r>
                </w:p>
              </w:tc>
              <w:tc>
                <w:tcPr>
                  <w:tcW w:w="1608" w:type="dxa"/>
                  <w:vMerge w:val="restart"/>
                  <w:tcBorders>
                    <w:tl2br w:val="nil"/>
                    <w:tr2bl w:val="nil"/>
                  </w:tcBorders>
                  <w:noWrap w:val="0"/>
                  <w:vAlign w:val="center"/>
                </w:tcPr>
                <w:p w14:paraId="643D8527">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rPr>
                    <w:t>在厂房外设置监控点</w:t>
                  </w:r>
                </w:p>
              </w:tc>
            </w:tr>
            <w:tr w14:paraId="46CF504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289" w:type="dxa"/>
                  <w:vMerge w:val="continue"/>
                  <w:tcBorders>
                    <w:tl2br w:val="nil"/>
                    <w:tr2bl w:val="nil"/>
                  </w:tcBorders>
                  <w:noWrap w:val="0"/>
                  <w:vAlign w:val="center"/>
                </w:tcPr>
                <w:p w14:paraId="3AA89632">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sz w:val="21"/>
                      <w:szCs w:val="21"/>
                      <w:vertAlign w:val="baseline"/>
                    </w:rPr>
                  </w:pPr>
                </w:p>
              </w:tc>
              <w:tc>
                <w:tcPr>
                  <w:tcW w:w="1100" w:type="dxa"/>
                  <w:tcBorders>
                    <w:tl2br w:val="nil"/>
                    <w:tr2bl w:val="nil"/>
                  </w:tcBorders>
                  <w:noWrap w:val="0"/>
                  <w:vAlign w:val="center"/>
                </w:tcPr>
                <w:p w14:paraId="67D14027">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30</w:t>
                  </w:r>
                </w:p>
              </w:tc>
              <w:tc>
                <w:tcPr>
                  <w:tcW w:w="1500" w:type="dxa"/>
                  <w:tcBorders>
                    <w:tl2br w:val="nil"/>
                    <w:tr2bl w:val="nil"/>
                  </w:tcBorders>
                  <w:noWrap w:val="0"/>
                  <w:vAlign w:val="center"/>
                </w:tcPr>
                <w:p w14:paraId="01878464">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20</w:t>
                  </w:r>
                </w:p>
              </w:tc>
              <w:tc>
                <w:tcPr>
                  <w:tcW w:w="2543" w:type="dxa"/>
                  <w:tcBorders>
                    <w:tl2br w:val="nil"/>
                    <w:tr2bl w:val="nil"/>
                  </w:tcBorders>
                  <w:noWrap w:val="0"/>
                  <w:vAlign w:val="center"/>
                </w:tcPr>
                <w:p w14:paraId="0C08AA28">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rPr>
                    <w:t>监控点处任意一次浓度值</w:t>
                  </w:r>
                </w:p>
              </w:tc>
              <w:tc>
                <w:tcPr>
                  <w:tcW w:w="1608" w:type="dxa"/>
                  <w:vMerge w:val="continue"/>
                  <w:tcBorders>
                    <w:tl2br w:val="nil"/>
                    <w:tr2bl w:val="nil"/>
                  </w:tcBorders>
                  <w:noWrap w:val="0"/>
                  <w:vAlign w:val="center"/>
                </w:tcPr>
                <w:p w14:paraId="326CE213">
                  <w:pPr>
                    <w:pStyle w:val="87"/>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sz w:val="21"/>
                      <w:szCs w:val="21"/>
                      <w:vertAlign w:val="baseline"/>
                    </w:rPr>
                  </w:pPr>
                </w:p>
              </w:tc>
            </w:tr>
          </w:tbl>
          <w:p w14:paraId="2E28A16B">
            <w:pPr>
              <w:pStyle w:val="8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sz w:val="21"/>
                <w:szCs w:val="21"/>
                <w:lang w:eastAsia="zh-CN"/>
              </w:rPr>
            </w:pPr>
          </w:p>
          <w:p w14:paraId="6E6679F2">
            <w:pPr>
              <w:numPr>
                <w:ilvl w:val="0"/>
                <w:numId w:val="5"/>
              </w:numPr>
              <w:ind w:left="0" w:firstLine="0"/>
              <w:jc w:val="center"/>
              <w:rPr>
                <w:rFonts w:hint="eastAsia" w:ascii="Times New Roman" w:hAnsi="Times New Roman" w:eastAsia="宋体" w:cs="Times New Roman"/>
                <w:b/>
                <w:bCs/>
                <w:szCs w:val="22"/>
                <w:lang w:val="en-US" w:eastAsia="zh-CN"/>
              </w:rPr>
            </w:pPr>
            <w:r>
              <w:rPr>
                <w:rFonts w:hint="eastAsia" w:ascii="Times New Roman" w:hAnsi="Times New Roman" w:eastAsia="宋体" w:cs="Times New Roman"/>
                <w:b/>
                <w:bCs/>
                <w:szCs w:val="22"/>
                <w:lang w:val="en-US" w:eastAsia="zh-CN"/>
              </w:rPr>
              <w:t>《饮食业油烟排放标准》（GB18483-2001）</w:t>
            </w:r>
          </w:p>
          <w:tbl>
            <w:tblPr>
              <w:tblStyle w:val="27"/>
              <w:tblW w:w="8175"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3336"/>
              <w:gridCol w:w="1700"/>
              <w:gridCol w:w="1780"/>
              <w:gridCol w:w="1359"/>
            </w:tblGrid>
            <w:tr w14:paraId="0A1FC80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36" w:type="dxa"/>
                  <w:tcBorders>
                    <w:tl2br w:val="nil"/>
                    <w:tr2bl w:val="nil"/>
                  </w:tcBorders>
                  <w:noWrap w:val="0"/>
                  <w:vAlign w:val="center"/>
                </w:tcPr>
                <w:p w14:paraId="244B107E">
                  <w:pPr>
                    <w:pStyle w:val="87"/>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cs="Times New Roman"/>
                      <w:b w:val="0"/>
                      <w:bCs w:val="0"/>
                      <w:sz w:val="21"/>
                      <w:szCs w:val="21"/>
                      <w:vertAlign w:val="baseline"/>
                    </w:rPr>
                  </w:pPr>
                  <w:r>
                    <w:rPr>
                      <w:rFonts w:hint="eastAsia" w:cs="Times New Roman"/>
                      <w:b w:val="0"/>
                      <w:bCs w:val="0"/>
                      <w:sz w:val="21"/>
                      <w:szCs w:val="21"/>
                      <w:vertAlign w:val="baseline"/>
                    </w:rPr>
                    <w:t>规模</w:t>
                  </w:r>
                </w:p>
              </w:tc>
              <w:tc>
                <w:tcPr>
                  <w:tcW w:w="1700" w:type="dxa"/>
                  <w:tcBorders>
                    <w:tl2br w:val="nil"/>
                    <w:tr2bl w:val="nil"/>
                  </w:tcBorders>
                  <w:noWrap w:val="0"/>
                  <w:vAlign w:val="center"/>
                </w:tcPr>
                <w:p w14:paraId="4616D895">
                  <w:pPr>
                    <w:pStyle w:val="87"/>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cs="Times New Roman"/>
                      <w:b w:val="0"/>
                      <w:bCs w:val="0"/>
                      <w:sz w:val="21"/>
                      <w:szCs w:val="21"/>
                      <w:vertAlign w:val="baseline"/>
                    </w:rPr>
                  </w:pPr>
                  <w:r>
                    <w:rPr>
                      <w:rFonts w:hint="eastAsia" w:cs="Times New Roman"/>
                      <w:b w:val="0"/>
                      <w:bCs w:val="0"/>
                      <w:sz w:val="21"/>
                      <w:szCs w:val="21"/>
                      <w:vertAlign w:val="baseline"/>
                    </w:rPr>
                    <w:t>小型</w:t>
                  </w:r>
                </w:p>
              </w:tc>
              <w:tc>
                <w:tcPr>
                  <w:tcW w:w="1780" w:type="dxa"/>
                  <w:tcBorders>
                    <w:tl2br w:val="nil"/>
                    <w:tr2bl w:val="nil"/>
                  </w:tcBorders>
                  <w:noWrap w:val="0"/>
                  <w:vAlign w:val="center"/>
                </w:tcPr>
                <w:p w14:paraId="739C76BE">
                  <w:pPr>
                    <w:pStyle w:val="87"/>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cs="Times New Roman"/>
                      <w:b w:val="0"/>
                      <w:bCs w:val="0"/>
                      <w:sz w:val="21"/>
                      <w:szCs w:val="21"/>
                      <w:vertAlign w:val="baseline"/>
                    </w:rPr>
                  </w:pPr>
                  <w:r>
                    <w:rPr>
                      <w:rFonts w:hint="eastAsia" w:cs="Times New Roman"/>
                      <w:b w:val="0"/>
                      <w:bCs w:val="0"/>
                      <w:sz w:val="21"/>
                      <w:szCs w:val="21"/>
                      <w:vertAlign w:val="baseline"/>
                    </w:rPr>
                    <w:t>中型</w:t>
                  </w:r>
                </w:p>
              </w:tc>
              <w:tc>
                <w:tcPr>
                  <w:tcW w:w="1359" w:type="dxa"/>
                  <w:tcBorders>
                    <w:tl2br w:val="nil"/>
                    <w:tr2bl w:val="nil"/>
                  </w:tcBorders>
                  <w:noWrap w:val="0"/>
                  <w:vAlign w:val="center"/>
                </w:tcPr>
                <w:p w14:paraId="5A2013F2">
                  <w:pPr>
                    <w:pStyle w:val="87"/>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cs="Times New Roman"/>
                      <w:b w:val="0"/>
                      <w:bCs w:val="0"/>
                      <w:sz w:val="21"/>
                      <w:szCs w:val="21"/>
                      <w:vertAlign w:val="baseline"/>
                    </w:rPr>
                  </w:pPr>
                  <w:r>
                    <w:rPr>
                      <w:rFonts w:hint="eastAsia" w:cs="Times New Roman"/>
                      <w:b w:val="0"/>
                      <w:bCs w:val="0"/>
                      <w:sz w:val="21"/>
                      <w:szCs w:val="21"/>
                      <w:vertAlign w:val="baseline"/>
                    </w:rPr>
                    <w:t>大型</w:t>
                  </w:r>
                </w:p>
              </w:tc>
            </w:tr>
            <w:tr w14:paraId="27913B9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36" w:type="dxa"/>
                  <w:tcBorders>
                    <w:tl2br w:val="nil"/>
                    <w:tr2bl w:val="nil"/>
                  </w:tcBorders>
                  <w:noWrap w:val="0"/>
                  <w:vAlign w:val="center"/>
                </w:tcPr>
                <w:p w14:paraId="4131A76B">
                  <w:pPr>
                    <w:pStyle w:val="87"/>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cs="Times New Roman"/>
                      <w:b w:val="0"/>
                      <w:bCs w:val="0"/>
                      <w:sz w:val="21"/>
                      <w:szCs w:val="21"/>
                      <w:vertAlign w:val="baseline"/>
                    </w:rPr>
                  </w:pPr>
                  <w:r>
                    <w:rPr>
                      <w:rFonts w:hint="eastAsia" w:cs="Times New Roman"/>
                      <w:b w:val="0"/>
                      <w:bCs w:val="0"/>
                      <w:sz w:val="21"/>
                      <w:szCs w:val="21"/>
                      <w:vertAlign w:val="baseline"/>
                    </w:rPr>
                    <w:t>基准灶头数</w:t>
                  </w:r>
                </w:p>
              </w:tc>
              <w:tc>
                <w:tcPr>
                  <w:tcW w:w="1700" w:type="dxa"/>
                  <w:tcBorders>
                    <w:tl2br w:val="nil"/>
                    <w:tr2bl w:val="nil"/>
                  </w:tcBorders>
                  <w:noWrap w:val="0"/>
                  <w:vAlign w:val="center"/>
                </w:tcPr>
                <w:p w14:paraId="70944A71">
                  <w:pPr>
                    <w:pStyle w:val="87"/>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cs="Times New Roman"/>
                      <w:b w:val="0"/>
                      <w:bCs w:val="0"/>
                      <w:sz w:val="21"/>
                      <w:szCs w:val="21"/>
                      <w:vertAlign w:val="baseline"/>
                    </w:rPr>
                  </w:pPr>
                  <w:r>
                    <w:rPr>
                      <w:rFonts w:hint="eastAsia" w:cs="Times New Roman"/>
                      <w:b w:val="0"/>
                      <w:bCs w:val="0"/>
                      <w:sz w:val="21"/>
                      <w:szCs w:val="21"/>
                      <w:vertAlign w:val="baseline"/>
                    </w:rPr>
                    <w:t>≥1，&lt;3</w:t>
                  </w:r>
                </w:p>
              </w:tc>
              <w:tc>
                <w:tcPr>
                  <w:tcW w:w="1780" w:type="dxa"/>
                  <w:tcBorders>
                    <w:tl2br w:val="nil"/>
                    <w:tr2bl w:val="nil"/>
                  </w:tcBorders>
                  <w:noWrap w:val="0"/>
                  <w:vAlign w:val="center"/>
                </w:tcPr>
                <w:p w14:paraId="147D418B">
                  <w:pPr>
                    <w:pStyle w:val="87"/>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cs="Times New Roman"/>
                      <w:b w:val="0"/>
                      <w:bCs w:val="0"/>
                      <w:sz w:val="21"/>
                      <w:szCs w:val="21"/>
                      <w:vertAlign w:val="baseline"/>
                    </w:rPr>
                  </w:pPr>
                  <w:r>
                    <w:rPr>
                      <w:rFonts w:hint="eastAsia" w:cs="Times New Roman"/>
                      <w:b w:val="0"/>
                      <w:bCs w:val="0"/>
                      <w:sz w:val="21"/>
                      <w:szCs w:val="21"/>
                      <w:vertAlign w:val="baseline"/>
                    </w:rPr>
                    <w:t>≥3，&lt;6</w:t>
                  </w:r>
                </w:p>
              </w:tc>
              <w:tc>
                <w:tcPr>
                  <w:tcW w:w="1359" w:type="dxa"/>
                  <w:tcBorders>
                    <w:tl2br w:val="nil"/>
                    <w:tr2bl w:val="nil"/>
                  </w:tcBorders>
                  <w:noWrap w:val="0"/>
                  <w:vAlign w:val="center"/>
                </w:tcPr>
                <w:p w14:paraId="6DDBFBBA">
                  <w:pPr>
                    <w:pStyle w:val="87"/>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cs="Times New Roman"/>
                      <w:b w:val="0"/>
                      <w:bCs w:val="0"/>
                      <w:sz w:val="21"/>
                      <w:szCs w:val="21"/>
                      <w:vertAlign w:val="baseline"/>
                    </w:rPr>
                  </w:pPr>
                  <w:r>
                    <w:rPr>
                      <w:rFonts w:hint="eastAsia" w:cs="Times New Roman"/>
                      <w:b w:val="0"/>
                      <w:bCs w:val="0"/>
                      <w:sz w:val="21"/>
                      <w:szCs w:val="21"/>
                      <w:vertAlign w:val="baseline"/>
                    </w:rPr>
                    <w:t>≥6</w:t>
                  </w:r>
                </w:p>
              </w:tc>
            </w:tr>
            <w:tr w14:paraId="33691D9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36" w:type="dxa"/>
                  <w:tcBorders>
                    <w:tl2br w:val="nil"/>
                    <w:tr2bl w:val="nil"/>
                  </w:tcBorders>
                  <w:noWrap w:val="0"/>
                  <w:vAlign w:val="center"/>
                </w:tcPr>
                <w:p w14:paraId="65ADD2C4">
                  <w:pPr>
                    <w:pStyle w:val="87"/>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cs="Times New Roman"/>
                      <w:b w:val="0"/>
                      <w:bCs w:val="0"/>
                      <w:sz w:val="21"/>
                      <w:szCs w:val="21"/>
                      <w:vertAlign w:val="baseline"/>
                    </w:rPr>
                  </w:pPr>
                  <w:r>
                    <w:rPr>
                      <w:rFonts w:hint="eastAsia" w:cs="Times New Roman"/>
                      <w:b w:val="0"/>
                      <w:bCs w:val="0"/>
                      <w:sz w:val="21"/>
                      <w:szCs w:val="21"/>
                      <w:vertAlign w:val="baseline"/>
                    </w:rPr>
                    <w:t>最高允许排放浓度（mg/m</w:t>
                  </w:r>
                  <w:r>
                    <w:rPr>
                      <w:rFonts w:hint="eastAsia" w:cs="Times New Roman"/>
                      <w:b w:val="0"/>
                      <w:bCs w:val="0"/>
                      <w:sz w:val="21"/>
                      <w:szCs w:val="21"/>
                      <w:vertAlign w:val="superscript"/>
                    </w:rPr>
                    <w:t>3</w:t>
                  </w:r>
                  <w:r>
                    <w:rPr>
                      <w:rFonts w:hint="eastAsia" w:cs="Times New Roman"/>
                      <w:b w:val="0"/>
                      <w:bCs w:val="0"/>
                      <w:sz w:val="21"/>
                      <w:szCs w:val="21"/>
                      <w:vertAlign w:val="baseline"/>
                    </w:rPr>
                    <w:t>）</w:t>
                  </w:r>
                </w:p>
              </w:tc>
              <w:tc>
                <w:tcPr>
                  <w:tcW w:w="4839" w:type="dxa"/>
                  <w:gridSpan w:val="3"/>
                  <w:tcBorders>
                    <w:tl2br w:val="nil"/>
                    <w:tr2bl w:val="nil"/>
                  </w:tcBorders>
                  <w:noWrap w:val="0"/>
                  <w:vAlign w:val="center"/>
                </w:tcPr>
                <w:p w14:paraId="27A840DC">
                  <w:pPr>
                    <w:pStyle w:val="87"/>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hint="default"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2.0</w:t>
                  </w:r>
                </w:p>
              </w:tc>
            </w:tr>
            <w:tr w14:paraId="00C2FC9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3336" w:type="dxa"/>
                  <w:tcBorders>
                    <w:tl2br w:val="nil"/>
                    <w:tr2bl w:val="nil"/>
                  </w:tcBorders>
                  <w:noWrap w:val="0"/>
                  <w:vAlign w:val="center"/>
                </w:tcPr>
                <w:p w14:paraId="7B5BCB2B">
                  <w:pPr>
                    <w:pStyle w:val="87"/>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cs="Times New Roman"/>
                      <w:b w:val="0"/>
                      <w:bCs w:val="0"/>
                      <w:sz w:val="21"/>
                      <w:szCs w:val="21"/>
                      <w:vertAlign w:val="baseline"/>
                    </w:rPr>
                  </w:pPr>
                  <w:r>
                    <w:rPr>
                      <w:rFonts w:hint="eastAsia" w:cs="Times New Roman"/>
                      <w:b w:val="0"/>
                      <w:bCs w:val="0"/>
                      <w:sz w:val="21"/>
                      <w:szCs w:val="21"/>
                      <w:vertAlign w:val="baseline"/>
                    </w:rPr>
                    <w:t>净化设施最低去除效率（%）</w:t>
                  </w:r>
                </w:p>
              </w:tc>
              <w:tc>
                <w:tcPr>
                  <w:tcW w:w="1700" w:type="dxa"/>
                  <w:tcBorders>
                    <w:tl2br w:val="nil"/>
                    <w:tr2bl w:val="nil"/>
                  </w:tcBorders>
                  <w:noWrap w:val="0"/>
                  <w:vAlign w:val="center"/>
                </w:tcPr>
                <w:p w14:paraId="7887FDFE">
                  <w:pPr>
                    <w:pStyle w:val="87"/>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cs="Times New Roman"/>
                      <w:b w:val="0"/>
                      <w:bCs w:val="0"/>
                      <w:sz w:val="21"/>
                      <w:szCs w:val="21"/>
                      <w:vertAlign w:val="baseline"/>
                    </w:rPr>
                  </w:pPr>
                  <w:r>
                    <w:rPr>
                      <w:rFonts w:hint="eastAsia" w:cs="Times New Roman"/>
                      <w:b w:val="0"/>
                      <w:bCs w:val="0"/>
                      <w:sz w:val="21"/>
                      <w:szCs w:val="21"/>
                      <w:vertAlign w:val="baseline"/>
                    </w:rPr>
                    <w:t>60</w:t>
                  </w:r>
                </w:p>
              </w:tc>
              <w:tc>
                <w:tcPr>
                  <w:tcW w:w="1780" w:type="dxa"/>
                  <w:tcBorders>
                    <w:tl2br w:val="nil"/>
                    <w:tr2bl w:val="nil"/>
                  </w:tcBorders>
                  <w:noWrap w:val="0"/>
                  <w:vAlign w:val="center"/>
                </w:tcPr>
                <w:p w14:paraId="34EFE8EE">
                  <w:pPr>
                    <w:pStyle w:val="87"/>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cs="Times New Roman"/>
                      <w:b w:val="0"/>
                      <w:bCs w:val="0"/>
                      <w:sz w:val="21"/>
                      <w:szCs w:val="21"/>
                      <w:vertAlign w:val="baseline"/>
                    </w:rPr>
                  </w:pPr>
                  <w:r>
                    <w:rPr>
                      <w:rFonts w:hint="eastAsia" w:cs="Times New Roman"/>
                      <w:b w:val="0"/>
                      <w:bCs w:val="0"/>
                      <w:sz w:val="21"/>
                      <w:szCs w:val="21"/>
                      <w:vertAlign w:val="baseline"/>
                    </w:rPr>
                    <w:t>75</w:t>
                  </w:r>
                </w:p>
              </w:tc>
              <w:tc>
                <w:tcPr>
                  <w:tcW w:w="1359" w:type="dxa"/>
                  <w:tcBorders>
                    <w:tl2br w:val="nil"/>
                    <w:tr2bl w:val="nil"/>
                  </w:tcBorders>
                  <w:noWrap w:val="0"/>
                  <w:vAlign w:val="center"/>
                </w:tcPr>
                <w:p w14:paraId="6DBE851C">
                  <w:pPr>
                    <w:pStyle w:val="87"/>
                    <w:keepNext w:val="0"/>
                    <w:keepLines w:val="0"/>
                    <w:pageBreakBefore w:val="0"/>
                    <w:widowControl w:val="0"/>
                    <w:kinsoku/>
                    <w:wordWrap w:val="0"/>
                    <w:overflowPunct/>
                    <w:topLinePunct w:val="0"/>
                    <w:autoSpaceDE/>
                    <w:autoSpaceDN/>
                    <w:bidi w:val="0"/>
                    <w:adjustRightInd/>
                    <w:snapToGrid/>
                    <w:spacing w:line="240" w:lineRule="exact"/>
                    <w:ind w:right="0" w:rightChars="0" w:firstLine="0" w:firstLineChars="0"/>
                    <w:jc w:val="center"/>
                    <w:textAlignment w:val="auto"/>
                    <w:rPr>
                      <w:rFonts w:cs="Times New Roman"/>
                      <w:b w:val="0"/>
                      <w:bCs w:val="0"/>
                      <w:sz w:val="21"/>
                      <w:szCs w:val="21"/>
                      <w:vertAlign w:val="baseline"/>
                    </w:rPr>
                  </w:pPr>
                  <w:r>
                    <w:rPr>
                      <w:rFonts w:hint="eastAsia" w:cs="Times New Roman"/>
                      <w:b w:val="0"/>
                      <w:bCs w:val="0"/>
                      <w:sz w:val="21"/>
                      <w:szCs w:val="21"/>
                      <w:vertAlign w:val="baseline"/>
                    </w:rPr>
                    <w:t>85</w:t>
                  </w:r>
                </w:p>
              </w:tc>
            </w:tr>
          </w:tbl>
          <w:p w14:paraId="295FE45E">
            <w:pPr>
              <w:pStyle w:val="87"/>
              <w:wordWrap w:val="0"/>
              <w:adjustRightInd/>
              <w:spacing w:line="240" w:lineRule="auto"/>
              <w:ind w:left="21" w:leftChars="10" w:right="21" w:rightChars="10" w:firstLine="482"/>
              <w:jc w:val="center"/>
              <w:rPr>
                <w:rFonts w:cs="Times New Roman"/>
                <w:b w:val="0"/>
                <w:bCs w:val="0"/>
              </w:rPr>
            </w:pPr>
          </w:p>
          <w:p w14:paraId="329364EC">
            <w:pPr>
              <w:pStyle w:val="87"/>
              <w:wordWrap w:val="0"/>
              <w:adjustRightInd/>
              <w:ind w:left="21" w:leftChars="10" w:right="21" w:rightChars="10" w:firstLine="482"/>
              <w:rPr>
                <w:rFonts w:cs="Times New Roman"/>
                <w:highlight w:val="none"/>
              </w:rPr>
            </w:pPr>
            <w:r>
              <w:rPr>
                <w:rFonts w:cs="Times New Roman"/>
                <w:b/>
                <w:bCs/>
                <w:highlight w:val="none"/>
              </w:rPr>
              <w:t>2、废水</w:t>
            </w:r>
          </w:p>
          <w:p w14:paraId="0F7BA7F9">
            <w:pPr>
              <w:pStyle w:val="87"/>
              <w:wordWrap w:val="0"/>
              <w:adjustRightInd/>
              <w:ind w:left="21" w:leftChars="10" w:right="21" w:rightChars="10" w:firstLine="480"/>
              <w:rPr>
                <w:rFonts w:hint="default"/>
                <w:bCs/>
                <w:sz w:val="24"/>
                <w:highlight w:val="none"/>
                <w:lang w:val="en-US" w:eastAsia="zh-CN"/>
              </w:rPr>
            </w:pPr>
            <w:r>
              <w:rPr>
                <w:rFonts w:hint="eastAsia"/>
                <w:bCs/>
                <w:sz w:val="24"/>
                <w:highlight w:val="none"/>
                <w:lang w:eastAsia="zh-CN"/>
              </w:rPr>
              <w:t>本项目</w:t>
            </w:r>
            <w:r>
              <w:rPr>
                <w:rFonts w:hint="eastAsia"/>
                <w:bCs/>
                <w:sz w:val="24"/>
                <w:highlight w:val="none"/>
                <w:lang w:val="en-US" w:eastAsia="zh-CN"/>
              </w:rPr>
              <w:t>生活污水（含食堂废水）经隔油池+化粪池处理后用作农肥不外排，生产检测中心试验设备清洗及运输车辆清洗废水经三级沉淀池沉淀后回用于车辆清洗不外排，项目运营过程无废水外排，不涉及排放标准。</w:t>
            </w:r>
          </w:p>
          <w:p w14:paraId="4C097509">
            <w:pPr>
              <w:pStyle w:val="87"/>
              <w:wordWrap w:val="0"/>
              <w:adjustRightInd/>
              <w:ind w:left="21" w:leftChars="10" w:right="21" w:rightChars="10" w:firstLine="482"/>
              <w:rPr>
                <w:rFonts w:cs="Times New Roman"/>
              </w:rPr>
            </w:pPr>
            <w:r>
              <w:rPr>
                <w:rFonts w:cs="Times New Roman"/>
                <w:b/>
                <w:bCs/>
              </w:rPr>
              <w:t>3、噪声</w:t>
            </w:r>
          </w:p>
          <w:p w14:paraId="5215A352">
            <w:pPr>
              <w:wordWrap w:val="0"/>
              <w:spacing w:line="360" w:lineRule="auto"/>
              <w:ind w:left="21" w:leftChars="10" w:right="21" w:rightChars="10" w:firstLine="480" w:firstLineChars="200"/>
              <w:rPr>
                <w:sz w:val="24"/>
              </w:rPr>
            </w:pPr>
            <w:r>
              <w:rPr>
                <w:sz w:val="24"/>
              </w:rPr>
              <w:t>施工期噪声执行《建筑施工场界环境噪声排放标准》（GB12523-2011）中表1标准；运营期执行《工业企业厂界环境噪声排放标准》（GB12348-2008）中</w:t>
            </w:r>
            <w:r>
              <w:rPr>
                <w:rFonts w:hint="eastAsia"/>
                <w:sz w:val="24"/>
                <w:lang w:val="en-US" w:eastAsia="zh-CN"/>
              </w:rPr>
              <w:t>3</w:t>
            </w:r>
            <w:r>
              <w:rPr>
                <w:sz w:val="24"/>
              </w:rPr>
              <w:t>类标准。</w:t>
            </w:r>
            <w:r>
              <w:rPr>
                <w:rFonts w:hint="eastAsia"/>
                <w:sz w:val="24"/>
                <w:szCs w:val="32"/>
              </w:rPr>
              <w:t>具体标准值见下表：</w:t>
            </w:r>
          </w:p>
          <w:p w14:paraId="15C667C3">
            <w:pPr>
              <w:numPr>
                <w:ilvl w:val="0"/>
                <w:numId w:val="5"/>
              </w:numPr>
              <w:wordWrap w:val="0"/>
              <w:ind w:left="21" w:leftChars="10" w:right="21" w:rightChars="10" w:firstLine="0"/>
              <w:jc w:val="center"/>
              <w:rPr>
                <w:rFonts w:hint="eastAsia"/>
                <w:b/>
                <w:bCs/>
                <w:szCs w:val="22"/>
                <w:lang w:val="zh-CN"/>
              </w:rPr>
            </w:pPr>
            <w:r>
              <w:rPr>
                <w:rFonts w:hint="eastAsia"/>
                <w:b/>
                <w:bCs/>
                <w:szCs w:val="22"/>
                <w:lang w:val="zh-CN"/>
              </w:rPr>
              <w:t>噪声排放标准  单位：dB（A）</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087"/>
              <w:gridCol w:w="2015"/>
              <w:gridCol w:w="1961"/>
              <w:gridCol w:w="1916"/>
            </w:tblGrid>
            <w:tr w14:paraId="171A091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102" w:type="dxa"/>
                  <w:gridSpan w:val="2"/>
                  <w:noWrap w:val="0"/>
                  <w:vAlign w:val="center"/>
                </w:tcPr>
                <w:p w14:paraId="2DC96BC2">
                  <w:pPr>
                    <w:wordWrap w:val="0"/>
                    <w:ind w:left="21" w:leftChars="10" w:right="21" w:rightChars="10"/>
                    <w:jc w:val="center"/>
                    <w:rPr>
                      <w:bCs/>
                      <w:szCs w:val="21"/>
                    </w:rPr>
                  </w:pPr>
                  <w:r>
                    <w:rPr>
                      <w:rFonts w:hint="eastAsia"/>
                      <w:bCs/>
                      <w:szCs w:val="21"/>
                      <w:lang w:eastAsia="zh-CN"/>
                    </w:rPr>
                    <w:t>（</w:t>
                  </w:r>
                  <w:r>
                    <w:rPr>
                      <w:bCs/>
                      <w:szCs w:val="21"/>
                    </w:rPr>
                    <w:t>GB12523-2011</w:t>
                  </w:r>
                  <w:r>
                    <w:rPr>
                      <w:rFonts w:hint="eastAsia"/>
                      <w:bCs/>
                      <w:szCs w:val="21"/>
                      <w:lang w:eastAsia="zh-CN"/>
                    </w:rPr>
                    <w:t>）</w:t>
                  </w:r>
                  <w:r>
                    <w:rPr>
                      <w:szCs w:val="21"/>
                    </w:rPr>
                    <w:t>相关标准</w:t>
                  </w:r>
                </w:p>
              </w:tc>
              <w:tc>
                <w:tcPr>
                  <w:tcW w:w="3877" w:type="dxa"/>
                  <w:gridSpan w:val="2"/>
                  <w:noWrap w:val="0"/>
                  <w:vAlign w:val="center"/>
                </w:tcPr>
                <w:p w14:paraId="45F839A4">
                  <w:pPr>
                    <w:wordWrap w:val="0"/>
                    <w:ind w:left="21" w:leftChars="10" w:right="21" w:rightChars="10"/>
                    <w:jc w:val="center"/>
                    <w:rPr>
                      <w:bCs/>
                      <w:szCs w:val="21"/>
                    </w:rPr>
                  </w:pPr>
                  <w:r>
                    <w:rPr>
                      <w:rFonts w:hint="eastAsia"/>
                      <w:szCs w:val="21"/>
                      <w:lang w:eastAsia="zh-CN"/>
                    </w:rPr>
                    <w:t>（</w:t>
                  </w:r>
                  <w:r>
                    <w:rPr>
                      <w:szCs w:val="21"/>
                    </w:rPr>
                    <w:t>GB12348-2008</w:t>
                  </w:r>
                  <w:r>
                    <w:rPr>
                      <w:rFonts w:hint="eastAsia"/>
                      <w:szCs w:val="21"/>
                      <w:lang w:eastAsia="zh-CN"/>
                    </w:rPr>
                    <w:t>）</w:t>
                  </w:r>
                  <w:r>
                    <w:rPr>
                      <w:szCs w:val="21"/>
                    </w:rPr>
                    <w:t>中</w:t>
                  </w:r>
                  <w:r>
                    <w:rPr>
                      <w:rFonts w:hint="eastAsia"/>
                      <w:szCs w:val="21"/>
                      <w:lang w:val="en-US" w:eastAsia="zh-CN"/>
                    </w:rPr>
                    <w:t>3</w:t>
                  </w:r>
                  <w:r>
                    <w:rPr>
                      <w:szCs w:val="21"/>
                    </w:rPr>
                    <w:t>类标准</w:t>
                  </w:r>
                </w:p>
              </w:tc>
            </w:tr>
            <w:tr w14:paraId="626B852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087" w:type="dxa"/>
                  <w:noWrap w:val="0"/>
                  <w:vAlign w:val="center"/>
                </w:tcPr>
                <w:p w14:paraId="31835B13">
                  <w:pPr>
                    <w:wordWrap w:val="0"/>
                    <w:ind w:left="21" w:leftChars="10" w:right="21" w:rightChars="10"/>
                    <w:jc w:val="center"/>
                    <w:rPr>
                      <w:bCs/>
                      <w:szCs w:val="21"/>
                    </w:rPr>
                  </w:pPr>
                  <w:r>
                    <w:rPr>
                      <w:bCs/>
                      <w:szCs w:val="21"/>
                    </w:rPr>
                    <w:t>昼间（LAeqdB(A)）</w:t>
                  </w:r>
                </w:p>
              </w:tc>
              <w:tc>
                <w:tcPr>
                  <w:tcW w:w="2015" w:type="dxa"/>
                  <w:noWrap w:val="0"/>
                  <w:vAlign w:val="center"/>
                </w:tcPr>
                <w:p w14:paraId="6FB26F1F">
                  <w:pPr>
                    <w:wordWrap w:val="0"/>
                    <w:ind w:left="21" w:leftChars="10" w:right="21" w:rightChars="10"/>
                    <w:jc w:val="center"/>
                    <w:rPr>
                      <w:bCs/>
                      <w:szCs w:val="21"/>
                    </w:rPr>
                  </w:pPr>
                  <w:r>
                    <w:rPr>
                      <w:bCs/>
                      <w:szCs w:val="21"/>
                    </w:rPr>
                    <w:t>夜间（LAeqdB(A)）</w:t>
                  </w:r>
                </w:p>
              </w:tc>
              <w:tc>
                <w:tcPr>
                  <w:tcW w:w="1961" w:type="dxa"/>
                  <w:noWrap w:val="0"/>
                  <w:vAlign w:val="center"/>
                </w:tcPr>
                <w:p w14:paraId="5BB00715">
                  <w:pPr>
                    <w:wordWrap w:val="0"/>
                    <w:ind w:left="21" w:leftChars="10" w:right="21" w:rightChars="10"/>
                    <w:jc w:val="center"/>
                    <w:rPr>
                      <w:bCs/>
                      <w:szCs w:val="21"/>
                    </w:rPr>
                  </w:pPr>
                  <w:r>
                    <w:rPr>
                      <w:bCs/>
                      <w:szCs w:val="21"/>
                    </w:rPr>
                    <w:t>昼间（LAeqdB(A)）</w:t>
                  </w:r>
                </w:p>
              </w:tc>
              <w:tc>
                <w:tcPr>
                  <w:tcW w:w="1916" w:type="dxa"/>
                  <w:noWrap w:val="0"/>
                  <w:vAlign w:val="center"/>
                </w:tcPr>
                <w:p w14:paraId="0EB59691">
                  <w:pPr>
                    <w:wordWrap w:val="0"/>
                    <w:ind w:left="21" w:leftChars="10" w:right="21" w:rightChars="10"/>
                    <w:jc w:val="center"/>
                    <w:rPr>
                      <w:bCs/>
                      <w:szCs w:val="21"/>
                    </w:rPr>
                  </w:pPr>
                  <w:r>
                    <w:rPr>
                      <w:bCs/>
                      <w:szCs w:val="21"/>
                    </w:rPr>
                    <w:t>夜间（LAeqdB(A)）</w:t>
                  </w:r>
                </w:p>
              </w:tc>
            </w:tr>
            <w:tr w14:paraId="6CE6721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087" w:type="dxa"/>
                  <w:noWrap w:val="0"/>
                  <w:vAlign w:val="center"/>
                </w:tcPr>
                <w:p w14:paraId="78CE18E5">
                  <w:pPr>
                    <w:wordWrap w:val="0"/>
                    <w:ind w:left="21" w:leftChars="10" w:right="21" w:rightChars="10"/>
                    <w:jc w:val="center"/>
                    <w:rPr>
                      <w:szCs w:val="21"/>
                    </w:rPr>
                  </w:pPr>
                  <w:r>
                    <w:rPr>
                      <w:szCs w:val="21"/>
                    </w:rPr>
                    <w:t>70</w:t>
                  </w:r>
                </w:p>
              </w:tc>
              <w:tc>
                <w:tcPr>
                  <w:tcW w:w="2015" w:type="dxa"/>
                  <w:noWrap w:val="0"/>
                  <w:vAlign w:val="center"/>
                </w:tcPr>
                <w:p w14:paraId="291269C2">
                  <w:pPr>
                    <w:wordWrap w:val="0"/>
                    <w:ind w:left="21" w:leftChars="10" w:right="21" w:rightChars="10"/>
                    <w:jc w:val="center"/>
                    <w:rPr>
                      <w:szCs w:val="21"/>
                    </w:rPr>
                  </w:pPr>
                  <w:r>
                    <w:rPr>
                      <w:szCs w:val="21"/>
                    </w:rPr>
                    <w:t>55</w:t>
                  </w:r>
                </w:p>
              </w:tc>
              <w:tc>
                <w:tcPr>
                  <w:tcW w:w="1961" w:type="dxa"/>
                  <w:noWrap w:val="0"/>
                  <w:vAlign w:val="center"/>
                </w:tcPr>
                <w:p w14:paraId="4E87778C">
                  <w:pPr>
                    <w:wordWrap w:val="0"/>
                    <w:ind w:left="21" w:leftChars="10" w:right="21" w:rightChars="10"/>
                    <w:jc w:val="center"/>
                    <w:rPr>
                      <w:rFonts w:hint="eastAsia" w:eastAsia="宋体"/>
                      <w:szCs w:val="21"/>
                      <w:lang w:eastAsia="zh-CN"/>
                    </w:rPr>
                  </w:pPr>
                  <w:r>
                    <w:rPr>
                      <w:rFonts w:hint="eastAsia"/>
                      <w:szCs w:val="21"/>
                    </w:rPr>
                    <w:t>6</w:t>
                  </w:r>
                  <w:r>
                    <w:rPr>
                      <w:rFonts w:hint="eastAsia"/>
                      <w:szCs w:val="21"/>
                      <w:lang w:val="en-US" w:eastAsia="zh-CN"/>
                    </w:rPr>
                    <w:t>5</w:t>
                  </w:r>
                </w:p>
              </w:tc>
              <w:tc>
                <w:tcPr>
                  <w:tcW w:w="1916" w:type="dxa"/>
                  <w:noWrap w:val="0"/>
                  <w:vAlign w:val="center"/>
                </w:tcPr>
                <w:p w14:paraId="0E882928">
                  <w:pPr>
                    <w:wordWrap w:val="0"/>
                    <w:ind w:left="21" w:leftChars="10" w:right="21" w:rightChars="10"/>
                    <w:jc w:val="center"/>
                    <w:rPr>
                      <w:rFonts w:hint="eastAsia" w:eastAsia="宋体"/>
                      <w:szCs w:val="21"/>
                      <w:lang w:eastAsia="zh-CN"/>
                    </w:rPr>
                  </w:pPr>
                  <w:r>
                    <w:rPr>
                      <w:rFonts w:hint="eastAsia"/>
                      <w:szCs w:val="21"/>
                    </w:rPr>
                    <w:t>5</w:t>
                  </w:r>
                  <w:r>
                    <w:rPr>
                      <w:rFonts w:hint="eastAsia"/>
                      <w:szCs w:val="21"/>
                      <w:lang w:val="en-US" w:eastAsia="zh-CN"/>
                    </w:rPr>
                    <w:t>5</w:t>
                  </w:r>
                </w:p>
              </w:tc>
            </w:tr>
          </w:tbl>
          <w:p w14:paraId="1F46DA6A">
            <w:pPr>
              <w:pStyle w:val="87"/>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cs="Times New Roman"/>
                <w:b w:val="0"/>
                <w:bCs w:val="0"/>
                <w:sz w:val="21"/>
                <w:szCs w:val="21"/>
              </w:rPr>
            </w:pPr>
          </w:p>
          <w:p w14:paraId="42629544">
            <w:pPr>
              <w:pStyle w:val="87"/>
              <w:wordWrap w:val="0"/>
              <w:adjustRightInd/>
              <w:ind w:left="21" w:leftChars="10" w:right="21" w:rightChars="10" w:firstLine="482"/>
              <w:rPr>
                <w:rFonts w:cs="Times New Roman"/>
                <w:b/>
                <w:bCs/>
              </w:rPr>
            </w:pPr>
            <w:r>
              <w:rPr>
                <w:rFonts w:cs="Times New Roman"/>
                <w:b/>
                <w:bCs/>
              </w:rPr>
              <w:t>4、固体废弃物</w:t>
            </w:r>
          </w:p>
          <w:p w14:paraId="68783C4F">
            <w:pPr>
              <w:wordWrap w:val="0"/>
              <w:spacing w:line="360" w:lineRule="auto"/>
              <w:ind w:left="21" w:leftChars="10" w:right="21" w:rightChars="10" w:firstLine="480" w:firstLineChars="200"/>
              <w:rPr>
                <w:rFonts w:hint="eastAsia" w:eastAsia="宋体"/>
                <w:kern w:val="0"/>
                <w:sz w:val="24"/>
                <w:lang w:eastAsia="zh-CN"/>
              </w:rPr>
            </w:pPr>
            <w:r>
              <w:rPr>
                <w:rFonts w:hint="eastAsia" w:eastAsia="宋体"/>
                <w:kern w:val="0"/>
                <w:sz w:val="24"/>
                <w:lang w:eastAsia="zh-CN"/>
              </w:rPr>
              <w:t>根据固废的类别一般固废其贮存过程应满足相应防渗漏、防雨淋、防扬尘等环境保护要求，危险废物执行《危险废物贮存污染控制标准》（GB18597-2023）相关规定。</w:t>
            </w:r>
          </w:p>
        </w:tc>
      </w:tr>
      <w:tr w14:paraId="255568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 w:type="dxa"/>
            <w:bottom w:w="0" w:type="dxa"/>
            <w:right w:w="1" w:type="dxa"/>
          </w:tblCellMar>
        </w:tblPrEx>
        <w:trPr>
          <w:trHeight w:val="90" w:hRule="atLeast"/>
          <w:jc w:val="center"/>
        </w:trPr>
        <w:tc>
          <w:tcPr>
            <w:tcW w:w="800" w:type="dxa"/>
            <w:noWrap w:val="0"/>
            <w:vAlign w:val="center"/>
          </w:tcPr>
          <w:p w14:paraId="4B63D6BA">
            <w:pPr>
              <w:wordWrap w:val="0"/>
              <w:adjustRightInd w:val="0"/>
              <w:ind w:left="21" w:leftChars="10" w:right="21" w:rightChars="10"/>
              <w:jc w:val="center"/>
              <w:rPr>
                <w:b/>
                <w:sz w:val="24"/>
              </w:rPr>
            </w:pPr>
            <w:r>
              <w:rPr>
                <w:b/>
                <w:sz w:val="24"/>
              </w:rPr>
              <w:t>总量</w:t>
            </w:r>
          </w:p>
          <w:p w14:paraId="5D2680A9">
            <w:pPr>
              <w:wordWrap w:val="0"/>
              <w:adjustRightInd w:val="0"/>
              <w:ind w:left="21" w:leftChars="10" w:right="21" w:rightChars="10"/>
              <w:jc w:val="center"/>
              <w:rPr>
                <w:b/>
                <w:sz w:val="24"/>
              </w:rPr>
            </w:pPr>
            <w:r>
              <w:rPr>
                <w:b/>
                <w:sz w:val="24"/>
              </w:rPr>
              <w:t>控制</w:t>
            </w:r>
          </w:p>
          <w:p w14:paraId="033BC74F">
            <w:pPr>
              <w:wordWrap w:val="0"/>
              <w:adjustRightInd w:val="0"/>
              <w:ind w:left="21" w:leftChars="10" w:right="21" w:rightChars="10"/>
              <w:jc w:val="center"/>
              <w:rPr>
                <w:b/>
                <w:sz w:val="24"/>
              </w:rPr>
            </w:pPr>
            <w:r>
              <w:rPr>
                <w:b/>
                <w:sz w:val="24"/>
              </w:rPr>
              <w:t>指标</w:t>
            </w:r>
          </w:p>
        </w:tc>
        <w:tc>
          <w:tcPr>
            <w:tcW w:w="8190" w:type="dxa"/>
            <w:noWrap w:val="0"/>
            <w:vAlign w:val="center"/>
          </w:tcPr>
          <w:p w14:paraId="76276A21">
            <w:pPr>
              <w:wordWrap w:val="0"/>
              <w:spacing w:line="360" w:lineRule="auto"/>
              <w:ind w:left="21" w:leftChars="10" w:right="21" w:rightChars="10"/>
              <w:rPr>
                <w:rFonts w:hint="eastAsia"/>
                <w:sz w:val="24"/>
                <w:highlight w:val="none"/>
              </w:rPr>
            </w:pPr>
            <w:r>
              <w:rPr>
                <w:b/>
                <w:bCs/>
                <w:sz w:val="24"/>
                <w:highlight w:val="none"/>
              </w:rPr>
              <w:t>本项目总量控制建议指标如下：</w:t>
            </w:r>
          </w:p>
          <w:p w14:paraId="103C09F7">
            <w:pPr>
              <w:wordWrap w:val="0"/>
              <w:adjustRightInd w:val="0"/>
              <w:spacing w:line="360" w:lineRule="auto"/>
              <w:ind w:left="21" w:leftChars="10" w:right="21" w:rightChars="10" w:firstLine="482" w:firstLineChars="200"/>
              <w:rPr>
                <w:rFonts w:hint="eastAsia"/>
                <w:b/>
                <w:bCs/>
                <w:sz w:val="24"/>
                <w:highlight w:val="yellow"/>
              </w:rPr>
            </w:pPr>
            <w:r>
              <w:rPr>
                <w:rFonts w:hint="eastAsia"/>
                <w:b/>
                <w:bCs/>
                <w:sz w:val="24"/>
                <w:highlight w:val="none"/>
              </w:rPr>
              <w:t>1、废水</w:t>
            </w:r>
          </w:p>
          <w:p w14:paraId="0EB17356">
            <w:pPr>
              <w:adjustRightInd w:val="0"/>
              <w:spacing w:line="360" w:lineRule="auto"/>
              <w:ind w:firstLine="480" w:firstLineChars="200"/>
              <w:rPr>
                <w:rFonts w:hint="default"/>
                <w:b w:val="0"/>
                <w:bCs w:val="0"/>
                <w:sz w:val="24"/>
                <w:highlight w:val="none"/>
                <w:lang w:val="en-US"/>
              </w:rPr>
            </w:pPr>
            <w:r>
              <w:rPr>
                <w:rFonts w:hint="eastAsia"/>
                <w:bCs/>
                <w:sz w:val="24"/>
                <w:highlight w:val="none"/>
                <w:lang w:eastAsia="zh-CN"/>
              </w:rPr>
              <w:t>本项目</w:t>
            </w:r>
            <w:r>
              <w:rPr>
                <w:rFonts w:hint="eastAsia"/>
                <w:bCs/>
                <w:sz w:val="24"/>
                <w:highlight w:val="none"/>
                <w:lang w:val="en-US" w:eastAsia="zh-CN"/>
              </w:rPr>
              <w:t>生活污水（含食堂废水）经隔油池+化粪池处理后用作农肥不外排，生产检测中心试验设备清洗及运输车辆清洗废水经三级沉淀池沉淀后回用于车辆清洗不外排，项目运营过程无废水外排，不涉及废水总量。</w:t>
            </w:r>
          </w:p>
          <w:p w14:paraId="46F9A2AA">
            <w:pPr>
              <w:wordWrap w:val="0"/>
              <w:spacing w:line="360" w:lineRule="auto"/>
              <w:ind w:left="21" w:leftChars="10" w:right="21" w:rightChars="10" w:firstLine="482" w:firstLineChars="200"/>
              <w:rPr>
                <w:rFonts w:hint="eastAsia"/>
                <w:sz w:val="24"/>
                <w:highlight w:val="none"/>
              </w:rPr>
            </w:pPr>
            <w:r>
              <w:rPr>
                <w:rFonts w:hint="eastAsia"/>
                <w:b/>
                <w:bCs/>
                <w:sz w:val="24"/>
                <w:highlight w:val="none"/>
              </w:rPr>
              <w:t>2、废气</w:t>
            </w:r>
          </w:p>
          <w:p w14:paraId="363C1EB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sz w:val="24"/>
                <w:highlight w:val="yellow"/>
              </w:rPr>
            </w:pPr>
            <w:r>
              <w:rPr>
                <w:sz w:val="24"/>
                <w:highlight w:val="none"/>
              </w:rPr>
              <w:t>根据工程分析，</w:t>
            </w:r>
            <w:r>
              <w:rPr>
                <w:rFonts w:hint="eastAsia"/>
                <w:bCs/>
                <w:sz w:val="24"/>
                <w:szCs w:val="28"/>
                <w:highlight w:val="none"/>
                <w:lang w:val="en-US" w:eastAsia="zh-CN"/>
              </w:rPr>
              <w:t>沥青搅拌、加热、卸料废气经喷淋+干式过滤+活性炭吸附脱附+催化燃烧装置处理后由22m排气筒排放，砂石骨料运输、烘干、提升、筛分粉尘及烘干系统天然气燃烧废气经高温布袋除尘器处理后由22m排气筒排放，再生料破碎筛分粉尘经布袋除尘器处理后由15m排气筒排放，导热油炉天然气燃烧废气经低氮燃烧装置处理后由13m排气筒排放，磨煤系统粉尘及热风炉天然气燃烧废气经高温布袋除尘器处理后由15m排气筒排放，粉料筒仓粉尘及煤粉成品储罐粉尘经筒仓自带除尘器处理后在车间呈无组织排放，食堂油烟经油烟净化器处理后引至屋顶排放，厂区内无组织粉尘经封闭厂房+喷雾降尘处理</w:t>
            </w:r>
            <w:r>
              <w:rPr>
                <w:rFonts w:hint="eastAsia" w:ascii="Times New Roman" w:hAnsi="Times New Roman" w:eastAsia="宋体" w:cs="Times New Roman"/>
                <w:color w:val="auto"/>
                <w:sz w:val="24"/>
                <w:highlight w:val="none"/>
                <w:lang w:val="en-US" w:eastAsia="zh-CN"/>
              </w:rPr>
              <w:t>。</w:t>
            </w:r>
          </w:p>
          <w:p w14:paraId="47D2FF5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宋体" w:cs="Times New Roman"/>
                <w:sz w:val="24"/>
                <w:highlight w:val="none"/>
                <w:lang w:val="en-US" w:eastAsia="zh-CN"/>
              </w:rPr>
            </w:pPr>
            <w:r>
              <w:rPr>
                <w:rFonts w:ascii="Times New Roman" w:hAnsi="Times New Roman" w:eastAsia="宋体" w:cs="Times New Roman"/>
                <w:sz w:val="24"/>
                <w:highlight w:val="none"/>
              </w:rPr>
              <w:t>经计算，建议总量控制指标</w:t>
            </w:r>
            <w:r>
              <w:rPr>
                <w:rFonts w:hint="eastAsia" w:ascii="Times New Roman" w:hAnsi="Times New Roman" w:eastAsia="宋体" w:cs="Times New Roman"/>
                <w:sz w:val="24"/>
                <w:highlight w:val="none"/>
                <w:lang w:val="en-US" w:eastAsia="zh-CN"/>
              </w:rPr>
              <w:t>如下：</w:t>
            </w:r>
          </w:p>
          <w:p w14:paraId="258FACEE">
            <w:pPr>
              <w:numPr>
                <w:ilvl w:val="0"/>
                <w:numId w:val="5"/>
              </w:numPr>
              <w:wordWrap w:val="0"/>
              <w:ind w:left="21" w:leftChars="10" w:right="21" w:rightChars="10" w:firstLine="0"/>
              <w:jc w:val="center"/>
              <w:rPr>
                <w:rFonts w:hint="eastAsia" w:ascii="Times New Roman" w:hAnsi="Times New Roman" w:eastAsia="宋体" w:cs="Times New Roman"/>
                <w:b/>
                <w:bCs/>
                <w:szCs w:val="22"/>
                <w:lang w:val="en-US" w:eastAsia="zh-CN"/>
              </w:rPr>
            </w:pPr>
            <w:r>
              <w:rPr>
                <w:rFonts w:hint="eastAsia" w:cs="Times New Roman"/>
                <w:b/>
                <w:bCs/>
                <w:szCs w:val="22"/>
                <w:lang w:val="en-US" w:eastAsia="zh-CN"/>
              </w:rPr>
              <w:t>本项目</w:t>
            </w:r>
            <w:r>
              <w:rPr>
                <w:rFonts w:hint="eastAsia" w:ascii="Times New Roman" w:hAnsi="Times New Roman" w:eastAsia="宋体" w:cs="Times New Roman"/>
                <w:b/>
                <w:bCs/>
                <w:szCs w:val="22"/>
                <w:lang w:val="en-US" w:eastAsia="zh-CN"/>
              </w:rPr>
              <w:t>建议总量控制指标统计表</w:t>
            </w:r>
          </w:p>
          <w:tbl>
            <w:tblPr>
              <w:tblStyle w:val="27"/>
              <w:tblW w:w="788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971"/>
              <w:gridCol w:w="1972"/>
              <w:gridCol w:w="1972"/>
              <w:gridCol w:w="1972"/>
            </w:tblGrid>
            <w:tr w14:paraId="45FAE1A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971" w:type="dxa"/>
                  <w:tcBorders>
                    <w:tl2br w:val="nil"/>
                    <w:tr2bl w:val="nil"/>
                  </w:tcBorders>
                  <w:vAlign w:val="center"/>
                </w:tcPr>
                <w:p w14:paraId="5713C02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污染物</w:t>
                  </w:r>
                </w:p>
              </w:tc>
              <w:tc>
                <w:tcPr>
                  <w:tcW w:w="1972" w:type="dxa"/>
                  <w:tcBorders>
                    <w:tl2br w:val="nil"/>
                    <w:tr2bl w:val="nil"/>
                  </w:tcBorders>
                  <w:vAlign w:val="center"/>
                </w:tcPr>
                <w:p w14:paraId="495B8A7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有组织排放量（t/a）</w:t>
                  </w:r>
                </w:p>
              </w:tc>
              <w:tc>
                <w:tcPr>
                  <w:tcW w:w="1972" w:type="dxa"/>
                  <w:tcBorders>
                    <w:tl2br w:val="nil"/>
                    <w:tr2bl w:val="nil"/>
                  </w:tcBorders>
                  <w:vAlign w:val="center"/>
                </w:tcPr>
                <w:p w14:paraId="7D7E01A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无组织排放量（t/a）</w:t>
                  </w:r>
                </w:p>
              </w:tc>
              <w:tc>
                <w:tcPr>
                  <w:tcW w:w="1972" w:type="dxa"/>
                  <w:tcBorders>
                    <w:tl2br w:val="nil"/>
                    <w:tr2bl w:val="nil"/>
                  </w:tcBorders>
                  <w:vAlign w:val="center"/>
                </w:tcPr>
                <w:p w14:paraId="4F38112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合计（t/a）</w:t>
                  </w:r>
                </w:p>
              </w:tc>
            </w:tr>
            <w:tr w14:paraId="023F60B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971" w:type="dxa"/>
                  <w:tcBorders>
                    <w:tl2br w:val="nil"/>
                    <w:tr2bl w:val="nil"/>
                  </w:tcBorders>
                  <w:vAlign w:val="center"/>
                </w:tcPr>
                <w:p w14:paraId="039FD83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VOCs（以非甲烷总烃计）</w:t>
                  </w:r>
                </w:p>
              </w:tc>
              <w:tc>
                <w:tcPr>
                  <w:tcW w:w="1972" w:type="dxa"/>
                  <w:tcBorders>
                    <w:tl2br w:val="nil"/>
                    <w:tr2bl w:val="nil"/>
                  </w:tcBorders>
                  <w:vAlign w:val="center"/>
                </w:tcPr>
                <w:p w14:paraId="272E6F3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0.017</w:t>
                  </w:r>
                </w:p>
              </w:tc>
              <w:tc>
                <w:tcPr>
                  <w:tcW w:w="1972" w:type="dxa"/>
                  <w:tcBorders>
                    <w:tl2br w:val="nil"/>
                    <w:tr2bl w:val="nil"/>
                  </w:tcBorders>
                  <w:vAlign w:val="center"/>
                </w:tcPr>
                <w:p w14:paraId="3B6EC25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0.009</w:t>
                  </w:r>
                </w:p>
              </w:tc>
              <w:tc>
                <w:tcPr>
                  <w:tcW w:w="1972" w:type="dxa"/>
                  <w:tcBorders>
                    <w:tl2br w:val="nil"/>
                    <w:tr2bl w:val="nil"/>
                  </w:tcBorders>
                  <w:vAlign w:val="center"/>
                </w:tcPr>
                <w:p w14:paraId="2860B79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0.026</w:t>
                  </w:r>
                </w:p>
              </w:tc>
            </w:tr>
            <w:tr w14:paraId="7554CF5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971" w:type="dxa"/>
                  <w:tcBorders>
                    <w:tl2br w:val="nil"/>
                    <w:tr2bl w:val="nil"/>
                  </w:tcBorders>
                  <w:vAlign w:val="center"/>
                </w:tcPr>
                <w:p w14:paraId="185B8F0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NOx</w:t>
                  </w:r>
                </w:p>
              </w:tc>
              <w:tc>
                <w:tcPr>
                  <w:tcW w:w="1972" w:type="dxa"/>
                  <w:tcBorders>
                    <w:tl2br w:val="nil"/>
                    <w:tr2bl w:val="nil"/>
                  </w:tcBorders>
                  <w:vAlign w:val="center"/>
                </w:tcPr>
                <w:p w14:paraId="6CB2053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4.514</w:t>
                  </w:r>
                </w:p>
              </w:tc>
              <w:tc>
                <w:tcPr>
                  <w:tcW w:w="1972" w:type="dxa"/>
                  <w:tcBorders>
                    <w:tl2br w:val="nil"/>
                    <w:tr2bl w:val="nil"/>
                  </w:tcBorders>
                  <w:vAlign w:val="center"/>
                </w:tcPr>
                <w:p w14:paraId="32C1BBA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0.2338</w:t>
                  </w:r>
                </w:p>
              </w:tc>
              <w:tc>
                <w:tcPr>
                  <w:tcW w:w="1972" w:type="dxa"/>
                  <w:tcBorders>
                    <w:tl2br w:val="nil"/>
                    <w:tr2bl w:val="nil"/>
                  </w:tcBorders>
                  <w:vAlign w:val="center"/>
                </w:tcPr>
                <w:p w14:paraId="3BE7561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4.7478</w:t>
                  </w:r>
                </w:p>
              </w:tc>
            </w:tr>
          </w:tbl>
          <w:p w14:paraId="78C605D8">
            <w:pPr>
              <w:pStyle w:val="76"/>
              <w:ind w:left="0" w:leftChars="0" w:firstLine="0" w:firstLineChars="0"/>
              <w:rPr>
                <w:rFonts w:hint="eastAsia"/>
                <w:kern w:val="0"/>
              </w:rPr>
            </w:pPr>
          </w:p>
        </w:tc>
      </w:tr>
    </w:tbl>
    <w:p w14:paraId="0D949B7F">
      <w:pPr>
        <w:pStyle w:val="22"/>
        <w:wordWrap w:val="0"/>
        <w:spacing w:before="0" w:beforeAutospacing="0" w:after="0" w:afterAutospacing="0"/>
        <w:jc w:val="center"/>
        <w:outlineLvl w:val="0"/>
        <w:rPr>
          <w:rFonts w:ascii="Times New Roman" w:hAnsi="Times New Roman" w:eastAsia="黑体"/>
          <w:snapToGrid w:val="0"/>
          <w:sz w:val="30"/>
          <w:szCs w:val="30"/>
        </w:rPr>
      </w:pPr>
      <w:r>
        <w:rPr>
          <w:rFonts w:ascii="Times New Roman" w:hAnsi="Times New Roman" w:eastAsia="黑体"/>
          <w:snapToGrid w:val="0"/>
          <w:sz w:val="36"/>
          <w:szCs w:val="36"/>
        </w:rPr>
        <w:br w:type="page"/>
      </w:r>
      <w:r>
        <w:rPr>
          <w:rFonts w:ascii="Times New Roman" w:hAnsi="Times New Roman" w:eastAsia="黑体"/>
          <w:snapToGrid w:val="0"/>
          <w:sz w:val="30"/>
          <w:szCs w:val="30"/>
        </w:rPr>
        <w:t>四、主要环境影响和保护措施</w:t>
      </w:r>
    </w:p>
    <w:tbl>
      <w:tblPr>
        <w:tblStyle w:val="26"/>
        <w:tblW w:w="88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 w:type="dxa"/>
          <w:bottom w:w="0" w:type="dxa"/>
          <w:right w:w="1" w:type="dxa"/>
        </w:tblCellMar>
      </w:tblPr>
      <w:tblGrid>
        <w:gridCol w:w="746"/>
        <w:gridCol w:w="8060"/>
      </w:tblGrid>
      <w:tr w14:paraId="31AE94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 w:type="dxa"/>
            <w:bottom w:w="0" w:type="dxa"/>
            <w:right w:w="1" w:type="dxa"/>
          </w:tblCellMar>
        </w:tblPrEx>
        <w:trPr>
          <w:trHeight w:val="90" w:hRule="atLeast"/>
          <w:jc w:val="center"/>
        </w:trPr>
        <w:tc>
          <w:tcPr>
            <w:tcW w:w="746" w:type="dxa"/>
            <w:noWrap w:val="0"/>
            <w:tcMar>
              <w:left w:w="28" w:type="dxa"/>
              <w:right w:w="28" w:type="dxa"/>
            </w:tcMar>
            <w:vAlign w:val="center"/>
          </w:tcPr>
          <w:p w14:paraId="4D75E6D8">
            <w:pPr>
              <w:wordWrap w:val="0"/>
              <w:adjustRightInd w:val="0"/>
              <w:jc w:val="center"/>
              <w:rPr>
                <w:b/>
                <w:sz w:val="24"/>
              </w:rPr>
            </w:pPr>
            <w:r>
              <w:rPr>
                <w:b/>
                <w:sz w:val="24"/>
              </w:rPr>
              <w:t>施工</w:t>
            </w:r>
          </w:p>
          <w:p w14:paraId="37DF0C48">
            <w:pPr>
              <w:wordWrap w:val="0"/>
              <w:adjustRightInd w:val="0"/>
              <w:jc w:val="center"/>
              <w:rPr>
                <w:b/>
                <w:sz w:val="24"/>
              </w:rPr>
            </w:pPr>
            <w:r>
              <w:rPr>
                <w:b/>
                <w:sz w:val="24"/>
              </w:rPr>
              <w:t>期环</w:t>
            </w:r>
          </w:p>
          <w:p w14:paraId="3E1380B2">
            <w:pPr>
              <w:wordWrap w:val="0"/>
              <w:adjustRightInd w:val="0"/>
              <w:jc w:val="center"/>
              <w:rPr>
                <w:b/>
                <w:sz w:val="24"/>
              </w:rPr>
            </w:pPr>
            <w:r>
              <w:rPr>
                <w:b/>
                <w:sz w:val="24"/>
              </w:rPr>
              <w:t>境保</w:t>
            </w:r>
          </w:p>
          <w:p w14:paraId="7658DCDC">
            <w:pPr>
              <w:wordWrap w:val="0"/>
              <w:adjustRightInd w:val="0"/>
              <w:jc w:val="center"/>
              <w:rPr>
                <w:b/>
                <w:sz w:val="24"/>
              </w:rPr>
            </w:pPr>
            <w:r>
              <w:rPr>
                <w:b/>
                <w:sz w:val="24"/>
              </w:rPr>
              <w:t>护措</w:t>
            </w:r>
          </w:p>
          <w:p w14:paraId="2CB0781F">
            <w:pPr>
              <w:wordWrap w:val="0"/>
              <w:adjustRightInd w:val="0"/>
              <w:jc w:val="center"/>
              <w:rPr>
                <w:b/>
                <w:sz w:val="24"/>
              </w:rPr>
            </w:pPr>
            <w:r>
              <w:rPr>
                <w:b/>
                <w:sz w:val="24"/>
              </w:rPr>
              <w:t>施</w:t>
            </w:r>
          </w:p>
        </w:tc>
        <w:tc>
          <w:tcPr>
            <w:tcW w:w="8060" w:type="dxa"/>
            <w:noWrap w:val="0"/>
            <w:vAlign w:val="center"/>
          </w:tcPr>
          <w:p w14:paraId="4E6FD2D9">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本项目施工期主要任务为</w:t>
            </w:r>
            <w:r>
              <w:rPr>
                <w:rFonts w:hint="eastAsia" w:cs="Times New Roman"/>
                <w:b w:val="0"/>
                <w:bCs/>
                <w:color w:val="auto"/>
                <w:sz w:val="24"/>
                <w:lang w:val="en-US" w:eastAsia="zh-CN"/>
              </w:rPr>
              <w:t>原有设备拆除、生产车间</w:t>
            </w:r>
            <w:r>
              <w:rPr>
                <w:rFonts w:hint="default" w:ascii="Times New Roman" w:hAnsi="Times New Roman" w:eastAsia="宋体" w:cs="Times New Roman"/>
                <w:b w:val="0"/>
                <w:bCs/>
                <w:color w:val="auto"/>
                <w:sz w:val="24"/>
              </w:rPr>
              <w:t>主体工程建设、装饰工程、设备安装等。施工期主要有施工扬尘、装修废气、施工机械尾气、建筑垃圾、</w:t>
            </w:r>
            <w:r>
              <w:rPr>
                <w:rFonts w:hint="eastAsia" w:cs="Times New Roman"/>
                <w:b w:val="0"/>
                <w:bCs/>
                <w:color w:val="auto"/>
                <w:sz w:val="24"/>
                <w:lang w:val="en-US" w:eastAsia="zh-CN"/>
              </w:rPr>
              <w:t>弃土、拆除老旧设备、施工生活垃圾、</w:t>
            </w:r>
            <w:r>
              <w:rPr>
                <w:rFonts w:hint="default" w:ascii="Times New Roman" w:hAnsi="Times New Roman" w:eastAsia="宋体" w:cs="Times New Roman"/>
                <w:b w:val="0"/>
                <w:bCs/>
                <w:color w:val="auto"/>
                <w:sz w:val="24"/>
              </w:rPr>
              <w:t>噪声和废水（包括工地生活污水和工地施工废水）产生。</w:t>
            </w:r>
          </w:p>
          <w:p w14:paraId="06DB6C97">
            <w:pPr>
              <w:spacing w:line="360" w:lineRule="auto"/>
              <w:ind w:firstLine="482" w:firstLineChars="200"/>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rPr>
              <w:t>1</w:t>
            </w:r>
            <w:r>
              <w:rPr>
                <w:rFonts w:hint="eastAsia" w:cs="Times New Roman"/>
                <w:b/>
                <w:bCs w:val="0"/>
                <w:color w:val="auto"/>
                <w:sz w:val="24"/>
                <w:lang w:eastAsia="zh-CN"/>
              </w:rPr>
              <w:t>、</w:t>
            </w:r>
            <w:r>
              <w:rPr>
                <w:rFonts w:hint="default" w:ascii="Times New Roman" w:hAnsi="Times New Roman" w:eastAsia="宋体" w:cs="Times New Roman"/>
                <w:b/>
                <w:bCs w:val="0"/>
                <w:color w:val="auto"/>
                <w:sz w:val="24"/>
              </w:rPr>
              <w:t>施工期大气环境保护措施</w:t>
            </w:r>
          </w:p>
          <w:p w14:paraId="2B5CA32D">
            <w:pPr>
              <w:spacing w:line="360" w:lineRule="auto"/>
              <w:ind w:firstLine="482" w:firstLineChars="200"/>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rPr>
              <w:t>1.1产排污环节</w:t>
            </w:r>
          </w:p>
          <w:p w14:paraId="20060C93">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根据项目工程分析，项目施工期大气污染源主要来自以下方面：</w:t>
            </w:r>
          </w:p>
          <w:p w14:paraId="71DC1FE1">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（1）基础开挖过程中产生的扬尘以及土方露天堆放产生的风力扬尘等；</w:t>
            </w:r>
          </w:p>
          <w:p w14:paraId="25B574F0">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（2）建筑材料的现场搬运及堆放扬尘；施工垃圾的清理及堆放扬尘；人来车往造成的现场道路扬尘；</w:t>
            </w:r>
          </w:p>
          <w:p w14:paraId="0BB6DF3A">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（3）装饰工程施工如漆、涂、磨、刨、钻、砂等装饰作业以及使用某些装饰材料如油漆、人造板、某些有害物质的涂料等形成扬尘和有机废气污染物；</w:t>
            </w:r>
          </w:p>
          <w:p w14:paraId="5C2E63C1">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（4）施工机械设备排放的少量无组织废气等。</w:t>
            </w:r>
          </w:p>
          <w:p w14:paraId="0A3B165A">
            <w:pPr>
              <w:spacing w:line="360" w:lineRule="auto"/>
              <w:ind w:firstLine="482" w:firstLineChars="200"/>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rPr>
              <w:t>1.2环境保护措施</w:t>
            </w:r>
          </w:p>
          <w:p w14:paraId="594B9924">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（1）施工扬尘</w:t>
            </w:r>
          </w:p>
          <w:p w14:paraId="2A7AD955">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在施工过程中，施工单位必须严格依照城市扬尘防护规定进行施工，尽量减少扬尘对环境的影响程度，使周界外浓度低于1.0mg/m</w:t>
            </w:r>
            <w:r>
              <w:rPr>
                <w:rFonts w:hint="default" w:ascii="Times New Roman" w:hAnsi="Times New Roman" w:eastAsia="宋体" w:cs="Times New Roman"/>
                <w:b w:val="0"/>
                <w:bCs/>
                <w:color w:val="auto"/>
                <w:sz w:val="24"/>
                <w:vertAlign w:val="superscript"/>
              </w:rPr>
              <w:t>3</w:t>
            </w:r>
            <w:r>
              <w:rPr>
                <w:rFonts w:hint="default" w:ascii="Times New Roman" w:hAnsi="Times New Roman" w:eastAsia="宋体" w:cs="Times New Roman"/>
                <w:b w:val="0"/>
                <w:bCs/>
                <w:color w:val="auto"/>
                <w:sz w:val="24"/>
              </w:rPr>
              <w:t>。根据《四川省打赢蓝天保卫战等九个实施方案的通知》（川府发</w:t>
            </w:r>
            <w:r>
              <w:rPr>
                <w:rFonts w:hint="eastAsia" w:cs="Times New Roman"/>
                <w:b w:val="0"/>
                <w:bCs/>
                <w:color w:val="auto"/>
                <w:sz w:val="24"/>
                <w:lang w:eastAsia="zh-CN"/>
              </w:rPr>
              <w:t>【</w:t>
            </w:r>
            <w:r>
              <w:rPr>
                <w:rFonts w:hint="default" w:ascii="Times New Roman" w:hAnsi="Times New Roman" w:eastAsia="宋体" w:cs="Times New Roman"/>
                <w:b w:val="0"/>
                <w:bCs/>
                <w:color w:val="auto"/>
                <w:sz w:val="24"/>
              </w:rPr>
              <w:t>2019</w:t>
            </w:r>
            <w:r>
              <w:rPr>
                <w:rFonts w:hint="eastAsia" w:cs="Times New Roman"/>
                <w:b w:val="0"/>
                <w:bCs/>
                <w:color w:val="auto"/>
                <w:sz w:val="24"/>
                <w:lang w:eastAsia="zh-CN"/>
              </w:rPr>
              <w:t>】</w:t>
            </w:r>
            <w:r>
              <w:rPr>
                <w:rFonts w:hint="default" w:ascii="Times New Roman" w:hAnsi="Times New Roman" w:eastAsia="宋体" w:cs="Times New Roman"/>
                <w:b w:val="0"/>
                <w:bCs/>
                <w:color w:val="auto"/>
                <w:sz w:val="24"/>
              </w:rPr>
              <w:t>4号）、《四川省建筑工程扬尘污染防治技术导则（试行）》及《四川省施工场地扬尘排放标准》（DB512682-2020）中限值要求，具体防治扬尘措施如下：</w:t>
            </w:r>
          </w:p>
          <w:p w14:paraId="4E1879DB">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①积极推行绿色施工、加强对扬尘的源头的管理，施工工地进行打围施工，对产生扬尘的环节通过洒水降尘等方式进行湿法作业，严禁超载、冒载，严禁未密闭的运渣车驶出施工工地。严格执行“六必须、六不准”的要求：必须围档作业、必须硬化道路、必须设置冲洗设施、必须及时洒水作业、必须落实保洁人员、必须定时清扫施工现场，不准车辆带泥出门、不准运渣车辆冒顶装载、不准高空抛撒建筑垃圾、不准现场搅拌混凝土、不准场地积水、不准现场焚烧废弃物。</w:t>
            </w:r>
          </w:p>
          <w:p w14:paraId="5A38A84F">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②出场车辆应保持车身及轮胎干净整洁，无土、泥沙等物料附着。土石方运输车辆必须实施全覆盖，避免扬尘及撒漏。</w:t>
            </w:r>
          </w:p>
          <w:p w14:paraId="4F288702">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③材料运输车禁止超载，装高不得超过车厢板，并加盖篷布，防止沿途洒落；及时清理施工废弃物，暂时不能清运的应采取覆盖等措施；大风天气应加强施工场地洒水增湿作业。</w:t>
            </w:r>
          </w:p>
          <w:p w14:paraId="49F7403C">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④施工场地设置雾炮除尘机进行喷雾降尘，在晴天实时洒水，包括施工路段及主要运输道路，大风干燥天气应增大洒水频次。风速五级以上易产生扬尘时，建议施工单位应暂停土方开挖，同时采取覆盖临时表土堆。</w:t>
            </w:r>
          </w:p>
          <w:p w14:paraId="7B4F17F0">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⑤对土石方转运及材料运输车辆进出口设置防尘措施，避免对交通道路造成扬尘污染。</w:t>
            </w:r>
          </w:p>
          <w:p w14:paraId="4F130B0A">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⑥运输车辆的运输时间和路线要按照当地城市管理相关部门的要求执行。</w:t>
            </w:r>
          </w:p>
          <w:p w14:paraId="32D84314">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⑦开挖后的土方尽快回填，开挖的表土采取薄膜覆盖措施，</w:t>
            </w:r>
            <w:r>
              <w:rPr>
                <w:rFonts w:hint="eastAsia" w:cs="Times New Roman"/>
                <w:b w:val="0"/>
                <w:bCs/>
                <w:color w:val="auto"/>
                <w:sz w:val="24"/>
                <w:lang w:val="en-US" w:eastAsia="zh-CN"/>
              </w:rPr>
              <w:t>回填剩余弃土及</w:t>
            </w:r>
            <w:r>
              <w:rPr>
                <w:rFonts w:hint="default" w:ascii="Times New Roman" w:hAnsi="Times New Roman" w:eastAsia="宋体" w:cs="Times New Roman"/>
                <w:b w:val="0"/>
                <w:bCs/>
                <w:color w:val="auto"/>
                <w:sz w:val="24"/>
              </w:rPr>
              <w:t>建筑弃渣等及时外运，运输车辆的车箱遮盖严密后方可运出场外。</w:t>
            </w:r>
          </w:p>
          <w:p w14:paraId="0E22A6CF">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此外，施工单位在施工过程中还应满足《四川省建筑工程扬尘污染防治技术导则（试行）》《四川省施工场地扬尘排放标准》（DB512682-2020）中</w:t>
            </w:r>
            <w:r>
              <w:rPr>
                <w:rFonts w:hint="eastAsia" w:cs="Times New Roman"/>
                <w:b w:val="0"/>
                <w:bCs/>
                <w:color w:val="auto"/>
                <w:sz w:val="24"/>
                <w:lang w:val="en-US" w:eastAsia="zh-CN"/>
              </w:rPr>
              <w:t>达州市</w:t>
            </w:r>
            <w:r>
              <w:rPr>
                <w:rFonts w:hint="default" w:ascii="Times New Roman" w:hAnsi="Times New Roman" w:eastAsia="宋体" w:cs="Times New Roman"/>
                <w:b w:val="0"/>
                <w:bCs/>
                <w:color w:val="auto"/>
                <w:sz w:val="24"/>
              </w:rPr>
              <w:t>限值、《四川省大气污染防治行动计划实施细则》相关要求。</w:t>
            </w:r>
          </w:p>
          <w:p w14:paraId="1A1142A6">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①《四川省建筑工程扬尘污染防治技术导则（试行）》</w:t>
            </w:r>
          </w:p>
          <w:p w14:paraId="75A6B221">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根据《四川省建筑工程扬尘污染防治技术导则（试行）》中“7.1 房屋建筑工程”指出：</w:t>
            </w:r>
          </w:p>
          <w:p w14:paraId="3C89F9E6">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基坑（土方）工程：</w:t>
            </w:r>
          </w:p>
          <w:p w14:paraId="16B788B8">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1）基坑土方开挖及回填时，应同步落实湿法作业措施，作业时应根据合理需要撤除覆盖，非作业范围保持覆盖完整。</w:t>
            </w:r>
          </w:p>
          <w:p w14:paraId="436013EC">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2）基坑护坡等喷射混凝土施工宜采用湿喷或水泥裹砂喷射工艺。</w:t>
            </w:r>
          </w:p>
          <w:p w14:paraId="329980A8">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3）土方运输车辆应保证密闭运输、车身干净、不带泥行驶等。</w:t>
            </w:r>
          </w:p>
          <w:p w14:paraId="5530C6E4">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4）泥浆产生量较大的作业如盾构等宜设置泥浆处理工作站进行泥水分离，处理后的泥饼妥善处理并及时清运，不能及时清运的泥饼应采取覆盖等防尘措施，减少扬尘污染。</w:t>
            </w:r>
          </w:p>
          <w:p w14:paraId="38DE1B7E">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5）风速四级以上天气时，建筑施工现场应停止土石方开挖、锚杆打孔、建筑垃圾清理和倒运等易产生扬尘的作业。</w:t>
            </w:r>
          </w:p>
          <w:p w14:paraId="0C7B8C00">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主体结构及装饰工程：</w:t>
            </w:r>
          </w:p>
          <w:p w14:paraId="3AC08B86">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1）建筑物主体作业层必须使用密目式安全立网或整体提升架进行全封闭施工，保持外立面整洁、完好。</w:t>
            </w:r>
          </w:p>
          <w:p w14:paraId="2FCE4D9E">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2）主体结构和装饰装修工程用外脚手架应符合以下要求：</w:t>
            </w:r>
          </w:p>
          <w:p w14:paraId="339FD8C5">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a.脚手架周边外侧应全部用密目式安全立网封闭，密目式安全立网应满足《安全网》（GB5725-2009）的要求；</w:t>
            </w:r>
          </w:p>
          <w:p w14:paraId="34AB4424">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b.作业层脚手板应铺满、铺稳，铺实；</w:t>
            </w:r>
          </w:p>
          <w:p w14:paraId="48BE3FAF">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c.悬挑脚手架在悬挑层下端应采用胶合板等水平封堵密实，或在满铺的脚手板下用密目式安全立网兜底防护；</w:t>
            </w:r>
          </w:p>
          <w:p w14:paraId="4289E14F">
            <w:pPr>
              <w:spacing w:line="360" w:lineRule="auto"/>
              <w:ind w:firstLine="480" w:firstLineChars="200"/>
              <w:rPr>
                <w:rFonts w:hint="eastAsia" w:ascii="Times New Roman" w:hAnsi="Times New Roman" w:eastAsia="宋体" w:cs="Times New Roman"/>
                <w:b w:val="0"/>
                <w:bCs/>
                <w:color w:val="auto"/>
                <w:sz w:val="24"/>
                <w:lang w:eastAsia="zh-CN"/>
              </w:rPr>
            </w:pPr>
            <w:r>
              <w:rPr>
                <w:rFonts w:hint="default" w:ascii="Times New Roman" w:hAnsi="Times New Roman" w:eastAsia="宋体" w:cs="Times New Roman"/>
                <w:b w:val="0"/>
                <w:bCs/>
                <w:color w:val="auto"/>
                <w:sz w:val="24"/>
              </w:rPr>
              <w:t>d.应及时清理脚手板上的建筑垃圾，清理时应提前洒水润湿，严禁采用掀起、拍打或吹风等方式清理，避免产生扬尘</w:t>
            </w:r>
            <w:r>
              <w:rPr>
                <w:rFonts w:hint="eastAsia" w:cs="Times New Roman"/>
                <w:b w:val="0"/>
                <w:bCs/>
                <w:color w:val="auto"/>
                <w:sz w:val="24"/>
                <w:lang w:eastAsia="zh-CN"/>
              </w:rPr>
              <w:t>；</w:t>
            </w:r>
          </w:p>
          <w:p w14:paraId="0C5DABA7">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e.楼层密目安全网污损时应及时更换，保持整洁无破损。</w:t>
            </w:r>
          </w:p>
          <w:p w14:paraId="45CC75AB">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3）主体结构及装饰装修施工时，应按本导则7.5.3条设置喷淋装置，施工现场进行清理、钻孔、铣刨、爆破、拆除、切割、开挖及现场搅拌等作业时，应在密闭空间进行或采取洒水喷淋等湿法作业法进行施工。</w:t>
            </w:r>
          </w:p>
          <w:p w14:paraId="62A50730">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4）施工现场应采取湿法作业及时清扫建筑垃圾，保持施工现场整洁。高层建筑施工过程中，室内垃圾的装袋清运应采用塔吊、施工升降机等设备运输，或设置专用的垃圾处理系统进行密闭运输，严禁凌空抛掷。</w:t>
            </w:r>
          </w:p>
          <w:p w14:paraId="6BDD88BA">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5）施工现场应设建筑废料集中堆放点，分类堆放，及时清运，对水泥、腻子粉、石膏粉等扬尘污染的物料，应利用仓库、储藏罐、封闭或半封闭堆场等形式分类存放。</w:t>
            </w:r>
          </w:p>
          <w:p w14:paraId="7C33BA2C">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6）建设工程应使用预拌混凝土和预拌砂浆，因特殊情况需现场搅拌的，必须设置密闭装置，采取降尘措施。</w:t>
            </w:r>
          </w:p>
          <w:p w14:paraId="2FBAF8F9">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7）电焊烟气、进出场车辆及机械设备废气排放应符合国家有关环保标准要求；严禁在施工现场排放有毒烟尘和气体，不得在施工现场洗石灰、熬煎沥青、焚烧各类废弃物，工地生活燃料应符合相关规定。</w:t>
            </w:r>
          </w:p>
          <w:p w14:paraId="610B24EC">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②施工扬尘满足《四川省施工场地扬尘排放标准》（DB51/2682-2020）中</w:t>
            </w:r>
            <w:r>
              <w:rPr>
                <w:rFonts w:hint="eastAsia" w:cs="Times New Roman"/>
                <w:b w:val="0"/>
                <w:bCs/>
                <w:color w:val="auto"/>
                <w:sz w:val="24"/>
                <w:lang w:val="en-US" w:eastAsia="zh-CN"/>
              </w:rPr>
              <w:t>达州市</w:t>
            </w:r>
            <w:r>
              <w:rPr>
                <w:rFonts w:hint="default" w:ascii="Times New Roman" w:hAnsi="Times New Roman" w:eastAsia="宋体" w:cs="Times New Roman"/>
                <w:b w:val="0"/>
                <w:bCs/>
                <w:color w:val="auto"/>
                <w:sz w:val="24"/>
              </w:rPr>
              <w:t>限值要求，即：自监测起连续15分钟，拆除工程/土方开挖/土方回填阶段产生的扬尘≤0.6mg/m</w:t>
            </w:r>
            <w:r>
              <w:rPr>
                <w:rFonts w:hint="default" w:ascii="Times New Roman" w:hAnsi="Times New Roman" w:eastAsia="宋体" w:cs="Times New Roman"/>
                <w:b w:val="0"/>
                <w:bCs/>
                <w:color w:val="auto"/>
                <w:sz w:val="24"/>
                <w:vertAlign w:val="superscript"/>
              </w:rPr>
              <w:t>3</w:t>
            </w:r>
            <w:r>
              <w:rPr>
                <w:rFonts w:hint="default" w:ascii="Times New Roman" w:hAnsi="Times New Roman" w:eastAsia="宋体" w:cs="Times New Roman"/>
                <w:b w:val="0"/>
                <w:bCs/>
                <w:color w:val="auto"/>
                <w:sz w:val="24"/>
              </w:rPr>
              <w:t>，其他工程阶段产生的扬尘≤0.25mg/m</w:t>
            </w:r>
            <w:r>
              <w:rPr>
                <w:rFonts w:hint="default" w:ascii="Times New Roman" w:hAnsi="Times New Roman" w:eastAsia="宋体" w:cs="Times New Roman"/>
                <w:b w:val="0"/>
                <w:bCs/>
                <w:color w:val="auto"/>
                <w:sz w:val="24"/>
                <w:vertAlign w:val="superscript"/>
              </w:rPr>
              <w:t>3</w:t>
            </w:r>
            <w:r>
              <w:rPr>
                <w:rFonts w:hint="default" w:ascii="Times New Roman" w:hAnsi="Times New Roman" w:eastAsia="宋体" w:cs="Times New Roman"/>
                <w:b w:val="0"/>
                <w:bCs/>
                <w:color w:val="auto"/>
                <w:sz w:val="24"/>
              </w:rPr>
              <w:t>。</w:t>
            </w:r>
          </w:p>
          <w:p w14:paraId="7B7705A2">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③《四川省大气污染防治行动计划实施细则》严控工地、道路、堆场扬尘污染。强化城市施工工地扬尘环境管控，积极推行绿色施工，严格执行安全文明施工标准规范，全面推行现场标准化管理。严格落实施工现场围挡、工地物料堆场覆盖、施工现场路面硬化、驶出工地车辆冲洗、拆迁工地湿法作业、渣土运输车辆密闭等扬尘防治要求。渣土密闭运输。加强建设工地监督检查，督促责任单位落实降尘、压尘和抑尘措施。</w:t>
            </w:r>
          </w:p>
          <w:p w14:paraId="4F72CCD0">
            <w:pPr>
              <w:spacing w:line="360" w:lineRule="auto"/>
              <w:ind w:firstLine="482" w:firstLineChars="200"/>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rPr>
              <w:t>综上所述，施工单位应严格按照相关要求采取扬尘防治措施，加强施工场地管理和组织秩序，确保施工期间做到文明施工、不扰民、少污染。</w:t>
            </w:r>
          </w:p>
          <w:p w14:paraId="1FCB6B94">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（2）施工机械废气</w:t>
            </w:r>
          </w:p>
          <w:p w14:paraId="09102783">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项目施工期间，使用机动车运送原材料、设备和建筑机械设备的运转，均会排放一定量的CO、NO</w:t>
            </w:r>
            <w:r>
              <w:rPr>
                <w:rFonts w:hint="eastAsia" w:cs="Times New Roman"/>
                <w:b w:val="0"/>
                <w:bCs/>
                <w:color w:val="auto"/>
                <w:sz w:val="24"/>
                <w:vertAlign w:val="subscript"/>
                <w:lang w:val="en-US" w:eastAsia="zh-CN"/>
              </w:rPr>
              <w:t>x</w:t>
            </w:r>
            <w:r>
              <w:rPr>
                <w:rFonts w:hint="default" w:ascii="Times New Roman" w:hAnsi="Times New Roman" w:eastAsia="宋体" w:cs="Times New Roman"/>
                <w:b w:val="0"/>
                <w:bCs/>
                <w:color w:val="auto"/>
                <w:sz w:val="24"/>
              </w:rPr>
              <w:t>以及未完全燃烧的HC等，其特点是排放量小，且属间断性无组织排放，由于其这一特点，在加强施工机械和运输车辆管理和合理安排调度作业的前提下，加之施工场地开阔，扩散条件良好，因此对其不加处理也可达到相应的排放标准。此外，在施工期内应多加注意施工设备的维护，使其能够正常的运行，提高设备原料的利用率。</w:t>
            </w:r>
          </w:p>
          <w:p w14:paraId="6A0C45F4">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（3）装修废气</w:t>
            </w:r>
          </w:p>
          <w:p w14:paraId="3364C15F">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装修过程中主要污染因子是涂料挥发废气，该废气的排放属无组织排放，由于装修阶段的装修废气排放周期短，且装修面积较少、作业点分散，故装修期间应加强通风换气。</w:t>
            </w:r>
          </w:p>
          <w:p w14:paraId="6FC2E3F0">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环评要求采用优质环保的装修材料，使用无污染性废气产生的材料、涂料，减少废气中有害物质的排放。</w:t>
            </w:r>
          </w:p>
          <w:p w14:paraId="4C5854CA">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装修废气防治措施：①明确项目建筑工程不得使用已经淘汰的非节能建筑技术和产品，应尽量采用环保型建筑和装饰材料，禁止使用有毒有害等超过国家标准的建筑和装饰材料，减少或控制挥发性有机污染物；②加强施工管理，最大限度地防止跑、冒、滴、漏现象发生，减少原材料浪费带来的废气排放；③施工作业场所加强通风，保证空气流通，降低污染物浓度；④施工作业人员配戴防毒面罩和口罩；⑤装修须采用符合国家要求的环保材料，装修工程中注意室内通风，应尽量采用环保型建筑和装饰材料，减轻挥发性有机污染物排放，禁止使用有毒有害等超过国家标准的建筑和装饰材料。</w:t>
            </w:r>
          </w:p>
          <w:p w14:paraId="0B3B759F">
            <w:pPr>
              <w:spacing w:line="360" w:lineRule="auto"/>
              <w:ind w:firstLine="480" w:firstLineChars="200"/>
              <w:rPr>
                <w:rFonts w:hint="default" w:ascii="Times New Roman" w:hAnsi="Times New Roman" w:eastAsia="宋体" w:cs="Times New Roman"/>
                <w:b/>
                <w:bCs w:val="0"/>
                <w:color w:val="auto"/>
                <w:sz w:val="24"/>
              </w:rPr>
            </w:pPr>
            <w:r>
              <w:rPr>
                <w:rFonts w:hint="default" w:ascii="Times New Roman" w:hAnsi="Times New Roman" w:eastAsia="宋体" w:cs="Times New Roman"/>
                <w:b w:val="0"/>
                <w:bCs/>
                <w:color w:val="auto"/>
                <w:sz w:val="24"/>
              </w:rPr>
              <w:t>在采取以上措施后，本项目施工期废气得到了良好的控制，施工期废气影响为暂时影响，施工期结束后影响即消失，对周边环境的影响在可接受的范围内。</w:t>
            </w:r>
          </w:p>
          <w:p w14:paraId="10F945E5">
            <w:pPr>
              <w:spacing w:line="360" w:lineRule="auto"/>
              <w:ind w:firstLine="482" w:firstLineChars="200"/>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rPr>
              <w:t>2</w:t>
            </w:r>
            <w:r>
              <w:rPr>
                <w:rFonts w:hint="eastAsia" w:cs="Times New Roman"/>
                <w:b/>
                <w:bCs w:val="0"/>
                <w:color w:val="auto"/>
                <w:sz w:val="24"/>
                <w:lang w:eastAsia="zh-CN"/>
              </w:rPr>
              <w:t>、</w:t>
            </w:r>
            <w:r>
              <w:rPr>
                <w:rFonts w:hint="default" w:ascii="Times New Roman" w:hAnsi="Times New Roman" w:eastAsia="宋体" w:cs="Times New Roman"/>
                <w:b/>
                <w:bCs w:val="0"/>
                <w:color w:val="auto"/>
                <w:sz w:val="24"/>
              </w:rPr>
              <w:t>施工期水环境保护措施</w:t>
            </w:r>
          </w:p>
          <w:p w14:paraId="53A7ACBA">
            <w:pPr>
              <w:spacing w:line="360" w:lineRule="auto"/>
              <w:ind w:firstLine="482" w:firstLineChars="200"/>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rPr>
              <w:t>2.1产排污环节</w:t>
            </w:r>
          </w:p>
          <w:p w14:paraId="0CB7355D">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施工期废水主要为建筑施工产生的施工废水和施工人员生活污水。</w:t>
            </w:r>
          </w:p>
          <w:p w14:paraId="312C2B99">
            <w:pPr>
              <w:spacing w:line="360" w:lineRule="auto"/>
              <w:ind w:firstLine="482" w:firstLineChars="200"/>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rPr>
              <w:t>2.2环境保护措施</w:t>
            </w:r>
          </w:p>
          <w:p w14:paraId="4E0E0683">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（1）施工废水</w:t>
            </w:r>
          </w:p>
          <w:p w14:paraId="4532CFA9">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机械和车辆冲洗废水：主要为含油废水，机械和车辆冲洗废水。该部分废水中主要含SS及少量的机修废油，SS浓度在2000mg/L~5000mg/L。根据项目特点，经类比分析，预计施工废水产生量为1.0m</w:t>
            </w:r>
            <w:r>
              <w:rPr>
                <w:rFonts w:hint="default" w:ascii="Times New Roman" w:hAnsi="Times New Roman" w:eastAsia="宋体" w:cs="Times New Roman"/>
                <w:b w:val="0"/>
                <w:bCs/>
                <w:color w:val="auto"/>
                <w:sz w:val="24"/>
                <w:vertAlign w:val="superscript"/>
              </w:rPr>
              <w:t>3</w:t>
            </w:r>
            <w:r>
              <w:rPr>
                <w:rFonts w:hint="default" w:ascii="Times New Roman" w:hAnsi="Times New Roman" w:eastAsia="宋体" w:cs="Times New Roman"/>
                <w:b w:val="0"/>
                <w:bCs/>
                <w:color w:val="auto"/>
                <w:sz w:val="24"/>
              </w:rPr>
              <w:t>/d。本项目产生的施工废水，如果防治措施不当，容易造成水环境污染。施工废水在场区设置临时隔油沉淀池沉淀后用于场地洒水降尘。</w:t>
            </w:r>
          </w:p>
          <w:p w14:paraId="7E2E93D2">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（2）施工人员生活污水</w:t>
            </w:r>
          </w:p>
          <w:p w14:paraId="027E74EB">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施工期施工人员约</w:t>
            </w:r>
            <w:r>
              <w:rPr>
                <w:rFonts w:hint="eastAsia" w:cs="Times New Roman"/>
                <w:b w:val="0"/>
                <w:bCs/>
                <w:color w:val="auto"/>
                <w:sz w:val="24"/>
                <w:lang w:val="en-US" w:eastAsia="zh-CN"/>
              </w:rPr>
              <w:t>20</w:t>
            </w:r>
            <w:r>
              <w:rPr>
                <w:rFonts w:hint="default" w:ascii="Times New Roman" w:hAnsi="Times New Roman" w:eastAsia="宋体" w:cs="Times New Roman"/>
                <w:b w:val="0"/>
                <w:bCs/>
                <w:color w:val="auto"/>
                <w:sz w:val="24"/>
              </w:rPr>
              <w:t>人，施工期间工地不设食宿，</w:t>
            </w:r>
            <w:r>
              <w:rPr>
                <w:rFonts w:hint="eastAsia" w:cs="Times New Roman"/>
                <w:b w:val="0"/>
                <w:bCs/>
                <w:color w:val="auto"/>
                <w:sz w:val="24"/>
                <w:lang w:val="en-US" w:eastAsia="zh-CN"/>
              </w:rPr>
              <w:t>施工人员</w:t>
            </w:r>
            <w:r>
              <w:rPr>
                <w:rFonts w:hint="default" w:ascii="Times New Roman" w:hAnsi="Times New Roman" w:eastAsia="宋体" w:cs="Times New Roman"/>
                <w:b w:val="0"/>
                <w:bCs/>
                <w:color w:val="auto"/>
                <w:sz w:val="24"/>
              </w:rPr>
              <w:t>生活</w:t>
            </w:r>
            <w:r>
              <w:rPr>
                <w:rFonts w:hint="eastAsia" w:cs="Times New Roman"/>
                <w:b w:val="0"/>
                <w:bCs/>
                <w:color w:val="auto"/>
                <w:sz w:val="24"/>
                <w:lang w:val="en-US" w:eastAsia="zh-CN"/>
              </w:rPr>
              <w:t>用水量</w:t>
            </w:r>
            <w:r>
              <w:rPr>
                <w:rFonts w:hint="default" w:ascii="Times New Roman" w:hAnsi="Times New Roman" w:eastAsia="宋体" w:cs="Times New Roman"/>
                <w:b w:val="0"/>
                <w:bCs/>
                <w:color w:val="auto"/>
                <w:sz w:val="24"/>
              </w:rPr>
              <w:t>按照50L/人•d计算，排污系数按</w:t>
            </w:r>
            <w:r>
              <w:rPr>
                <w:rFonts w:hint="eastAsia" w:cs="Times New Roman"/>
                <w:b w:val="0"/>
                <w:bCs/>
                <w:color w:val="auto"/>
                <w:sz w:val="24"/>
                <w:lang w:val="en-US" w:eastAsia="zh-CN"/>
              </w:rPr>
              <w:t>0.85</w:t>
            </w:r>
            <w:r>
              <w:rPr>
                <w:rFonts w:hint="default" w:ascii="Times New Roman" w:hAnsi="Times New Roman" w:eastAsia="宋体" w:cs="Times New Roman"/>
                <w:b w:val="0"/>
                <w:bCs/>
                <w:color w:val="auto"/>
                <w:sz w:val="24"/>
              </w:rPr>
              <w:t>计算，则</w:t>
            </w:r>
            <w:r>
              <w:rPr>
                <w:rFonts w:hint="eastAsia" w:cs="Times New Roman"/>
                <w:b w:val="0"/>
                <w:bCs/>
                <w:color w:val="auto"/>
                <w:sz w:val="24"/>
                <w:lang w:val="en-US" w:eastAsia="zh-CN"/>
              </w:rPr>
              <w:t>施工人员生活</w:t>
            </w:r>
            <w:r>
              <w:rPr>
                <w:rFonts w:hint="default" w:ascii="Times New Roman" w:hAnsi="Times New Roman" w:eastAsia="宋体" w:cs="Times New Roman"/>
                <w:b w:val="0"/>
                <w:bCs/>
                <w:color w:val="auto"/>
                <w:sz w:val="24"/>
              </w:rPr>
              <w:t>污水产生量为</w:t>
            </w:r>
            <w:r>
              <w:rPr>
                <w:rFonts w:hint="eastAsia" w:cs="Times New Roman"/>
                <w:b w:val="0"/>
                <w:bCs/>
                <w:color w:val="auto"/>
                <w:sz w:val="24"/>
                <w:lang w:val="en-US" w:eastAsia="zh-CN"/>
              </w:rPr>
              <w:t>0.85</w:t>
            </w:r>
            <w:r>
              <w:rPr>
                <w:rFonts w:hint="default" w:ascii="Times New Roman" w:hAnsi="Times New Roman" w:eastAsia="宋体" w:cs="Times New Roman"/>
                <w:b w:val="0"/>
                <w:bCs/>
                <w:color w:val="auto"/>
                <w:sz w:val="24"/>
              </w:rPr>
              <w:t>m</w:t>
            </w:r>
            <w:r>
              <w:rPr>
                <w:rFonts w:hint="default" w:ascii="Times New Roman" w:hAnsi="Times New Roman" w:eastAsia="宋体" w:cs="Times New Roman"/>
                <w:b w:val="0"/>
                <w:bCs/>
                <w:color w:val="auto"/>
                <w:sz w:val="24"/>
                <w:vertAlign w:val="superscript"/>
              </w:rPr>
              <w:t>3</w:t>
            </w:r>
            <w:r>
              <w:rPr>
                <w:rFonts w:hint="default" w:ascii="Times New Roman" w:hAnsi="Times New Roman" w:eastAsia="宋体" w:cs="Times New Roman"/>
                <w:b w:val="0"/>
                <w:bCs/>
                <w:color w:val="auto"/>
                <w:sz w:val="24"/>
              </w:rPr>
              <w:t>/d，</w:t>
            </w:r>
            <w:r>
              <w:rPr>
                <w:rFonts w:hint="eastAsia" w:cs="Times New Roman"/>
                <w:b w:val="0"/>
                <w:bCs/>
                <w:color w:val="auto"/>
                <w:sz w:val="24"/>
                <w:lang w:val="en-US" w:eastAsia="zh-CN"/>
              </w:rPr>
              <w:t>施工人员生活污水依托厂区已建化粪池收集处理后用作农肥不外排</w:t>
            </w:r>
            <w:r>
              <w:rPr>
                <w:rFonts w:hint="default" w:ascii="Times New Roman" w:hAnsi="Times New Roman" w:eastAsia="宋体" w:cs="Times New Roman"/>
                <w:b w:val="0"/>
                <w:bCs/>
                <w:color w:val="auto"/>
                <w:sz w:val="24"/>
              </w:rPr>
              <w:t>。</w:t>
            </w:r>
          </w:p>
          <w:p w14:paraId="5AEF7573">
            <w:pPr>
              <w:spacing w:line="360" w:lineRule="auto"/>
              <w:ind w:firstLine="482" w:firstLineChars="200"/>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rPr>
              <w:t>3</w:t>
            </w:r>
            <w:r>
              <w:rPr>
                <w:rFonts w:hint="eastAsia" w:cs="Times New Roman"/>
                <w:b/>
                <w:bCs w:val="0"/>
                <w:color w:val="auto"/>
                <w:sz w:val="24"/>
                <w:lang w:eastAsia="zh-CN"/>
              </w:rPr>
              <w:t>、</w:t>
            </w:r>
            <w:r>
              <w:rPr>
                <w:rFonts w:hint="default" w:ascii="Times New Roman" w:hAnsi="Times New Roman" w:eastAsia="宋体" w:cs="Times New Roman"/>
                <w:b/>
                <w:bCs w:val="0"/>
                <w:color w:val="auto"/>
                <w:sz w:val="24"/>
              </w:rPr>
              <w:t>施工期声环境保护措施</w:t>
            </w:r>
          </w:p>
          <w:p w14:paraId="00275FD6">
            <w:pPr>
              <w:pStyle w:val="17"/>
              <w:spacing w:after="0" w:line="360" w:lineRule="auto"/>
              <w:ind w:left="0" w:leftChars="0" w:firstLine="480" w:firstLineChars="200"/>
              <w:rPr>
                <w:rFonts w:hint="eastAsia"/>
                <w:sz w:val="24"/>
              </w:rPr>
            </w:pPr>
            <w:r>
              <w:rPr>
                <w:sz w:val="24"/>
              </w:rPr>
              <w:t>施工建设中使用挖土机</w:t>
            </w:r>
            <w:r>
              <w:rPr>
                <w:rFonts w:hint="eastAsia"/>
                <w:sz w:val="24"/>
              </w:rPr>
              <w:t>、</w:t>
            </w:r>
            <w:r>
              <w:rPr>
                <w:sz w:val="24"/>
              </w:rPr>
              <w:t>推土机</w:t>
            </w:r>
            <w:r>
              <w:rPr>
                <w:rFonts w:hint="eastAsia"/>
                <w:sz w:val="24"/>
              </w:rPr>
              <w:t>、</w:t>
            </w:r>
            <w:r>
              <w:rPr>
                <w:sz w:val="24"/>
              </w:rPr>
              <w:t>打桩机</w:t>
            </w:r>
            <w:r>
              <w:rPr>
                <w:rFonts w:hint="eastAsia"/>
                <w:sz w:val="24"/>
              </w:rPr>
              <w:t>、</w:t>
            </w:r>
            <w:r>
              <w:rPr>
                <w:sz w:val="24"/>
              </w:rPr>
              <w:t>装载机等将产生噪声</w:t>
            </w:r>
            <w:r>
              <w:rPr>
                <w:rFonts w:hint="eastAsia"/>
                <w:sz w:val="24"/>
              </w:rPr>
              <w:t>，各类机械设备</w:t>
            </w:r>
            <w:r>
              <w:rPr>
                <w:sz w:val="24"/>
              </w:rPr>
              <w:t>声级强度见</w:t>
            </w:r>
            <w:r>
              <w:rPr>
                <w:rFonts w:hint="eastAsia"/>
                <w:sz w:val="24"/>
              </w:rPr>
              <w:t>下</w:t>
            </w:r>
            <w:r>
              <w:rPr>
                <w:sz w:val="24"/>
              </w:rPr>
              <w:t>表所示</w:t>
            </w:r>
            <w:r>
              <w:rPr>
                <w:rFonts w:hint="eastAsia"/>
                <w:sz w:val="24"/>
              </w:rPr>
              <w:t>：</w:t>
            </w:r>
          </w:p>
          <w:p w14:paraId="05CC700F">
            <w:pPr>
              <w:numPr>
                <w:ilvl w:val="0"/>
                <w:numId w:val="6"/>
              </w:numPr>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施工期噪声声级源强表</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3075"/>
              <w:gridCol w:w="3395"/>
            </w:tblGrid>
            <w:tr w14:paraId="43239A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8" w:type="dxa"/>
                  <w:vMerge w:val="restart"/>
                  <w:noWrap w:val="0"/>
                  <w:vAlign w:val="center"/>
                </w:tcPr>
                <w:p w14:paraId="4F7B159D">
                  <w:pPr>
                    <w:pStyle w:val="17"/>
                    <w:spacing w:after="0" w:line="240" w:lineRule="exact"/>
                    <w:ind w:left="0" w:leftChars="0"/>
                    <w:jc w:val="center"/>
                    <w:rPr>
                      <w:szCs w:val="21"/>
                    </w:rPr>
                  </w:pPr>
                  <w:r>
                    <w:rPr>
                      <w:szCs w:val="21"/>
                    </w:rPr>
                    <w:t>施工期</w:t>
                  </w:r>
                </w:p>
              </w:tc>
              <w:tc>
                <w:tcPr>
                  <w:tcW w:w="3075" w:type="dxa"/>
                  <w:noWrap w:val="0"/>
                  <w:vAlign w:val="center"/>
                </w:tcPr>
                <w:p w14:paraId="233C87E2">
                  <w:pPr>
                    <w:pStyle w:val="17"/>
                    <w:spacing w:after="0" w:line="240" w:lineRule="exact"/>
                    <w:ind w:left="0" w:leftChars="0"/>
                    <w:jc w:val="center"/>
                    <w:rPr>
                      <w:szCs w:val="21"/>
                    </w:rPr>
                  </w:pPr>
                  <w:r>
                    <w:rPr>
                      <w:szCs w:val="21"/>
                    </w:rPr>
                    <w:t>声源</w:t>
                  </w:r>
                </w:p>
              </w:tc>
              <w:tc>
                <w:tcPr>
                  <w:tcW w:w="3395" w:type="dxa"/>
                  <w:noWrap w:val="0"/>
                  <w:vAlign w:val="center"/>
                </w:tcPr>
                <w:p w14:paraId="5D375CC9">
                  <w:pPr>
                    <w:pStyle w:val="17"/>
                    <w:spacing w:after="0" w:line="240" w:lineRule="exact"/>
                    <w:ind w:left="0" w:leftChars="0"/>
                    <w:jc w:val="center"/>
                    <w:rPr>
                      <w:szCs w:val="21"/>
                    </w:rPr>
                  </w:pPr>
                  <w:r>
                    <w:rPr>
                      <w:szCs w:val="21"/>
                    </w:rPr>
                    <w:t>声级dB（A）</w:t>
                  </w:r>
                </w:p>
              </w:tc>
            </w:tr>
            <w:tr w14:paraId="56587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8" w:type="dxa"/>
                  <w:vMerge w:val="continue"/>
                  <w:noWrap w:val="0"/>
                  <w:vAlign w:val="center"/>
                </w:tcPr>
                <w:p w14:paraId="0D3DDCDE">
                  <w:pPr>
                    <w:pStyle w:val="17"/>
                    <w:spacing w:after="0" w:line="240" w:lineRule="exact"/>
                    <w:ind w:left="0" w:leftChars="0"/>
                    <w:jc w:val="center"/>
                    <w:rPr>
                      <w:szCs w:val="21"/>
                    </w:rPr>
                  </w:pPr>
                </w:p>
              </w:tc>
              <w:tc>
                <w:tcPr>
                  <w:tcW w:w="3075" w:type="dxa"/>
                  <w:noWrap w:val="0"/>
                  <w:vAlign w:val="center"/>
                </w:tcPr>
                <w:p w14:paraId="28DF2674">
                  <w:pPr>
                    <w:pStyle w:val="17"/>
                    <w:spacing w:after="0" w:line="240" w:lineRule="exact"/>
                    <w:ind w:left="0" w:leftChars="0"/>
                    <w:jc w:val="center"/>
                    <w:rPr>
                      <w:szCs w:val="21"/>
                    </w:rPr>
                  </w:pPr>
                  <w:r>
                    <w:rPr>
                      <w:szCs w:val="21"/>
                    </w:rPr>
                    <w:t>打桩机</w:t>
                  </w:r>
                </w:p>
              </w:tc>
              <w:tc>
                <w:tcPr>
                  <w:tcW w:w="3395" w:type="dxa"/>
                  <w:noWrap w:val="0"/>
                  <w:vAlign w:val="center"/>
                </w:tcPr>
                <w:p w14:paraId="2923553B">
                  <w:pPr>
                    <w:pStyle w:val="17"/>
                    <w:spacing w:after="0" w:line="240" w:lineRule="exact"/>
                    <w:ind w:left="0" w:leftChars="0"/>
                    <w:jc w:val="center"/>
                    <w:rPr>
                      <w:szCs w:val="21"/>
                    </w:rPr>
                  </w:pPr>
                  <w:r>
                    <w:rPr>
                      <w:szCs w:val="21"/>
                    </w:rPr>
                    <w:t>95</w:t>
                  </w:r>
                </w:p>
              </w:tc>
            </w:tr>
            <w:tr w14:paraId="44E5A3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368" w:type="dxa"/>
                  <w:vMerge w:val="continue"/>
                  <w:noWrap w:val="0"/>
                  <w:vAlign w:val="center"/>
                </w:tcPr>
                <w:p w14:paraId="1BBD1098">
                  <w:pPr>
                    <w:pStyle w:val="17"/>
                    <w:spacing w:after="0" w:line="240" w:lineRule="exact"/>
                    <w:ind w:left="0" w:leftChars="0"/>
                    <w:jc w:val="center"/>
                    <w:rPr>
                      <w:szCs w:val="21"/>
                    </w:rPr>
                  </w:pPr>
                </w:p>
              </w:tc>
              <w:tc>
                <w:tcPr>
                  <w:tcW w:w="3075" w:type="dxa"/>
                  <w:noWrap w:val="0"/>
                  <w:vAlign w:val="center"/>
                </w:tcPr>
                <w:p w14:paraId="4B799D09">
                  <w:pPr>
                    <w:pStyle w:val="17"/>
                    <w:spacing w:after="0" w:line="240" w:lineRule="exact"/>
                    <w:ind w:left="0" w:leftChars="0"/>
                    <w:jc w:val="center"/>
                    <w:rPr>
                      <w:szCs w:val="21"/>
                    </w:rPr>
                  </w:pPr>
                  <w:r>
                    <w:rPr>
                      <w:szCs w:val="21"/>
                    </w:rPr>
                    <w:t>装载机</w:t>
                  </w:r>
                </w:p>
              </w:tc>
              <w:tc>
                <w:tcPr>
                  <w:tcW w:w="3395" w:type="dxa"/>
                  <w:noWrap w:val="0"/>
                  <w:vAlign w:val="center"/>
                </w:tcPr>
                <w:p w14:paraId="6109FF66">
                  <w:pPr>
                    <w:pStyle w:val="17"/>
                    <w:spacing w:after="0" w:line="240" w:lineRule="exact"/>
                    <w:ind w:left="0" w:leftChars="0"/>
                    <w:jc w:val="center"/>
                    <w:rPr>
                      <w:szCs w:val="21"/>
                    </w:rPr>
                  </w:pPr>
                  <w:r>
                    <w:rPr>
                      <w:szCs w:val="21"/>
                    </w:rPr>
                    <w:t>90</w:t>
                  </w:r>
                </w:p>
              </w:tc>
            </w:tr>
            <w:tr w14:paraId="34BFEB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368" w:type="dxa"/>
                  <w:vMerge w:val="continue"/>
                  <w:noWrap w:val="0"/>
                  <w:vAlign w:val="center"/>
                </w:tcPr>
                <w:p w14:paraId="6B7E5C0C">
                  <w:pPr>
                    <w:pStyle w:val="17"/>
                    <w:spacing w:after="0" w:line="240" w:lineRule="exact"/>
                    <w:ind w:left="0" w:leftChars="0"/>
                    <w:jc w:val="center"/>
                    <w:rPr>
                      <w:szCs w:val="21"/>
                    </w:rPr>
                  </w:pPr>
                </w:p>
              </w:tc>
              <w:tc>
                <w:tcPr>
                  <w:tcW w:w="3075" w:type="dxa"/>
                  <w:noWrap w:val="0"/>
                  <w:vAlign w:val="center"/>
                </w:tcPr>
                <w:p w14:paraId="640FDF76">
                  <w:pPr>
                    <w:pStyle w:val="17"/>
                    <w:spacing w:after="0" w:line="240" w:lineRule="exact"/>
                    <w:ind w:left="0" w:leftChars="0"/>
                    <w:jc w:val="center"/>
                    <w:rPr>
                      <w:szCs w:val="21"/>
                    </w:rPr>
                  </w:pPr>
                  <w:r>
                    <w:rPr>
                      <w:szCs w:val="21"/>
                    </w:rPr>
                    <w:t>推土机</w:t>
                  </w:r>
                </w:p>
              </w:tc>
              <w:tc>
                <w:tcPr>
                  <w:tcW w:w="3395" w:type="dxa"/>
                  <w:noWrap w:val="0"/>
                  <w:vAlign w:val="center"/>
                </w:tcPr>
                <w:p w14:paraId="44DD503B">
                  <w:pPr>
                    <w:pStyle w:val="17"/>
                    <w:spacing w:after="0" w:line="240" w:lineRule="exact"/>
                    <w:ind w:left="0" w:leftChars="0"/>
                    <w:jc w:val="center"/>
                    <w:rPr>
                      <w:szCs w:val="21"/>
                    </w:rPr>
                  </w:pPr>
                  <w:r>
                    <w:rPr>
                      <w:szCs w:val="21"/>
                    </w:rPr>
                    <w:t>90</w:t>
                  </w:r>
                </w:p>
              </w:tc>
            </w:tr>
            <w:tr w14:paraId="257DD7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368" w:type="dxa"/>
                  <w:vMerge w:val="continue"/>
                  <w:noWrap w:val="0"/>
                  <w:vAlign w:val="center"/>
                </w:tcPr>
                <w:p w14:paraId="2D22A5B4">
                  <w:pPr>
                    <w:pStyle w:val="17"/>
                    <w:spacing w:after="0" w:line="240" w:lineRule="exact"/>
                    <w:ind w:left="0" w:leftChars="0"/>
                    <w:jc w:val="center"/>
                    <w:rPr>
                      <w:szCs w:val="21"/>
                    </w:rPr>
                  </w:pPr>
                </w:p>
              </w:tc>
              <w:tc>
                <w:tcPr>
                  <w:tcW w:w="3075" w:type="dxa"/>
                  <w:noWrap w:val="0"/>
                  <w:vAlign w:val="center"/>
                </w:tcPr>
                <w:p w14:paraId="31DD43F1">
                  <w:pPr>
                    <w:pStyle w:val="17"/>
                    <w:spacing w:after="0" w:line="240" w:lineRule="exact"/>
                    <w:ind w:left="0" w:leftChars="0"/>
                    <w:jc w:val="center"/>
                    <w:rPr>
                      <w:szCs w:val="21"/>
                    </w:rPr>
                  </w:pPr>
                  <w:r>
                    <w:rPr>
                      <w:szCs w:val="21"/>
                    </w:rPr>
                    <w:t>强夯机</w:t>
                  </w:r>
                </w:p>
              </w:tc>
              <w:tc>
                <w:tcPr>
                  <w:tcW w:w="3395" w:type="dxa"/>
                  <w:noWrap w:val="0"/>
                  <w:vAlign w:val="center"/>
                </w:tcPr>
                <w:p w14:paraId="1AC56BA9">
                  <w:pPr>
                    <w:pStyle w:val="17"/>
                    <w:spacing w:after="0" w:line="240" w:lineRule="exact"/>
                    <w:ind w:left="0" w:leftChars="0"/>
                    <w:jc w:val="center"/>
                    <w:rPr>
                      <w:szCs w:val="21"/>
                    </w:rPr>
                  </w:pPr>
                  <w:r>
                    <w:rPr>
                      <w:szCs w:val="21"/>
                    </w:rPr>
                    <w:t>95</w:t>
                  </w:r>
                </w:p>
              </w:tc>
            </w:tr>
            <w:tr w14:paraId="700387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68" w:type="dxa"/>
                  <w:vMerge w:val="continue"/>
                  <w:noWrap w:val="0"/>
                  <w:vAlign w:val="center"/>
                </w:tcPr>
                <w:p w14:paraId="071C48EA">
                  <w:pPr>
                    <w:pStyle w:val="17"/>
                    <w:spacing w:after="0" w:line="240" w:lineRule="exact"/>
                    <w:ind w:left="0" w:leftChars="0"/>
                    <w:jc w:val="center"/>
                    <w:rPr>
                      <w:szCs w:val="21"/>
                    </w:rPr>
                  </w:pPr>
                </w:p>
              </w:tc>
              <w:tc>
                <w:tcPr>
                  <w:tcW w:w="3075" w:type="dxa"/>
                  <w:noWrap w:val="0"/>
                  <w:vAlign w:val="center"/>
                </w:tcPr>
                <w:p w14:paraId="19D50D7C">
                  <w:pPr>
                    <w:pStyle w:val="17"/>
                    <w:spacing w:after="0" w:line="240" w:lineRule="exact"/>
                    <w:ind w:left="0" w:leftChars="0"/>
                    <w:jc w:val="center"/>
                    <w:rPr>
                      <w:szCs w:val="21"/>
                    </w:rPr>
                  </w:pPr>
                  <w:r>
                    <w:rPr>
                      <w:szCs w:val="21"/>
                    </w:rPr>
                    <w:t>振捣机</w:t>
                  </w:r>
                </w:p>
              </w:tc>
              <w:tc>
                <w:tcPr>
                  <w:tcW w:w="3395" w:type="dxa"/>
                  <w:noWrap w:val="0"/>
                  <w:vAlign w:val="center"/>
                </w:tcPr>
                <w:p w14:paraId="44248117">
                  <w:pPr>
                    <w:pStyle w:val="17"/>
                    <w:spacing w:after="0" w:line="240" w:lineRule="exact"/>
                    <w:ind w:left="0" w:leftChars="0"/>
                    <w:jc w:val="center"/>
                    <w:rPr>
                      <w:szCs w:val="21"/>
                    </w:rPr>
                  </w:pPr>
                  <w:r>
                    <w:rPr>
                      <w:szCs w:val="21"/>
                    </w:rPr>
                    <w:t>95</w:t>
                  </w:r>
                </w:p>
              </w:tc>
            </w:tr>
            <w:tr w14:paraId="1EB614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368" w:type="dxa"/>
                  <w:vMerge w:val="continue"/>
                  <w:noWrap w:val="0"/>
                  <w:vAlign w:val="center"/>
                </w:tcPr>
                <w:p w14:paraId="0826C5AE">
                  <w:pPr>
                    <w:pStyle w:val="17"/>
                    <w:spacing w:after="0" w:line="240" w:lineRule="exact"/>
                    <w:ind w:left="0" w:leftChars="0"/>
                    <w:jc w:val="center"/>
                    <w:rPr>
                      <w:szCs w:val="21"/>
                    </w:rPr>
                  </w:pPr>
                </w:p>
              </w:tc>
              <w:tc>
                <w:tcPr>
                  <w:tcW w:w="3075" w:type="dxa"/>
                  <w:noWrap w:val="0"/>
                  <w:vAlign w:val="center"/>
                </w:tcPr>
                <w:p w14:paraId="065ED96A">
                  <w:pPr>
                    <w:pStyle w:val="17"/>
                    <w:spacing w:after="0" w:line="240" w:lineRule="exact"/>
                    <w:ind w:left="0" w:leftChars="0"/>
                    <w:jc w:val="center"/>
                    <w:rPr>
                      <w:szCs w:val="21"/>
                    </w:rPr>
                  </w:pPr>
                  <w:r>
                    <w:rPr>
                      <w:szCs w:val="21"/>
                    </w:rPr>
                    <w:t>电锯</w:t>
                  </w:r>
                </w:p>
              </w:tc>
              <w:tc>
                <w:tcPr>
                  <w:tcW w:w="3395" w:type="dxa"/>
                  <w:noWrap w:val="0"/>
                  <w:vAlign w:val="center"/>
                </w:tcPr>
                <w:p w14:paraId="60545852">
                  <w:pPr>
                    <w:pStyle w:val="17"/>
                    <w:spacing w:after="0" w:line="240" w:lineRule="exact"/>
                    <w:ind w:left="0" w:leftChars="0"/>
                    <w:jc w:val="center"/>
                    <w:rPr>
                      <w:szCs w:val="21"/>
                    </w:rPr>
                  </w:pPr>
                  <w:r>
                    <w:rPr>
                      <w:szCs w:val="21"/>
                    </w:rPr>
                    <w:t>95</w:t>
                  </w:r>
                </w:p>
              </w:tc>
            </w:tr>
            <w:tr w14:paraId="6057EB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368" w:type="dxa"/>
                  <w:vMerge w:val="continue"/>
                  <w:noWrap w:val="0"/>
                  <w:vAlign w:val="center"/>
                </w:tcPr>
                <w:p w14:paraId="5CA0CADE">
                  <w:pPr>
                    <w:pStyle w:val="17"/>
                    <w:spacing w:after="0" w:line="240" w:lineRule="exact"/>
                    <w:ind w:left="0" w:leftChars="0"/>
                    <w:jc w:val="center"/>
                    <w:rPr>
                      <w:szCs w:val="21"/>
                    </w:rPr>
                  </w:pPr>
                </w:p>
              </w:tc>
              <w:tc>
                <w:tcPr>
                  <w:tcW w:w="3075" w:type="dxa"/>
                  <w:noWrap w:val="0"/>
                  <w:vAlign w:val="center"/>
                </w:tcPr>
                <w:p w14:paraId="2BF9BB80">
                  <w:pPr>
                    <w:pStyle w:val="17"/>
                    <w:spacing w:after="0" w:line="240" w:lineRule="exact"/>
                    <w:ind w:left="0" w:leftChars="0"/>
                    <w:jc w:val="center"/>
                    <w:rPr>
                      <w:szCs w:val="21"/>
                    </w:rPr>
                  </w:pPr>
                  <w:r>
                    <w:rPr>
                      <w:szCs w:val="21"/>
                    </w:rPr>
                    <w:t>吊车</w:t>
                  </w:r>
                </w:p>
              </w:tc>
              <w:tc>
                <w:tcPr>
                  <w:tcW w:w="3395" w:type="dxa"/>
                  <w:noWrap w:val="0"/>
                  <w:vAlign w:val="center"/>
                </w:tcPr>
                <w:p w14:paraId="77CE7FFE">
                  <w:pPr>
                    <w:pStyle w:val="17"/>
                    <w:spacing w:after="0" w:line="240" w:lineRule="exact"/>
                    <w:ind w:left="0" w:leftChars="0"/>
                    <w:jc w:val="center"/>
                    <w:rPr>
                      <w:szCs w:val="21"/>
                    </w:rPr>
                  </w:pPr>
                  <w:r>
                    <w:rPr>
                      <w:szCs w:val="21"/>
                    </w:rPr>
                    <w:t>95</w:t>
                  </w:r>
                </w:p>
              </w:tc>
            </w:tr>
            <w:tr w14:paraId="32B3C8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368" w:type="dxa"/>
                  <w:vMerge w:val="continue"/>
                  <w:noWrap w:val="0"/>
                  <w:vAlign w:val="center"/>
                </w:tcPr>
                <w:p w14:paraId="215DE941">
                  <w:pPr>
                    <w:pStyle w:val="17"/>
                    <w:spacing w:after="0" w:line="240" w:lineRule="exact"/>
                    <w:ind w:left="0" w:leftChars="0"/>
                    <w:jc w:val="center"/>
                    <w:rPr>
                      <w:szCs w:val="21"/>
                    </w:rPr>
                  </w:pPr>
                </w:p>
              </w:tc>
              <w:tc>
                <w:tcPr>
                  <w:tcW w:w="3075" w:type="dxa"/>
                  <w:noWrap w:val="0"/>
                  <w:vAlign w:val="center"/>
                </w:tcPr>
                <w:p w14:paraId="557C0C7A">
                  <w:pPr>
                    <w:pStyle w:val="17"/>
                    <w:spacing w:after="0" w:line="240" w:lineRule="exact"/>
                    <w:ind w:left="0" w:leftChars="0"/>
                    <w:jc w:val="center"/>
                    <w:rPr>
                      <w:szCs w:val="21"/>
                    </w:rPr>
                  </w:pPr>
                  <w:r>
                    <w:rPr>
                      <w:szCs w:val="21"/>
                    </w:rPr>
                    <w:t>空压机</w:t>
                  </w:r>
                </w:p>
              </w:tc>
              <w:tc>
                <w:tcPr>
                  <w:tcW w:w="3395" w:type="dxa"/>
                  <w:noWrap w:val="0"/>
                  <w:vAlign w:val="center"/>
                </w:tcPr>
                <w:p w14:paraId="3FDEEB0F">
                  <w:pPr>
                    <w:pStyle w:val="17"/>
                    <w:spacing w:after="0" w:line="240" w:lineRule="exact"/>
                    <w:ind w:left="0" w:leftChars="0"/>
                    <w:jc w:val="center"/>
                    <w:rPr>
                      <w:szCs w:val="21"/>
                    </w:rPr>
                  </w:pPr>
                  <w:r>
                    <w:rPr>
                      <w:szCs w:val="21"/>
                    </w:rPr>
                    <w:t>92</w:t>
                  </w:r>
                </w:p>
              </w:tc>
            </w:tr>
            <w:tr w14:paraId="1BA5A3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368" w:type="dxa"/>
                  <w:vMerge w:val="continue"/>
                  <w:noWrap w:val="0"/>
                  <w:vAlign w:val="center"/>
                </w:tcPr>
                <w:p w14:paraId="5BE0E60D">
                  <w:pPr>
                    <w:pStyle w:val="17"/>
                    <w:spacing w:after="0" w:line="240" w:lineRule="exact"/>
                    <w:ind w:left="0" w:leftChars="0"/>
                    <w:jc w:val="center"/>
                    <w:rPr>
                      <w:szCs w:val="21"/>
                    </w:rPr>
                  </w:pPr>
                </w:p>
              </w:tc>
              <w:tc>
                <w:tcPr>
                  <w:tcW w:w="3075" w:type="dxa"/>
                  <w:noWrap w:val="0"/>
                  <w:vAlign w:val="center"/>
                </w:tcPr>
                <w:p w14:paraId="5AA0D657">
                  <w:pPr>
                    <w:pStyle w:val="17"/>
                    <w:spacing w:after="0" w:line="240" w:lineRule="exact"/>
                    <w:ind w:left="0" w:leftChars="0"/>
                    <w:jc w:val="center"/>
                    <w:rPr>
                      <w:szCs w:val="21"/>
                    </w:rPr>
                  </w:pPr>
                  <w:r>
                    <w:rPr>
                      <w:szCs w:val="21"/>
                    </w:rPr>
                    <w:t>挖土机</w:t>
                  </w:r>
                </w:p>
              </w:tc>
              <w:tc>
                <w:tcPr>
                  <w:tcW w:w="3395" w:type="dxa"/>
                  <w:noWrap w:val="0"/>
                  <w:vAlign w:val="center"/>
                </w:tcPr>
                <w:p w14:paraId="44C2FA7B">
                  <w:pPr>
                    <w:pStyle w:val="17"/>
                    <w:spacing w:after="0" w:line="240" w:lineRule="exact"/>
                    <w:ind w:left="0" w:leftChars="0"/>
                    <w:jc w:val="center"/>
                    <w:rPr>
                      <w:szCs w:val="21"/>
                    </w:rPr>
                  </w:pPr>
                  <w:r>
                    <w:rPr>
                      <w:szCs w:val="21"/>
                    </w:rPr>
                    <w:t>90</w:t>
                  </w:r>
                </w:p>
              </w:tc>
            </w:tr>
          </w:tbl>
          <w:p w14:paraId="3052A359">
            <w:pPr>
              <w:spacing w:line="240" w:lineRule="auto"/>
              <w:ind w:firstLine="420" w:firstLineChars="200"/>
              <w:jc w:val="center"/>
              <w:rPr>
                <w:rFonts w:hint="default" w:ascii="Times New Roman" w:hAnsi="Times New Roman" w:eastAsia="宋体" w:cs="Times New Roman"/>
                <w:b w:val="0"/>
                <w:bCs/>
                <w:color w:val="auto"/>
                <w:sz w:val="21"/>
                <w:szCs w:val="21"/>
              </w:rPr>
            </w:pPr>
          </w:p>
          <w:p w14:paraId="2BB74E6D">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建筑施工由于各阶段使用的机械设备组合不同，所以噪声辐射影响的程度也不尽相同。在主体施工阶段，噪声持续时间长，强度高。装饰期间的噪声相对较弱，一是高噪声设备运转频率减少，另外一些噪声较强的木工机械又可搬入已建成的主体建筑内进行操作，减小了噪声排放。</w:t>
            </w:r>
          </w:p>
          <w:p w14:paraId="1343BF14">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由于建筑施工是在露天作业，流动性和间歇性较强，对各生产环节中的噪声治理具有一定难度，下面结合施工特点，对一些重点噪声设备和声源，提出一些治理措施：</w:t>
            </w:r>
          </w:p>
          <w:p w14:paraId="572E2F0A">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（1）降低声源的噪声强度。施工设备尽量采用先进低噪声设备，对产生噪声的施工设备加强维护和维修工作。</w:t>
            </w:r>
          </w:p>
          <w:p w14:paraId="4A6E57EE">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2）采用局部吸声、隔声降噪技术。对各施工环节中噪声较为突出且又难以对声源进行降噪可能的设备装置，应采取临时围障措施，围障最好敷以吸声材料，以此达到降噪效果。据相关研究资料表明，在打桩机、电锯、振捣棒等强噪声设备周围设临时隔声屏障（木板或珍珠岩板等），可降噪15dB(A)。</w:t>
            </w:r>
          </w:p>
          <w:p w14:paraId="05BC72C6">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（3）施工单位合理安排施工时间，将打桩、倾倒卵石料等强噪声作业尽量安排在白天进行，禁止夜间（22:00~6:00）施工。</w:t>
            </w:r>
          </w:p>
          <w:p w14:paraId="5FC5228C">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（4）运输车辆进出施工现场控制或禁止鸣喇叭，减少交通噪声。</w:t>
            </w:r>
          </w:p>
          <w:p w14:paraId="0511A82C">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（5）噪声污染防治设施应当与主体工程同时设计、同时施工、同时投产使用。</w:t>
            </w:r>
          </w:p>
          <w:p w14:paraId="3C3D31C1">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（6）建设单位应当按照规定将噪声污染防治费用列入工程造价，在施工合同中明确施工单位的噪声污染防治责任。</w:t>
            </w:r>
          </w:p>
          <w:p w14:paraId="7DA40F83">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（7）施工单位应当按照规定制定噪声污染防治实施方案，采取有效措施，减少振动、降低噪声。建设单位应当监督施工单位落实噪声污染防治实施方案。</w:t>
            </w:r>
          </w:p>
          <w:p w14:paraId="646565F4">
            <w:pPr>
              <w:spacing w:line="360" w:lineRule="auto"/>
              <w:ind w:firstLine="480" w:firstLineChars="200"/>
              <w:rPr>
                <w:rFonts w:hint="eastAsia" w:cs="Times New Roman"/>
                <w:b w:val="0"/>
                <w:bCs/>
                <w:color w:val="auto"/>
                <w:sz w:val="24"/>
                <w:lang w:val="en-US" w:eastAsia="zh-CN"/>
              </w:rPr>
            </w:pPr>
            <w:r>
              <w:rPr>
                <w:rFonts w:hint="default" w:ascii="Times New Roman" w:hAnsi="Times New Roman" w:eastAsia="宋体" w:cs="Times New Roman"/>
                <w:b w:val="0"/>
                <w:bCs/>
                <w:color w:val="auto"/>
                <w:sz w:val="24"/>
              </w:rPr>
              <w:t>综上所述，在施工期间必须按照《中华人民共和国噪声污染防治法》及《建筑施工场界环境噪声排放标准》（GB12523</w:t>
            </w:r>
            <w:r>
              <w:rPr>
                <w:rFonts w:hint="eastAsia" w:cs="Times New Roman"/>
                <w:b w:val="0"/>
                <w:bCs/>
                <w:color w:val="auto"/>
                <w:sz w:val="24"/>
                <w:lang w:val="en-US" w:eastAsia="zh-CN"/>
              </w:rPr>
              <w:t>-</w:t>
            </w:r>
            <w:r>
              <w:rPr>
                <w:rFonts w:hint="default" w:ascii="Times New Roman" w:hAnsi="Times New Roman" w:eastAsia="宋体" w:cs="Times New Roman"/>
                <w:b w:val="0"/>
                <w:bCs/>
                <w:color w:val="auto"/>
                <w:sz w:val="24"/>
              </w:rPr>
              <w:t>2011）相关要求进行</w:t>
            </w:r>
            <w:r>
              <w:rPr>
                <w:rFonts w:hint="eastAsia" w:cs="Times New Roman"/>
                <w:b w:val="0"/>
                <w:bCs/>
                <w:color w:val="auto"/>
                <w:sz w:val="24"/>
                <w:lang w:val="en-US" w:eastAsia="zh-CN"/>
              </w:rPr>
              <w:t>降噪处理</w:t>
            </w:r>
            <w:r>
              <w:rPr>
                <w:rFonts w:hint="default" w:ascii="Times New Roman" w:hAnsi="Times New Roman" w:eastAsia="宋体" w:cs="Times New Roman"/>
                <w:b w:val="0"/>
                <w:bCs/>
                <w:color w:val="auto"/>
                <w:sz w:val="24"/>
              </w:rPr>
              <w:t>，在采取上述噪声污染防治措施后，项目施工期</w:t>
            </w:r>
            <w:r>
              <w:rPr>
                <w:rFonts w:hint="eastAsia" w:cs="Times New Roman"/>
                <w:b w:val="0"/>
                <w:bCs/>
                <w:color w:val="auto"/>
                <w:sz w:val="24"/>
                <w:lang w:val="en-US" w:eastAsia="zh-CN"/>
              </w:rPr>
              <w:t>厂界</w:t>
            </w:r>
            <w:r>
              <w:rPr>
                <w:rFonts w:hint="default" w:ascii="Times New Roman" w:hAnsi="Times New Roman" w:eastAsia="宋体" w:cs="Times New Roman"/>
                <w:b w:val="0"/>
                <w:bCs/>
                <w:color w:val="auto"/>
                <w:sz w:val="24"/>
              </w:rPr>
              <w:t>噪声</w:t>
            </w:r>
            <w:r>
              <w:rPr>
                <w:rFonts w:hint="eastAsia" w:cs="Times New Roman"/>
                <w:b w:val="0"/>
                <w:bCs/>
                <w:color w:val="auto"/>
                <w:sz w:val="24"/>
                <w:lang w:val="en-US" w:eastAsia="zh-CN"/>
              </w:rPr>
              <w:t>预测结果如下：</w:t>
            </w:r>
          </w:p>
          <w:p w14:paraId="070DCD26">
            <w:pPr>
              <w:numPr>
                <w:ilvl w:val="0"/>
                <w:numId w:val="6"/>
              </w:numPr>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项目</w:t>
            </w:r>
            <w:r>
              <w:rPr>
                <w:rFonts w:hint="eastAsia" w:cs="Times New Roman"/>
                <w:b/>
                <w:bCs/>
                <w:szCs w:val="21"/>
                <w:lang w:val="en-US" w:eastAsia="zh-CN"/>
              </w:rPr>
              <w:t>施工期厂界</w:t>
            </w:r>
            <w:r>
              <w:rPr>
                <w:rFonts w:hint="eastAsia" w:ascii="Times New Roman" w:hAnsi="Times New Roman" w:eastAsia="宋体" w:cs="Times New Roman"/>
                <w:b/>
                <w:bCs/>
                <w:szCs w:val="21"/>
                <w:lang w:val="en-US" w:eastAsia="zh-CN"/>
              </w:rPr>
              <w:t>噪声预测结果（单位：dB(A)）</w:t>
            </w:r>
          </w:p>
          <w:tbl>
            <w:tblPr>
              <w:tblStyle w:val="26"/>
              <w:tblW w:w="7985"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414"/>
              <w:gridCol w:w="1341"/>
              <w:gridCol w:w="1113"/>
              <w:gridCol w:w="1200"/>
              <w:gridCol w:w="1135"/>
              <w:gridCol w:w="782"/>
            </w:tblGrid>
            <w:tr w14:paraId="0D6481C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414" w:type="dxa"/>
                  <w:tcBorders>
                    <w:tl2br w:val="nil"/>
                    <w:tr2bl w:val="nil"/>
                  </w:tcBorders>
                  <w:noWrap w:val="0"/>
                  <w:vAlign w:val="center"/>
                </w:tcPr>
                <w:p w14:paraId="6EDEBC6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预测方位</w:t>
                  </w:r>
                </w:p>
              </w:tc>
              <w:tc>
                <w:tcPr>
                  <w:tcW w:w="1341" w:type="dxa"/>
                  <w:tcBorders>
                    <w:tl2br w:val="nil"/>
                    <w:tr2bl w:val="nil"/>
                  </w:tcBorders>
                  <w:noWrap w:val="0"/>
                  <w:vAlign w:val="center"/>
                </w:tcPr>
                <w:p w14:paraId="532523C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背景值</w:t>
                  </w:r>
                  <w:r>
                    <w:rPr>
                      <w:rFonts w:hint="default" w:ascii="Times New Roman" w:hAnsi="Times New Roman" w:eastAsia="宋体" w:cs="Times New Roman"/>
                      <w:color w:val="auto"/>
                      <w:sz w:val="21"/>
                      <w:szCs w:val="21"/>
                      <w:highlight w:val="none"/>
                    </w:rPr>
                    <w:t>（dB(A)）</w:t>
                  </w:r>
                </w:p>
              </w:tc>
              <w:tc>
                <w:tcPr>
                  <w:tcW w:w="1113" w:type="dxa"/>
                  <w:tcBorders>
                    <w:tl2br w:val="nil"/>
                    <w:tr2bl w:val="nil"/>
                  </w:tcBorders>
                  <w:noWrap w:val="0"/>
                  <w:vAlign w:val="center"/>
                </w:tcPr>
                <w:p w14:paraId="2C63F53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贡献值（dB(A)）</w:t>
                  </w:r>
                </w:p>
              </w:tc>
              <w:tc>
                <w:tcPr>
                  <w:tcW w:w="1200" w:type="dxa"/>
                  <w:tcBorders>
                    <w:tl2br w:val="nil"/>
                    <w:tr2bl w:val="nil"/>
                  </w:tcBorders>
                  <w:noWrap w:val="0"/>
                  <w:vAlign w:val="center"/>
                </w:tcPr>
                <w:p w14:paraId="758640A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预测值</w:t>
                  </w:r>
                  <w:r>
                    <w:rPr>
                      <w:rFonts w:hint="default" w:ascii="Times New Roman" w:hAnsi="Times New Roman" w:eastAsia="宋体" w:cs="Times New Roman"/>
                      <w:color w:val="auto"/>
                      <w:sz w:val="21"/>
                      <w:szCs w:val="21"/>
                      <w:highlight w:val="none"/>
                    </w:rPr>
                    <w:t>（dB(A)）</w:t>
                  </w:r>
                </w:p>
              </w:tc>
              <w:tc>
                <w:tcPr>
                  <w:tcW w:w="1135" w:type="dxa"/>
                  <w:tcBorders>
                    <w:tl2br w:val="nil"/>
                    <w:tr2bl w:val="nil"/>
                  </w:tcBorders>
                  <w:noWrap w:val="0"/>
                  <w:vAlign w:val="center"/>
                </w:tcPr>
                <w:p w14:paraId="27CEB56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标准限值（dB(A)）</w:t>
                  </w:r>
                </w:p>
              </w:tc>
              <w:tc>
                <w:tcPr>
                  <w:tcW w:w="782" w:type="dxa"/>
                  <w:tcBorders>
                    <w:tl2br w:val="nil"/>
                    <w:tr2bl w:val="nil"/>
                  </w:tcBorders>
                  <w:noWrap w:val="0"/>
                  <w:vAlign w:val="center"/>
                </w:tcPr>
                <w:p w14:paraId="55C4EDD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r>
            <w:tr w14:paraId="67B10BF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414" w:type="dxa"/>
                  <w:tcBorders>
                    <w:tl2br w:val="nil"/>
                    <w:tr2bl w:val="nil"/>
                  </w:tcBorders>
                  <w:noWrap w:val="0"/>
                  <w:vAlign w:val="center"/>
                </w:tcPr>
                <w:p w14:paraId="5621D674">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项目东厂界</w:t>
                  </w:r>
                </w:p>
              </w:tc>
              <w:tc>
                <w:tcPr>
                  <w:tcW w:w="1341" w:type="dxa"/>
                  <w:tcBorders>
                    <w:tl2br w:val="nil"/>
                    <w:tr2bl w:val="nil"/>
                  </w:tcBorders>
                  <w:noWrap w:val="0"/>
                  <w:vAlign w:val="center"/>
                </w:tcPr>
                <w:p w14:paraId="5BF2E7AF">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113" w:type="dxa"/>
                  <w:tcBorders>
                    <w:tl2br w:val="nil"/>
                    <w:tr2bl w:val="nil"/>
                  </w:tcBorders>
                  <w:noWrap w:val="0"/>
                  <w:vAlign w:val="center"/>
                </w:tcPr>
                <w:p w14:paraId="53D04C5D">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46.3</w:t>
                  </w:r>
                </w:p>
              </w:tc>
              <w:tc>
                <w:tcPr>
                  <w:tcW w:w="1200" w:type="dxa"/>
                  <w:tcBorders>
                    <w:tl2br w:val="nil"/>
                    <w:tr2bl w:val="nil"/>
                  </w:tcBorders>
                  <w:noWrap w:val="0"/>
                  <w:vAlign w:val="center"/>
                </w:tcPr>
                <w:p w14:paraId="4270BE21">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35" w:type="dxa"/>
                  <w:tcBorders>
                    <w:tl2br w:val="nil"/>
                    <w:tr2bl w:val="nil"/>
                  </w:tcBorders>
                  <w:noWrap w:val="0"/>
                  <w:vAlign w:val="center"/>
                </w:tcPr>
                <w:p w14:paraId="5A512255">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782" w:type="dxa"/>
                  <w:tcBorders>
                    <w:tl2br w:val="nil"/>
                    <w:tr2bl w:val="nil"/>
                  </w:tcBorders>
                  <w:noWrap w:val="0"/>
                  <w:vAlign w:val="center"/>
                </w:tcPr>
                <w:p w14:paraId="094F5ECE">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4B14161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414" w:type="dxa"/>
                  <w:tcBorders>
                    <w:tl2br w:val="nil"/>
                    <w:tr2bl w:val="nil"/>
                  </w:tcBorders>
                  <w:noWrap w:val="0"/>
                  <w:vAlign w:val="center"/>
                </w:tcPr>
                <w:p w14:paraId="672CC1B6">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项目南厂界</w:t>
                  </w:r>
                </w:p>
              </w:tc>
              <w:tc>
                <w:tcPr>
                  <w:tcW w:w="1341" w:type="dxa"/>
                  <w:tcBorders>
                    <w:tl2br w:val="nil"/>
                    <w:tr2bl w:val="nil"/>
                  </w:tcBorders>
                  <w:noWrap w:val="0"/>
                  <w:vAlign w:val="center"/>
                </w:tcPr>
                <w:p w14:paraId="4C177FC5">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113" w:type="dxa"/>
                  <w:tcBorders>
                    <w:tl2br w:val="nil"/>
                    <w:tr2bl w:val="nil"/>
                  </w:tcBorders>
                  <w:noWrap w:val="0"/>
                  <w:vAlign w:val="center"/>
                </w:tcPr>
                <w:p w14:paraId="23D36ECC">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45.5</w:t>
                  </w:r>
                </w:p>
              </w:tc>
              <w:tc>
                <w:tcPr>
                  <w:tcW w:w="1200" w:type="dxa"/>
                  <w:tcBorders>
                    <w:tl2br w:val="nil"/>
                    <w:tr2bl w:val="nil"/>
                  </w:tcBorders>
                  <w:noWrap w:val="0"/>
                  <w:vAlign w:val="center"/>
                </w:tcPr>
                <w:p w14:paraId="2DBD2336">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35" w:type="dxa"/>
                  <w:tcBorders>
                    <w:tl2br w:val="nil"/>
                    <w:tr2bl w:val="nil"/>
                  </w:tcBorders>
                  <w:noWrap w:val="0"/>
                  <w:vAlign w:val="center"/>
                </w:tcPr>
                <w:p w14:paraId="756F9556">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782" w:type="dxa"/>
                  <w:tcBorders>
                    <w:tl2br w:val="nil"/>
                    <w:tr2bl w:val="nil"/>
                  </w:tcBorders>
                  <w:noWrap w:val="0"/>
                  <w:vAlign w:val="center"/>
                </w:tcPr>
                <w:p w14:paraId="2B04A980">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0C47CC6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414" w:type="dxa"/>
                  <w:tcBorders>
                    <w:tl2br w:val="nil"/>
                    <w:tr2bl w:val="nil"/>
                  </w:tcBorders>
                  <w:noWrap w:val="0"/>
                  <w:vAlign w:val="center"/>
                </w:tcPr>
                <w:p w14:paraId="714D3333">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项目西厂界</w:t>
                  </w:r>
                </w:p>
              </w:tc>
              <w:tc>
                <w:tcPr>
                  <w:tcW w:w="1341" w:type="dxa"/>
                  <w:tcBorders>
                    <w:tl2br w:val="nil"/>
                    <w:tr2bl w:val="nil"/>
                  </w:tcBorders>
                  <w:noWrap w:val="0"/>
                  <w:vAlign w:val="center"/>
                </w:tcPr>
                <w:p w14:paraId="4D870450">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113" w:type="dxa"/>
                  <w:tcBorders>
                    <w:tl2br w:val="nil"/>
                    <w:tr2bl w:val="nil"/>
                  </w:tcBorders>
                  <w:noWrap w:val="0"/>
                  <w:vAlign w:val="center"/>
                </w:tcPr>
                <w:p w14:paraId="1739C3C7">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42.1</w:t>
                  </w:r>
                </w:p>
              </w:tc>
              <w:tc>
                <w:tcPr>
                  <w:tcW w:w="1200" w:type="dxa"/>
                  <w:tcBorders>
                    <w:tl2br w:val="nil"/>
                    <w:tr2bl w:val="nil"/>
                  </w:tcBorders>
                  <w:noWrap w:val="0"/>
                  <w:vAlign w:val="center"/>
                </w:tcPr>
                <w:p w14:paraId="7D6A45C2">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35" w:type="dxa"/>
                  <w:tcBorders>
                    <w:tl2br w:val="nil"/>
                    <w:tr2bl w:val="nil"/>
                  </w:tcBorders>
                  <w:noWrap w:val="0"/>
                  <w:vAlign w:val="center"/>
                </w:tcPr>
                <w:p w14:paraId="59A5113C">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782" w:type="dxa"/>
                  <w:tcBorders>
                    <w:tl2br w:val="nil"/>
                    <w:tr2bl w:val="nil"/>
                  </w:tcBorders>
                  <w:noWrap w:val="0"/>
                  <w:vAlign w:val="center"/>
                </w:tcPr>
                <w:p w14:paraId="15CCE5D4">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60CD0B0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414" w:type="dxa"/>
                  <w:tcBorders>
                    <w:tl2br w:val="nil"/>
                    <w:tr2bl w:val="nil"/>
                  </w:tcBorders>
                  <w:noWrap w:val="0"/>
                  <w:vAlign w:val="center"/>
                </w:tcPr>
                <w:p w14:paraId="29CFF1C4">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项目北厂界</w:t>
                  </w:r>
                </w:p>
              </w:tc>
              <w:tc>
                <w:tcPr>
                  <w:tcW w:w="1341" w:type="dxa"/>
                  <w:tcBorders>
                    <w:tl2br w:val="nil"/>
                    <w:tr2bl w:val="nil"/>
                  </w:tcBorders>
                  <w:noWrap w:val="0"/>
                  <w:vAlign w:val="center"/>
                </w:tcPr>
                <w:p w14:paraId="3EEE0194">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113" w:type="dxa"/>
                  <w:tcBorders>
                    <w:tl2br w:val="nil"/>
                    <w:tr2bl w:val="nil"/>
                  </w:tcBorders>
                  <w:noWrap w:val="0"/>
                  <w:vAlign w:val="center"/>
                </w:tcPr>
                <w:p w14:paraId="6995D67B">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45.1</w:t>
                  </w:r>
                </w:p>
              </w:tc>
              <w:tc>
                <w:tcPr>
                  <w:tcW w:w="1200" w:type="dxa"/>
                  <w:tcBorders>
                    <w:tl2br w:val="nil"/>
                    <w:tr2bl w:val="nil"/>
                  </w:tcBorders>
                  <w:noWrap w:val="0"/>
                  <w:vAlign w:val="center"/>
                </w:tcPr>
                <w:p w14:paraId="178D3AA4">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35" w:type="dxa"/>
                  <w:tcBorders>
                    <w:tl2br w:val="nil"/>
                    <w:tr2bl w:val="nil"/>
                  </w:tcBorders>
                  <w:noWrap w:val="0"/>
                  <w:vAlign w:val="center"/>
                </w:tcPr>
                <w:p w14:paraId="403690FA">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782" w:type="dxa"/>
                  <w:tcBorders>
                    <w:tl2br w:val="nil"/>
                    <w:tr2bl w:val="nil"/>
                  </w:tcBorders>
                  <w:noWrap w:val="0"/>
                  <w:vAlign w:val="center"/>
                </w:tcPr>
                <w:p w14:paraId="77766E33">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bl>
          <w:p w14:paraId="3FA7A0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color w:val="auto"/>
                <w:sz w:val="21"/>
                <w:szCs w:val="21"/>
                <w:lang w:val="en-US" w:eastAsia="zh-CN"/>
              </w:rPr>
            </w:pPr>
          </w:p>
          <w:p w14:paraId="52FF97A3">
            <w:pPr>
              <w:spacing w:line="360" w:lineRule="auto"/>
              <w:ind w:firstLine="480" w:firstLineChars="200"/>
              <w:rPr>
                <w:rFonts w:hint="default" w:ascii="Times New Roman" w:hAnsi="Times New Roman" w:eastAsia="宋体" w:cs="Times New Roman"/>
                <w:b w:val="0"/>
                <w:bCs/>
                <w:color w:val="auto"/>
                <w:sz w:val="24"/>
              </w:rPr>
            </w:pPr>
            <w:r>
              <w:rPr>
                <w:rFonts w:hint="eastAsia"/>
                <w:sz w:val="24"/>
                <w:lang w:val="en-US" w:eastAsia="zh-CN"/>
              </w:rPr>
              <w:t>根据预测结果，项目施工期采取以上治理措施后，厂界噪声能够满足</w:t>
            </w:r>
            <w:r>
              <w:rPr>
                <w:sz w:val="24"/>
              </w:rPr>
              <w:t>《建筑施工场界环境噪声排放标准》（GB12523-2011）中表1标准</w:t>
            </w:r>
            <w:r>
              <w:rPr>
                <w:rFonts w:hint="eastAsia"/>
                <w:sz w:val="24"/>
                <w:lang w:eastAsia="zh-CN"/>
              </w:rPr>
              <w:t>，</w:t>
            </w:r>
            <w:r>
              <w:rPr>
                <w:rFonts w:hint="default" w:ascii="Times New Roman" w:hAnsi="Times New Roman" w:eastAsia="宋体" w:cs="Times New Roman"/>
                <w:b w:val="0"/>
                <w:bCs/>
                <w:color w:val="auto"/>
                <w:sz w:val="24"/>
              </w:rPr>
              <w:t>对周围环境影响将得到有效控制，基本无影响。</w:t>
            </w:r>
          </w:p>
          <w:p w14:paraId="4BCB700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rPr>
              <w:t>4</w:t>
            </w:r>
            <w:r>
              <w:rPr>
                <w:rFonts w:hint="eastAsia" w:cs="Times New Roman"/>
                <w:b/>
                <w:bCs w:val="0"/>
                <w:color w:val="auto"/>
                <w:sz w:val="24"/>
                <w:lang w:eastAsia="zh-CN"/>
              </w:rPr>
              <w:t>、</w:t>
            </w:r>
            <w:r>
              <w:rPr>
                <w:rFonts w:hint="default" w:ascii="Times New Roman" w:hAnsi="Times New Roman" w:eastAsia="宋体" w:cs="Times New Roman"/>
                <w:b/>
                <w:bCs w:val="0"/>
                <w:color w:val="auto"/>
                <w:sz w:val="24"/>
              </w:rPr>
              <w:t>固体废物防治措施</w:t>
            </w:r>
          </w:p>
          <w:p w14:paraId="07E3D7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（1）施工期生活垃圾</w:t>
            </w:r>
          </w:p>
          <w:p w14:paraId="24D2AF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施工人员生活垃圾交由环卫部门统一清运。</w:t>
            </w:r>
          </w:p>
          <w:p w14:paraId="746254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（2）建筑垃圾</w:t>
            </w:r>
          </w:p>
          <w:p w14:paraId="699170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项目建筑垃圾主要来自施工作业，包括砂石、石块、碎砖瓦、废木料、废金属、废钢筋等杂物，这部分数量较少。项目建渣采取分类收集，对废金属、钢筋等回收外售废旧回收站再次利用，未能回收的建筑垃圾及时清运至政府指定的建渣消纳场，不外排。</w:t>
            </w:r>
          </w:p>
          <w:p w14:paraId="5D16B5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auto"/>
                <w:sz w:val="24"/>
                <w:lang w:eastAsia="zh-CN"/>
              </w:rPr>
            </w:pPr>
            <w:r>
              <w:rPr>
                <w:rFonts w:hint="default" w:ascii="Times New Roman" w:hAnsi="Times New Roman" w:eastAsia="宋体" w:cs="Times New Roman"/>
                <w:b w:val="0"/>
                <w:bCs/>
                <w:color w:val="auto"/>
                <w:sz w:val="24"/>
              </w:rPr>
              <w:t>（3）</w:t>
            </w:r>
            <w:r>
              <w:rPr>
                <w:rFonts w:hint="eastAsia" w:cs="Times New Roman"/>
                <w:b w:val="0"/>
                <w:bCs/>
                <w:color w:val="auto"/>
                <w:sz w:val="24"/>
                <w:lang w:val="en-US" w:eastAsia="zh-CN"/>
              </w:rPr>
              <w:t>弃土</w:t>
            </w:r>
          </w:p>
          <w:p w14:paraId="2F37DB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rPr>
            </w:pPr>
            <w:r>
              <w:rPr>
                <w:rFonts w:hint="eastAsia" w:cs="Times New Roman"/>
                <w:b w:val="0"/>
                <w:bCs/>
                <w:color w:val="auto"/>
                <w:sz w:val="24"/>
                <w:lang w:val="en-US" w:eastAsia="zh-CN"/>
              </w:rPr>
              <w:t>施工期开挖土石方约为21000m</w:t>
            </w:r>
            <w:r>
              <w:rPr>
                <w:rFonts w:hint="eastAsia" w:cs="Times New Roman"/>
                <w:b w:val="0"/>
                <w:bCs/>
                <w:color w:val="auto"/>
                <w:sz w:val="24"/>
                <w:vertAlign w:val="superscript"/>
                <w:lang w:val="en-US" w:eastAsia="zh-CN"/>
              </w:rPr>
              <w:t>3</w:t>
            </w:r>
            <w:r>
              <w:rPr>
                <w:rFonts w:hint="eastAsia" w:cs="Times New Roman"/>
                <w:b w:val="0"/>
                <w:bCs/>
                <w:color w:val="auto"/>
                <w:sz w:val="24"/>
                <w:lang w:val="en-US" w:eastAsia="zh-CN"/>
              </w:rPr>
              <w:t>，</w:t>
            </w:r>
            <w:r>
              <w:rPr>
                <w:rFonts w:hint="default" w:ascii="Times New Roman" w:hAnsi="Times New Roman" w:eastAsia="宋体" w:cs="Times New Roman"/>
                <w:b w:val="0"/>
                <w:bCs/>
                <w:color w:val="auto"/>
                <w:sz w:val="24"/>
              </w:rPr>
              <w:t>开挖的</w:t>
            </w:r>
            <w:r>
              <w:rPr>
                <w:rFonts w:hint="eastAsia" w:cs="Times New Roman"/>
                <w:b w:val="0"/>
                <w:bCs/>
                <w:color w:val="auto"/>
                <w:sz w:val="24"/>
                <w:lang w:val="en-US" w:eastAsia="zh-CN"/>
              </w:rPr>
              <w:t>部分表土</w:t>
            </w:r>
            <w:r>
              <w:rPr>
                <w:rFonts w:hint="default" w:ascii="Times New Roman" w:hAnsi="Times New Roman" w:eastAsia="宋体" w:cs="Times New Roman"/>
                <w:b w:val="0"/>
                <w:bCs/>
                <w:color w:val="auto"/>
                <w:sz w:val="24"/>
              </w:rPr>
              <w:t>用于场地回填或厂区绿化使用</w:t>
            </w:r>
            <w:r>
              <w:rPr>
                <w:rFonts w:hint="eastAsia" w:cs="Times New Roman"/>
                <w:b w:val="0"/>
                <w:bCs/>
                <w:color w:val="auto"/>
                <w:sz w:val="24"/>
                <w:lang w:eastAsia="zh-CN"/>
              </w:rPr>
              <w:t>，</w:t>
            </w:r>
            <w:r>
              <w:rPr>
                <w:rFonts w:hint="eastAsia" w:cs="Times New Roman"/>
                <w:b w:val="0"/>
                <w:bCs/>
                <w:color w:val="auto"/>
                <w:sz w:val="24"/>
                <w:lang w:val="en-US" w:eastAsia="zh-CN"/>
              </w:rPr>
              <w:t>剩余弃土方量约为20000m</w:t>
            </w:r>
            <w:r>
              <w:rPr>
                <w:rFonts w:hint="eastAsia" w:cs="Times New Roman"/>
                <w:b w:val="0"/>
                <w:bCs/>
                <w:color w:val="auto"/>
                <w:sz w:val="24"/>
                <w:vertAlign w:val="superscript"/>
                <w:lang w:val="en-US" w:eastAsia="zh-CN"/>
              </w:rPr>
              <w:t>3</w:t>
            </w:r>
            <w:r>
              <w:rPr>
                <w:rFonts w:hint="eastAsia" w:cs="Times New Roman"/>
                <w:b w:val="0"/>
                <w:bCs/>
                <w:color w:val="auto"/>
                <w:sz w:val="24"/>
                <w:lang w:val="en-US" w:eastAsia="zh-CN"/>
              </w:rPr>
              <w:t>，产生的弃土运至政府指定的弃土堆场处置</w:t>
            </w:r>
            <w:r>
              <w:rPr>
                <w:rFonts w:hint="default" w:ascii="Times New Roman" w:hAnsi="Times New Roman" w:eastAsia="宋体" w:cs="Times New Roman"/>
                <w:b w:val="0"/>
                <w:bCs/>
                <w:color w:val="auto"/>
                <w:sz w:val="24"/>
              </w:rPr>
              <w:t>。</w:t>
            </w:r>
          </w:p>
          <w:p w14:paraId="7E734B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lang w:val="en-US" w:eastAsia="zh-CN"/>
              </w:rPr>
            </w:pPr>
            <w:r>
              <w:rPr>
                <w:rFonts w:hint="eastAsia" w:cs="Times New Roman"/>
                <w:b w:val="0"/>
                <w:bCs/>
                <w:color w:val="auto"/>
                <w:sz w:val="24"/>
                <w:lang w:eastAsia="zh-CN"/>
              </w:rPr>
              <w:t>（</w:t>
            </w:r>
            <w:r>
              <w:rPr>
                <w:rFonts w:hint="eastAsia" w:cs="Times New Roman"/>
                <w:b w:val="0"/>
                <w:bCs/>
                <w:color w:val="auto"/>
                <w:sz w:val="24"/>
                <w:lang w:val="en-US" w:eastAsia="zh-CN"/>
              </w:rPr>
              <w:t>4</w:t>
            </w:r>
            <w:r>
              <w:rPr>
                <w:rFonts w:hint="eastAsia" w:cs="Times New Roman"/>
                <w:b w:val="0"/>
                <w:bCs/>
                <w:color w:val="auto"/>
                <w:sz w:val="24"/>
                <w:lang w:eastAsia="zh-CN"/>
              </w:rPr>
              <w:t>）</w:t>
            </w:r>
            <w:r>
              <w:rPr>
                <w:rFonts w:hint="eastAsia" w:cs="Times New Roman"/>
                <w:b w:val="0"/>
                <w:bCs/>
                <w:color w:val="auto"/>
                <w:sz w:val="24"/>
                <w:lang w:val="en-US" w:eastAsia="zh-CN"/>
              </w:rPr>
              <w:t>拆除的旧设备</w:t>
            </w:r>
          </w:p>
          <w:p w14:paraId="65EB85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lang w:val="en-US" w:eastAsia="zh-CN"/>
              </w:rPr>
            </w:pPr>
            <w:r>
              <w:rPr>
                <w:rFonts w:hint="eastAsia" w:cs="Times New Roman"/>
                <w:b w:val="0"/>
                <w:bCs/>
                <w:color w:val="auto"/>
                <w:sz w:val="24"/>
                <w:lang w:val="en-US" w:eastAsia="zh-CN"/>
              </w:rPr>
              <w:t>原项目拆除的废旧设备由设备厂家回收。</w:t>
            </w:r>
          </w:p>
          <w:p w14:paraId="20F74992">
            <w:pPr>
              <w:pStyle w:val="90"/>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hAnsi="宋体"/>
                <w:szCs w:val="24"/>
                <w:lang w:val="en-US" w:eastAsia="zh-CN"/>
              </w:rPr>
            </w:pPr>
            <w:r>
              <w:rPr>
                <w:rFonts w:hint="default" w:ascii="Times New Roman" w:hAnsi="Times New Roman" w:eastAsia="宋体" w:cs="Times New Roman"/>
                <w:b/>
                <w:bCs/>
                <w:color w:val="auto"/>
                <w:sz w:val="24"/>
              </w:rPr>
              <w:t>综上，项目施工期是应加强施工期的环境管理，对</w:t>
            </w:r>
            <w:r>
              <w:rPr>
                <w:rFonts w:hint="eastAsia" w:cs="Times New Roman"/>
                <w:b/>
                <w:bCs/>
                <w:color w:val="auto"/>
                <w:sz w:val="24"/>
                <w:lang w:eastAsia="zh-CN"/>
              </w:rPr>
              <w:t>施工期</w:t>
            </w:r>
            <w:r>
              <w:rPr>
                <w:rFonts w:hint="default" w:ascii="Times New Roman" w:hAnsi="Times New Roman" w:eastAsia="宋体" w:cs="Times New Roman"/>
                <w:b/>
                <w:bCs/>
                <w:color w:val="auto"/>
                <w:sz w:val="24"/>
              </w:rPr>
              <w:t>产生的污染要依照本环评的要求进行防治，将施工期对周围环境的影响降至最低。从上述情况来看，只要施工单位做到文明施工并加强施工人员的环境保护安全意识教育，尽量降低本项目对周围环境影响，施工结束后，以上影响将随之消除。</w:t>
            </w:r>
          </w:p>
        </w:tc>
      </w:tr>
      <w:tr w14:paraId="4BBAE2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 w:type="dxa"/>
            <w:bottom w:w="0" w:type="dxa"/>
            <w:right w:w="1" w:type="dxa"/>
          </w:tblCellMar>
        </w:tblPrEx>
        <w:trPr>
          <w:trHeight w:val="90" w:hRule="atLeast"/>
          <w:jc w:val="center"/>
        </w:trPr>
        <w:tc>
          <w:tcPr>
            <w:tcW w:w="746" w:type="dxa"/>
            <w:noWrap w:val="0"/>
            <w:tcMar>
              <w:left w:w="28" w:type="dxa"/>
              <w:right w:w="28" w:type="dxa"/>
            </w:tcMar>
            <w:vAlign w:val="center"/>
          </w:tcPr>
          <w:p w14:paraId="09B963FB">
            <w:pPr>
              <w:wordWrap w:val="0"/>
              <w:adjustRightInd w:val="0"/>
              <w:jc w:val="center"/>
              <w:rPr>
                <w:b/>
                <w:sz w:val="24"/>
              </w:rPr>
            </w:pPr>
            <w:r>
              <w:rPr>
                <w:b/>
                <w:sz w:val="24"/>
              </w:rPr>
              <w:t>运营期环境影响和保护措施</w:t>
            </w:r>
          </w:p>
        </w:tc>
        <w:tc>
          <w:tcPr>
            <w:tcW w:w="8060" w:type="dxa"/>
            <w:noWrap w:val="0"/>
            <w:vAlign w:val="center"/>
          </w:tcPr>
          <w:p w14:paraId="5D231A15">
            <w:pPr>
              <w:spacing w:line="360" w:lineRule="auto"/>
              <w:ind w:firstLine="482" w:firstLineChars="200"/>
              <w:rPr>
                <w:rFonts w:hint="eastAsia"/>
                <w:bCs/>
                <w:sz w:val="24"/>
              </w:rPr>
            </w:pPr>
            <w:r>
              <w:rPr>
                <w:rFonts w:hint="eastAsia"/>
                <w:b/>
                <w:sz w:val="24"/>
                <w:lang w:val="en-US" w:eastAsia="zh-CN"/>
              </w:rPr>
              <w:t>1、</w:t>
            </w:r>
            <w:r>
              <w:rPr>
                <w:rFonts w:hint="eastAsia"/>
                <w:b/>
                <w:sz w:val="24"/>
              </w:rPr>
              <w:t>废气环境影响和保护措施</w:t>
            </w:r>
          </w:p>
          <w:p w14:paraId="11180AC3">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1.1废气产排污分析</w:t>
            </w:r>
          </w:p>
          <w:p w14:paraId="0B5836D3">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本项目生产运营过程中废气产生情况如下：</w:t>
            </w:r>
          </w:p>
          <w:p w14:paraId="62898610">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普通</w:t>
            </w:r>
            <w:r>
              <w:rPr>
                <w:rFonts w:hint="eastAsia" w:ascii="Times New Roman" w:hAnsi="Times New Roman" w:eastAsia="宋体" w:cs="Times New Roman"/>
                <w:b w:val="0"/>
                <w:bCs w:val="0"/>
                <w:color w:val="auto"/>
                <w:sz w:val="24"/>
                <w:lang w:val="en-US" w:eastAsia="zh-CN"/>
              </w:rPr>
              <w:t>沥青混凝土、</w:t>
            </w:r>
            <w:r>
              <w:rPr>
                <w:rFonts w:hint="eastAsia" w:cs="Times New Roman"/>
                <w:b w:val="0"/>
                <w:bCs w:val="0"/>
                <w:color w:val="auto"/>
                <w:sz w:val="24"/>
                <w:lang w:val="en-US" w:eastAsia="zh-CN"/>
              </w:rPr>
              <w:t>热</w:t>
            </w:r>
            <w:r>
              <w:rPr>
                <w:rFonts w:hint="eastAsia" w:ascii="Times New Roman" w:hAnsi="Times New Roman" w:eastAsia="宋体" w:cs="Times New Roman"/>
                <w:b w:val="0"/>
                <w:bCs w:val="0"/>
                <w:color w:val="auto"/>
                <w:sz w:val="24"/>
                <w:lang w:val="en-US" w:eastAsia="zh-CN"/>
              </w:rPr>
              <w:t>再生沥青混凝土</w:t>
            </w:r>
            <w:r>
              <w:rPr>
                <w:rFonts w:hint="eastAsia" w:cs="Times New Roman"/>
                <w:b w:val="0"/>
                <w:bCs w:val="0"/>
                <w:color w:val="auto"/>
                <w:sz w:val="24"/>
                <w:lang w:val="en-US" w:eastAsia="zh-CN"/>
              </w:rPr>
              <w:t>、乳化沥青</w:t>
            </w:r>
            <w:r>
              <w:rPr>
                <w:rFonts w:hint="eastAsia" w:ascii="Times New Roman" w:hAnsi="Times New Roman" w:eastAsia="宋体" w:cs="Times New Roman"/>
                <w:b w:val="0"/>
                <w:bCs w:val="0"/>
                <w:color w:val="auto"/>
                <w:sz w:val="24"/>
                <w:lang w:val="en-US" w:eastAsia="zh-CN"/>
              </w:rPr>
              <w:t>生产线：投料粉尘、皮带</w:t>
            </w:r>
            <w:r>
              <w:rPr>
                <w:rFonts w:hint="eastAsia" w:cs="Times New Roman"/>
                <w:b w:val="0"/>
                <w:bCs w:val="0"/>
                <w:color w:val="auto"/>
                <w:sz w:val="24"/>
                <w:lang w:val="en-US" w:eastAsia="zh-CN"/>
              </w:rPr>
              <w:t>输送粉尘</w:t>
            </w:r>
            <w:r>
              <w:rPr>
                <w:rFonts w:hint="eastAsia" w:ascii="Times New Roman" w:hAnsi="Times New Roman" w:eastAsia="宋体" w:cs="Times New Roman"/>
                <w:b w:val="0"/>
                <w:bCs w:val="0"/>
                <w:color w:val="auto"/>
                <w:sz w:val="24"/>
                <w:lang w:val="en-US" w:eastAsia="zh-CN"/>
              </w:rPr>
              <w:t>、烘干粉尘、天然气燃烧废气、提升粉尘、筛分粉尘、搅拌废气、卸料废气、粉料筒仓粉尘；</w:t>
            </w:r>
          </w:p>
          <w:p w14:paraId="69DE0C50">
            <w:pPr>
              <w:autoSpaceDE w:val="0"/>
              <w:autoSpaceDN w:val="0"/>
              <w:spacing w:line="360" w:lineRule="auto"/>
              <w:ind w:firstLine="480" w:firstLineChars="200"/>
              <w:rPr>
                <w:rFonts w:hint="default"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煤粉生产线：投料粉尘、磨煤系统产生的粉尘、</w:t>
            </w:r>
            <w:r>
              <w:rPr>
                <w:rFonts w:hint="eastAsia" w:ascii="Times New Roman" w:hAnsi="Times New Roman" w:eastAsia="宋体" w:cs="Times New Roman"/>
                <w:b w:val="0"/>
                <w:bCs w:val="0"/>
                <w:color w:val="auto"/>
                <w:sz w:val="24"/>
                <w:lang w:val="en-US" w:eastAsia="zh-CN"/>
              </w:rPr>
              <w:t>天然气燃烧废气</w:t>
            </w:r>
            <w:r>
              <w:rPr>
                <w:rFonts w:hint="eastAsia" w:cs="Times New Roman"/>
                <w:b w:val="0"/>
                <w:bCs w:val="0"/>
                <w:color w:val="auto"/>
                <w:sz w:val="24"/>
                <w:lang w:val="en-US" w:eastAsia="zh-CN"/>
              </w:rPr>
              <w:t>；</w:t>
            </w:r>
          </w:p>
          <w:p w14:paraId="2219EA60">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再生料（废沥青混凝土层）预处理：投料粉尘、破碎粉尘、筛分粉尘；</w:t>
            </w:r>
          </w:p>
          <w:p w14:paraId="12173050">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原料堆存：装卸扬尘、堆场扬尘；</w:t>
            </w:r>
          </w:p>
          <w:p w14:paraId="37B4C469">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公辅设施：导热油炉天然气燃烧废气、沥青加热废气、食堂油烟、厂区道路扬尘、汽车尾气、生产检测中心有机废气。</w:t>
            </w:r>
          </w:p>
          <w:p w14:paraId="575CAC06">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具体废气产生情况及收集治理措施如下：</w:t>
            </w:r>
          </w:p>
          <w:p w14:paraId="298DD77F">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1.1.1</w:t>
            </w:r>
            <w:r>
              <w:rPr>
                <w:rFonts w:hint="eastAsia" w:cs="Times New Roman"/>
                <w:b/>
                <w:bCs/>
                <w:color w:val="auto"/>
                <w:sz w:val="24"/>
                <w:lang w:val="en-US" w:eastAsia="zh-CN"/>
              </w:rPr>
              <w:t>普通</w:t>
            </w:r>
            <w:r>
              <w:rPr>
                <w:rFonts w:hint="eastAsia" w:ascii="Times New Roman" w:hAnsi="Times New Roman" w:eastAsia="宋体" w:cs="Times New Roman"/>
                <w:b/>
                <w:bCs/>
                <w:color w:val="auto"/>
                <w:sz w:val="24"/>
                <w:lang w:val="en-US" w:eastAsia="zh-CN"/>
              </w:rPr>
              <w:t>沥青混凝土、</w:t>
            </w:r>
            <w:r>
              <w:rPr>
                <w:rFonts w:hint="eastAsia" w:cs="Times New Roman"/>
                <w:b/>
                <w:bCs/>
                <w:color w:val="auto"/>
                <w:sz w:val="24"/>
                <w:lang w:val="en-US" w:eastAsia="zh-CN"/>
              </w:rPr>
              <w:t>热</w:t>
            </w:r>
            <w:r>
              <w:rPr>
                <w:rFonts w:hint="eastAsia" w:ascii="Times New Roman" w:hAnsi="Times New Roman" w:eastAsia="宋体" w:cs="Times New Roman"/>
                <w:b/>
                <w:bCs/>
                <w:color w:val="auto"/>
                <w:sz w:val="24"/>
                <w:lang w:val="en-US" w:eastAsia="zh-CN"/>
              </w:rPr>
              <w:t>再生沥青混凝土</w:t>
            </w:r>
            <w:r>
              <w:rPr>
                <w:rFonts w:hint="eastAsia" w:cs="Times New Roman"/>
                <w:b/>
                <w:bCs/>
                <w:color w:val="auto"/>
                <w:sz w:val="24"/>
                <w:lang w:val="en-US" w:eastAsia="zh-CN"/>
              </w:rPr>
              <w:t>、乳化沥青</w:t>
            </w:r>
            <w:r>
              <w:rPr>
                <w:rFonts w:hint="eastAsia" w:ascii="Times New Roman" w:hAnsi="Times New Roman" w:eastAsia="宋体" w:cs="Times New Roman"/>
                <w:b/>
                <w:bCs/>
                <w:color w:val="auto"/>
                <w:sz w:val="24"/>
                <w:lang w:val="en-US" w:eastAsia="zh-CN"/>
              </w:rPr>
              <w:t>生产线</w:t>
            </w:r>
          </w:p>
          <w:p w14:paraId="3C957AF2">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本项目普通沥青混凝土、热再生沥青混凝土</w:t>
            </w:r>
            <w:r>
              <w:rPr>
                <w:rFonts w:hint="eastAsia" w:cs="Times New Roman"/>
                <w:b w:val="0"/>
                <w:bCs w:val="0"/>
                <w:color w:val="auto"/>
                <w:sz w:val="24"/>
                <w:lang w:val="en-US" w:eastAsia="zh-CN"/>
              </w:rPr>
              <w:t>、乳化沥青</w:t>
            </w:r>
            <w:r>
              <w:rPr>
                <w:rFonts w:hint="eastAsia" w:ascii="Times New Roman" w:hAnsi="Times New Roman" w:eastAsia="宋体" w:cs="Times New Roman"/>
                <w:b w:val="0"/>
                <w:bCs w:val="0"/>
                <w:color w:val="auto"/>
                <w:sz w:val="24"/>
                <w:lang w:val="en-US" w:eastAsia="zh-CN"/>
              </w:rPr>
              <w:t>生产线产生的废气主要有投料粉尘、</w:t>
            </w:r>
            <w:r>
              <w:rPr>
                <w:rFonts w:hint="eastAsia" w:cs="Times New Roman"/>
                <w:b w:val="0"/>
                <w:bCs w:val="0"/>
                <w:color w:val="auto"/>
                <w:sz w:val="24"/>
                <w:lang w:val="en-US" w:eastAsia="zh-CN"/>
              </w:rPr>
              <w:t>输送粉尘</w:t>
            </w:r>
            <w:r>
              <w:rPr>
                <w:rFonts w:hint="eastAsia" w:ascii="Times New Roman" w:hAnsi="Times New Roman" w:eastAsia="宋体" w:cs="Times New Roman"/>
                <w:b w:val="0"/>
                <w:bCs w:val="0"/>
                <w:color w:val="auto"/>
                <w:sz w:val="24"/>
                <w:lang w:val="en-US" w:eastAsia="zh-CN"/>
              </w:rPr>
              <w:t>、烘干粉尘、骨料烘干天然气燃烧废气、提升粉尘、筛分粉尘、搅拌废气、卸料废气、粉料筒仓粉尘以及沥青加热废气，废气产生及治理情况如下：</w:t>
            </w:r>
          </w:p>
          <w:p w14:paraId="76747D54">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（1）产生情况</w:t>
            </w:r>
          </w:p>
          <w:p w14:paraId="3596456E">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①投料粉尘</w:t>
            </w:r>
          </w:p>
          <w:p w14:paraId="6ED9FA62">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项目普通碎石、机砂、预处理后的再生料采用装载机投入冷料斗，该工序会产生投料粉尘。粉料从粉料筒仓进入搅拌器，整个在密闭条件下进行，故无粉尘产生。参照中国环境科学出版社出版的《逸散性工业粉尘控制技术》中混凝土分批搅拌厂的逸散尘排放因子中“装水泥、砂和粒料入称量斗”排放因子为0.01kg/t-原料，投料过程中颗粒物产生情况如下表所示：</w:t>
            </w:r>
          </w:p>
          <w:p w14:paraId="2571D1AC">
            <w:pPr>
              <w:numPr>
                <w:ilvl w:val="0"/>
                <w:numId w:val="6"/>
              </w:numPr>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普通沥青混凝土、热再生沥青混凝土生产线投料粉尘产生情况一览表</w:t>
            </w:r>
          </w:p>
          <w:tbl>
            <w:tblPr>
              <w:tblStyle w:val="27"/>
              <w:tblW w:w="8045"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70"/>
              <w:gridCol w:w="1200"/>
              <w:gridCol w:w="1627"/>
              <w:gridCol w:w="1566"/>
              <w:gridCol w:w="1341"/>
              <w:gridCol w:w="1341"/>
            </w:tblGrid>
            <w:tr w14:paraId="7F2B898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970" w:type="dxa"/>
                  <w:tcBorders>
                    <w:tl2br w:val="nil"/>
                    <w:tr2bl w:val="nil"/>
                  </w:tcBorders>
                  <w:vAlign w:val="center"/>
                </w:tcPr>
                <w:p w14:paraId="46E1510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污染源</w:t>
                  </w:r>
                </w:p>
              </w:tc>
              <w:tc>
                <w:tcPr>
                  <w:tcW w:w="1200" w:type="dxa"/>
                  <w:tcBorders>
                    <w:tl2br w:val="nil"/>
                    <w:tr2bl w:val="nil"/>
                  </w:tcBorders>
                  <w:vAlign w:val="center"/>
                </w:tcPr>
                <w:p w14:paraId="1AC4333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原料</w:t>
                  </w:r>
                </w:p>
              </w:tc>
              <w:tc>
                <w:tcPr>
                  <w:tcW w:w="1627" w:type="dxa"/>
                  <w:tcBorders>
                    <w:tl2br w:val="nil"/>
                    <w:tr2bl w:val="nil"/>
                  </w:tcBorders>
                  <w:vAlign w:val="center"/>
                </w:tcPr>
                <w:p w14:paraId="7D9B85C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投加量（t/a）</w:t>
                  </w:r>
                </w:p>
              </w:tc>
              <w:tc>
                <w:tcPr>
                  <w:tcW w:w="1566" w:type="dxa"/>
                  <w:tcBorders>
                    <w:tl2br w:val="nil"/>
                    <w:tr2bl w:val="nil"/>
                  </w:tcBorders>
                  <w:vAlign w:val="center"/>
                </w:tcPr>
                <w:p w14:paraId="3ABAB27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污染因子名称</w:t>
                  </w:r>
                </w:p>
              </w:tc>
              <w:tc>
                <w:tcPr>
                  <w:tcW w:w="1341" w:type="dxa"/>
                  <w:tcBorders>
                    <w:tl2br w:val="nil"/>
                    <w:tr2bl w:val="nil"/>
                  </w:tcBorders>
                  <w:vAlign w:val="center"/>
                </w:tcPr>
                <w:p w14:paraId="1AC3C5A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产污系数</w:t>
                  </w:r>
                </w:p>
              </w:tc>
              <w:tc>
                <w:tcPr>
                  <w:tcW w:w="1341" w:type="dxa"/>
                  <w:tcBorders>
                    <w:tl2br w:val="nil"/>
                    <w:tr2bl w:val="nil"/>
                  </w:tcBorders>
                  <w:vAlign w:val="center"/>
                </w:tcPr>
                <w:p w14:paraId="3EAF5F0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产生量（t/a）</w:t>
                  </w:r>
                </w:p>
              </w:tc>
            </w:tr>
            <w:tr w14:paraId="3362CA8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70" w:type="dxa"/>
                  <w:vMerge w:val="restart"/>
                  <w:tcBorders>
                    <w:tl2br w:val="nil"/>
                    <w:tr2bl w:val="nil"/>
                  </w:tcBorders>
                  <w:vAlign w:val="center"/>
                </w:tcPr>
                <w:p w14:paraId="6C4ABA8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投料粉尘</w:t>
                  </w:r>
                </w:p>
              </w:tc>
              <w:tc>
                <w:tcPr>
                  <w:tcW w:w="1200" w:type="dxa"/>
                  <w:tcBorders>
                    <w:tl2br w:val="nil"/>
                    <w:tr2bl w:val="nil"/>
                  </w:tcBorders>
                  <w:vAlign w:val="center"/>
                </w:tcPr>
                <w:p w14:paraId="4467FE3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普通碎石</w:t>
                  </w:r>
                </w:p>
              </w:tc>
              <w:tc>
                <w:tcPr>
                  <w:tcW w:w="1627" w:type="dxa"/>
                  <w:tcBorders>
                    <w:tl2br w:val="nil"/>
                    <w:tr2bl w:val="nil"/>
                  </w:tcBorders>
                  <w:vAlign w:val="center"/>
                </w:tcPr>
                <w:p w14:paraId="5947A9B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239350</w:t>
                  </w:r>
                </w:p>
              </w:tc>
              <w:tc>
                <w:tcPr>
                  <w:tcW w:w="1566" w:type="dxa"/>
                  <w:vMerge w:val="restart"/>
                  <w:tcBorders>
                    <w:tl2br w:val="nil"/>
                    <w:tr2bl w:val="nil"/>
                  </w:tcBorders>
                  <w:vAlign w:val="center"/>
                </w:tcPr>
                <w:p w14:paraId="27A7801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颗粒物</w:t>
                  </w:r>
                </w:p>
              </w:tc>
              <w:tc>
                <w:tcPr>
                  <w:tcW w:w="1341" w:type="dxa"/>
                  <w:vMerge w:val="restart"/>
                  <w:tcBorders>
                    <w:tl2br w:val="nil"/>
                    <w:tr2bl w:val="nil"/>
                  </w:tcBorders>
                  <w:vAlign w:val="center"/>
                </w:tcPr>
                <w:p w14:paraId="3401A65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0.01kg/t-原料</w:t>
                  </w:r>
                </w:p>
              </w:tc>
              <w:tc>
                <w:tcPr>
                  <w:tcW w:w="1341" w:type="dxa"/>
                  <w:tcBorders>
                    <w:tl2br w:val="nil"/>
                    <w:tr2bl w:val="nil"/>
                  </w:tcBorders>
                  <w:vAlign w:val="center"/>
                </w:tcPr>
                <w:p w14:paraId="547A6B3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2.3935</w:t>
                  </w:r>
                </w:p>
              </w:tc>
            </w:tr>
            <w:tr w14:paraId="3C499ED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70" w:type="dxa"/>
                  <w:vMerge w:val="continue"/>
                  <w:tcBorders>
                    <w:tl2br w:val="nil"/>
                    <w:tr2bl w:val="nil"/>
                  </w:tcBorders>
                  <w:vAlign w:val="center"/>
                </w:tcPr>
                <w:p w14:paraId="3CD978B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00" w:type="dxa"/>
                  <w:tcBorders>
                    <w:tl2br w:val="nil"/>
                    <w:tr2bl w:val="nil"/>
                  </w:tcBorders>
                  <w:vAlign w:val="center"/>
                </w:tcPr>
                <w:p w14:paraId="59042AF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机砂</w:t>
                  </w:r>
                </w:p>
              </w:tc>
              <w:tc>
                <w:tcPr>
                  <w:tcW w:w="1627" w:type="dxa"/>
                  <w:tcBorders>
                    <w:tl2br w:val="nil"/>
                    <w:tr2bl w:val="nil"/>
                  </w:tcBorders>
                  <w:vAlign w:val="center"/>
                </w:tcPr>
                <w:p w14:paraId="238AC76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97605</w:t>
                  </w:r>
                </w:p>
              </w:tc>
              <w:tc>
                <w:tcPr>
                  <w:tcW w:w="1566" w:type="dxa"/>
                  <w:vMerge w:val="continue"/>
                  <w:tcBorders>
                    <w:tl2br w:val="nil"/>
                    <w:tr2bl w:val="nil"/>
                  </w:tcBorders>
                  <w:vAlign w:val="center"/>
                </w:tcPr>
                <w:p w14:paraId="2AA3E6E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41" w:type="dxa"/>
                  <w:vMerge w:val="continue"/>
                  <w:tcBorders>
                    <w:tl2br w:val="nil"/>
                    <w:tr2bl w:val="nil"/>
                  </w:tcBorders>
                  <w:vAlign w:val="center"/>
                </w:tcPr>
                <w:p w14:paraId="62FF4A9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41" w:type="dxa"/>
                  <w:tcBorders>
                    <w:tl2br w:val="nil"/>
                    <w:tr2bl w:val="nil"/>
                  </w:tcBorders>
                  <w:vAlign w:val="center"/>
                </w:tcPr>
                <w:p w14:paraId="63D6CA8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0.9761</w:t>
                  </w:r>
                </w:p>
              </w:tc>
            </w:tr>
            <w:tr w14:paraId="36BECEF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970" w:type="dxa"/>
                  <w:vMerge w:val="continue"/>
                  <w:tcBorders>
                    <w:tl2br w:val="nil"/>
                    <w:tr2bl w:val="nil"/>
                  </w:tcBorders>
                  <w:vAlign w:val="center"/>
                </w:tcPr>
                <w:p w14:paraId="1426AE9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00" w:type="dxa"/>
                  <w:tcBorders>
                    <w:tl2br w:val="nil"/>
                    <w:tr2bl w:val="nil"/>
                  </w:tcBorders>
                  <w:vAlign w:val="center"/>
                </w:tcPr>
                <w:p w14:paraId="7FE8A4B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再生料</w:t>
                  </w:r>
                </w:p>
              </w:tc>
              <w:tc>
                <w:tcPr>
                  <w:tcW w:w="1627" w:type="dxa"/>
                  <w:tcBorders>
                    <w:tl2br w:val="nil"/>
                    <w:tr2bl w:val="nil"/>
                  </w:tcBorders>
                  <w:vAlign w:val="center"/>
                </w:tcPr>
                <w:p w14:paraId="6C71586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33410</w:t>
                  </w:r>
                </w:p>
              </w:tc>
              <w:tc>
                <w:tcPr>
                  <w:tcW w:w="1566" w:type="dxa"/>
                  <w:vMerge w:val="continue"/>
                  <w:tcBorders>
                    <w:tl2br w:val="nil"/>
                    <w:tr2bl w:val="nil"/>
                  </w:tcBorders>
                  <w:vAlign w:val="center"/>
                </w:tcPr>
                <w:p w14:paraId="44D373E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41" w:type="dxa"/>
                  <w:vMerge w:val="continue"/>
                  <w:tcBorders>
                    <w:tl2br w:val="nil"/>
                    <w:tr2bl w:val="nil"/>
                  </w:tcBorders>
                  <w:vAlign w:val="center"/>
                </w:tcPr>
                <w:p w14:paraId="1C82871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41" w:type="dxa"/>
                  <w:tcBorders>
                    <w:tl2br w:val="nil"/>
                    <w:tr2bl w:val="nil"/>
                  </w:tcBorders>
                  <w:vAlign w:val="center"/>
                </w:tcPr>
                <w:p w14:paraId="344DD82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0.3341</w:t>
                  </w:r>
                </w:p>
              </w:tc>
            </w:tr>
            <w:tr w14:paraId="6ACE321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704" w:type="dxa"/>
                  <w:gridSpan w:val="5"/>
                  <w:tcBorders>
                    <w:tl2br w:val="nil"/>
                    <w:tr2bl w:val="nil"/>
                  </w:tcBorders>
                  <w:vAlign w:val="center"/>
                </w:tcPr>
                <w:p w14:paraId="4EA5858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合计</w:t>
                  </w:r>
                </w:p>
              </w:tc>
              <w:tc>
                <w:tcPr>
                  <w:tcW w:w="1341" w:type="dxa"/>
                  <w:tcBorders>
                    <w:tl2br w:val="nil"/>
                    <w:tr2bl w:val="nil"/>
                  </w:tcBorders>
                  <w:vAlign w:val="center"/>
                </w:tcPr>
                <w:p w14:paraId="36B219A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3.7037</w:t>
                  </w:r>
                </w:p>
              </w:tc>
            </w:tr>
          </w:tbl>
          <w:p w14:paraId="06BEE82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p>
          <w:p w14:paraId="6FA6CA05">
            <w:pPr>
              <w:autoSpaceDE w:val="0"/>
              <w:autoSpaceDN w:val="0"/>
              <w:spacing w:line="360" w:lineRule="auto"/>
              <w:ind w:firstLine="480" w:firstLineChars="200"/>
              <w:rPr>
                <w:rFonts w:hint="eastAsia" w:ascii="Times New Roman" w:hAnsi="Times New Roman" w:eastAsia="宋体" w:cs="Times New Roman"/>
                <w:b w:val="0"/>
                <w:bCs w:val="0"/>
                <w:color w:val="auto"/>
                <w:sz w:val="24"/>
                <w:highlight w:val="yellow"/>
                <w:lang w:val="en-US" w:eastAsia="zh-CN"/>
              </w:rPr>
            </w:pPr>
            <w:r>
              <w:rPr>
                <w:rFonts w:hint="eastAsia" w:ascii="Times New Roman" w:hAnsi="Times New Roman" w:eastAsia="宋体" w:cs="Times New Roman"/>
                <w:b w:val="0"/>
                <w:bCs w:val="0"/>
                <w:color w:val="auto"/>
                <w:sz w:val="24"/>
                <w:highlight w:val="none"/>
                <w:lang w:val="en-US" w:eastAsia="zh-CN"/>
              </w:rPr>
              <w:t>综上，投料过程中颗粒物产生量为</w:t>
            </w:r>
            <w:r>
              <w:rPr>
                <w:rFonts w:hint="eastAsia" w:cs="Times New Roman"/>
                <w:b w:val="0"/>
                <w:bCs w:val="0"/>
                <w:color w:val="auto"/>
                <w:sz w:val="24"/>
                <w:highlight w:val="none"/>
                <w:lang w:val="en-US" w:eastAsia="zh-CN"/>
              </w:rPr>
              <w:t>3.7037</w:t>
            </w:r>
            <w:r>
              <w:rPr>
                <w:rFonts w:hint="eastAsia" w:ascii="Times New Roman" w:hAnsi="Times New Roman" w:eastAsia="宋体" w:cs="Times New Roman"/>
                <w:b w:val="0"/>
                <w:bCs w:val="0"/>
                <w:color w:val="auto"/>
                <w:sz w:val="24"/>
                <w:highlight w:val="none"/>
                <w:lang w:val="en-US" w:eastAsia="zh-CN"/>
              </w:rPr>
              <w:t>t/a。</w:t>
            </w:r>
          </w:p>
          <w:p w14:paraId="449D7F24">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②粉料筒仓粉尘</w:t>
            </w:r>
          </w:p>
          <w:p w14:paraId="6E216FB8">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项目粉料筒仓粉尘主要来自粉料装卸、存贮过程。粉料筒仓为封闭结构，粉料筒仓进料时粉尘产生量参考《逸散性工业粉尘控制技术》中“表22-1混凝土分批搅拌厂的散逸尘排放因子”中“卸水泥至高架贮仓”排污系数0.12kg/t粉料。</w:t>
            </w:r>
            <w:r>
              <w:rPr>
                <w:rFonts w:hint="eastAsia" w:ascii="Times New Roman" w:hAnsi="Times New Roman" w:eastAsia="宋体" w:cs="Times New Roman"/>
                <w:b w:val="0"/>
                <w:bCs w:val="0"/>
                <w:color w:val="auto"/>
                <w:sz w:val="24"/>
                <w:highlight w:val="none"/>
                <w:lang w:val="en-US" w:eastAsia="zh-CN"/>
              </w:rPr>
              <w:t>项目粉料用量为</w:t>
            </w:r>
            <w:r>
              <w:rPr>
                <w:rFonts w:hint="eastAsia" w:cs="Times New Roman"/>
                <w:b w:val="0"/>
                <w:bCs w:val="0"/>
                <w:color w:val="auto"/>
                <w:sz w:val="24"/>
                <w:highlight w:val="none"/>
                <w:lang w:val="en-US" w:eastAsia="zh-CN"/>
              </w:rPr>
              <w:t>14892</w:t>
            </w:r>
            <w:r>
              <w:rPr>
                <w:rFonts w:hint="eastAsia" w:ascii="Times New Roman" w:hAnsi="Times New Roman" w:eastAsia="宋体" w:cs="Times New Roman"/>
                <w:b w:val="0"/>
                <w:bCs w:val="0"/>
                <w:color w:val="auto"/>
                <w:sz w:val="24"/>
                <w:highlight w:val="none"/>
                <w:lang w:val="en-US" w:eastAsia="zh-CN"/>
              </w:rPr>
              <w:t>t/a，则</w:t>
            </w:r>
            <w:r>
              <w:rPr>
                <w:rFonts w:hint="eastAsia" w:cs="Times New Roman"/>
                <w:b w:val="0"/>
                <w:bCs w:val="0"/>
                <w:color w:val="auto"/>
                <w:sz w:val="24"/>
                <w:highlight w:val="none"/>
                <w:lang w:val="en-US" w:eastAsia="zh-CN"/>
              </w:rPr>
              <w:t>粉料</w:t>
            </w:r>
            <w:r>
              <w:rPr>
                <w:rFonts w:hint="eastAsia" w:ascii="Times New Roman" w:hAnsi="Times New Roman" w:eastAsia="宋体" w:cs="Times New Roman"/>
                <w:b w:val="0"/>
                <w:bCs w:val="0"/>
                <w:color w:val="auto"/>
                <w:sz w:val="24"/>
                <w:highlight w:val="none"/>
                <w:lang w:val="en-US" w:eastAsia="zh-CN"/>
              </w:rPr>
              <w:t>筒仓粉尘产生量为</w:t>
            </w:r>
            <w:r>
              <w:rPr>
                <w:rFonts w:hint="eastAsia" w:cs="Times New Roman"/>
                <w:b w:val="0"/>
                <w:bCs w:val="0"/>
                <w:color w:val="auto"/>
                <w:sz w:val="24"/>
                <w:highlight w:val="none"/>
                <w:lang w:val="en-US" w:eastAsia="zh-CN"/>
              </w:rPr>
              <w:t>1.787</w:t>
            </w:r>
            <w:r>
              <w:rPr>
                <w:rFonts w:hint="eastAsia" w:ascii="Times New Roman" w:hAnsi="Times New Roman" w:eastAsia="宋体" w:cs="Times New Roman"/>
                <w:b w:val="0"/>
                <w:bCs w:val="0"/>
                <w:color w:val="auto"/>
                <w:sz w:val="24"/>
                <w:highlight w:val="none"/>
                <w:lang w:val="en-US" w:eastAsia="zh-CN"/>
              </w:rPr>
              <w:t>0t/a。</w:t>
            </w:r>
          </w:p>
          <w:p w14:paraId="6DE6B7F5">
            <w:pPr>
              <w:autoSpaceDE w:val="0"/>
              <w:autoSpaceDN w:val="0"/>
              <w:spacing w:line="360" w:lineRule="auto"/>
              <w:ind w:firstLine="482"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bCs/>
                <w:color w:val="auto"/>
                <w:sz w:val="24"/>
                <w:lang w:val="en-US" w:eastAsia="zh-CN"/>
              </w:rPr>
              <w:t>③</w:t>
            </w:r>
            <w:r>
              <w:rPr>
                <w:rFonts w:hint="eastAsia" w:cs="Times New Roman"/>
                <w:b/>
                <w:bCs/>
                <w:color w:val="auto"/>
                <w:sz w:val="24"/>
                <w:lang w:val="en-US" w:eastAsia="zh-CN"/>
              </w:rPr>
              <w:t>输送粉尘</w:t>
            </w:r>
            <w:r>
              <w:rPr>
                <w:rFonts w:hint="eastAsia" w:ascii="Times New Roman" w:hAnsi="Times New Roman" w:eastAsia="宋体" w:cs="Times New Roman"/>
                <w:b/>
                <w:bCs/>
                <w:color w:val="auto"/>
                <w:sz w:val="24"/>
                <w:lang w:val="en-US" w:eastAsia="zh-CN"/>
              </w:rPr>
              <w:t>、烘干粉尘、提升粉尘、筛分粉尘</w:t>
            </w:r>
          </w:p>
          <w:p w14:paraId="2FF00C29">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项目沥青混凝土在生产过程中运输、烘干、提升、筛分等环节会产生粉尘，烘干粉尘产生量参考《排放源统计调查产排污核算方法及系数手册》3021水泥制品制造行业，物料混合搅拌产污系数为0.13kg/t-产品；运输、提升粉尘产生量参考《排放源统计调查产排污核算方法及系数手册》3021水泥制品制造行业，物料输送存储产污系数为0.12kg/t-产品；筛分粉尘产生量参考《排放源统计调查产排污核算方法及系数手册》3099其他非金属矿物制品制造行业，筛分工序颗粒物产污系数为1.13kg/t-产品，产生情况如下表所示：</w:t>
            </w:r>
          </w:p>
          <w:p w14:paraId="756FD902">
            <w:pPr>
              <w:numPr>
                <w:ilvl w:val="0"/>
                <w:numId w:val="6"/>
              </w:numPr>
              <w:jc w:val="center"/>
              <w:rPr>
                <w:rFonts w:hint="eastAsia" w:ascii="Times New Roman" w:hAnsi="Times New Roman" w:eastAsia="宋体" w:cs="Times New Roman"/>
                <w:b/>
                <w:bCs/>
                <w:szCs w:val="21"/>
                <w:lang w:val="en-US" w:eastAsia="zh-CN"/>
              </w:rPr>
            </w:pPr>
            <w:r>
              <w:rPr>
                <w:rFonts w:hint="eastAsia" w:cs="Times New Roman"/>
                <w:b/>
                <w:bCs/>
                <w:szCs w:val="21"/>
                <w:lang w:val="en-US" w:eastAsia="zh-CN"/>
              </w:rPr>
              <w:t>输送粉尘</w:t>
            </w:r>
            <w:r>
              <w:rPr>
                <w:rFonts w:hint="eastAsia" w:ascii="Times New Roman" w:hAnsi="Times New Roman" w:eastAsia="宋体" w:cs="Times New Roman"/>
                <w:b/>
                <w:bCs/>
                <w:szCs w:val="21"/>
                <w:lang w:val="en-US" w:eastAsia="zh-CN"/>
              </w:rPr>
              <w:t>、烘干粉尘、提升粉尘、筛分粉尘产生情况一览表</w:t>
            </w:r>
          </w:p>
          <w:tbl>
            <w:tblPr>
              <w:tblStyle w:val="27"/>
              <w:tblW w:w="8045"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609"/>
              <w:gridCol w:w="1609"/>
              <w:gridCol w:w="1609"/>
              <w:gridCol w:w="1609"/>
              <w:gridCol w:w="1609"/>
            </w:tblGrid>
            <w:tr w14:paraId="3FF9BBD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609" w:type="dxa"/>
                  <w:tcBorders>
                    <w:tl2br w:val="nil"/>
                    <w:tr2bl w:val="nil"/>
                  </w:tcBorders>
                  <w:vAlign w:val="center"/>
                </w:tcPr>
                <w:p w14:paraId="0A961AA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污染源</w:t>
                  </w:r>
                </w:p>
              </w:tc>
              <w:tc>
                <w:tcPr>
                  <w:tcW w:w="1609" w:type="dxa"/>
                  <w:tcBorders>
                    <w:tl2br w:val="nil"/>
                    <w:tr2bl w:val="nil"/>
                  </w:tcBorders>
                  <w:vAlign w:val="center"/>
                </w:tcPr>
                <w:p w14:paraId="15CCE08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产品产量（万t/a）</w:t>
                  </w:r>
                </w:p>
              </w:tc>
              <w:tc>
                <w:tcPr>
                  <w:tcW w:w="1609" w:type="dxa"/>
                  <w:tcBorders>
                    <w:tl2br w:val="nil"/>
                    <w:tr2bl w:val="nil"/>
                  </w:tcBorders>
                  <w:vAlign w:val="center"/>
                </w:tcPr>
                <w:p w14:paraId="507FDF5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污染因子名称</w:t>
                  </w:r>
                </w:p>
              </w:tc>
              <w:tc>
                <w:tcPr>
                  <w:tcW w:w="1609" w:type="dxa"/>
                  <w:tcBorders>
                    <w:tl2br w:val="nil"/>
                    <w:tr2bl w:val="nil"/>
                  </w:tcBorders>
                  <w:vAlign w:val="center"/>
                </w:tcPr>
                <w:p w14:paraId="3A63BC5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产污系数（kg/t-产品）</w:t>
                  </w:r>
                </w:p>
              </w:tc>
              <w:tc>
                <w:tcPr>
                  <w:tcW w:w="1609" w:type="dxa"/>
                  <w:tcBorders>
                    <w:tl2br w:val="nil"/>
                    <w:tr2bl w:val="nil"/>
                  </w:tcBorders>
                  <w:vAlign w:val="center"/>
                </w:tcPr>
                <w:p w14:paraId="0D549CE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产生量（t/a）</w:t>
                  </w:r>
                </w:p>
              </w:tc>
            </w:tr>
            <w:tr w14:paraId="4CBFC5A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609" w:type="dxa"/>
                  <w:tcBorders>
                    <w:tl2br w:val="nil"/>
                    <w:tr2bl w:val="nil"/>
                  </w:tcBorders>
                  <w:vAlign w:val="center"/>
                </w:tcPr>
                <w:p w14:paraId="71F3866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运输、提升粉尘</w:t>
                  </w:r>
                </w:p>
              </w:tc>
              <w:tc>
                <w:tcPr>
                  <w:tcW w:w="1609" w:type="dxa"/>
                  <w:vMerge w:val="restart"/>
                  <w:tcBorders>
                    <w:tl2br w:val="nil"/>
                    <w:tr2bl w:val="nil"/>
                  </w:tcBorders>
                  <w:vAlign w:val="center"/>
                </w:tcPr>
                <w:p w14:paraId="3938A3C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40</w:t>
                  </w:r>
                </w:p>
              </w:tc>
              <w:tc>
                <w:tcPr>
                  <w:tcW w:w="1609" w:type="dxa"/>
                  <w:tcBorders>
                    <w:tl2br w:val="nil"/>
                    <w:tr2bl w:val="nil"/>
                  </w:tcBorders>
                  <w:vAlign w:val="center"/>
                </w:tcPr>
                <w:p w14:paraId="7E01CB6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颗粒物</w:t>
                  </w:r>
                </w:p>
              </w:tc>
              <w:tc>
                <w:tcPr>
                  <w:tcW w:w="1609" w:type="dxa"/>
                  <w:tcBorders>
                    <w:tl2br w:val="nil"/>
                    <w:tr2bl w:val="nil"/>
                  </w:tcBorders>
                  <w:vAlign w:val="center"/>
                </w:tcPr>
                <w:p w14:paraId="6CB3D4B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0.12</w:t>
                  </w:r>
                </w:p>
              </w:tc>
              <w:tc>
                <w:tcPr>
                  <w:tcW w:w="1609" w:type="dxa"/>
                  <w:tcBorders>
                    <w:tl2br w:val="nil"/>
                    <w:tr2bl w:val="nil"/>
                  </w:tcBorders>
                  <w:vAlign w:val="center"/>
                </w:tcPr>
                <w:p w14:paraId="4A846EE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48</w:t>
                  </w:r>
                </w:p>
              </w:tc>
            </w:tr>
            <w:tr w14:paraId="0BDED03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609" w:type="dxa"/>
                  <w:tcBorders>
                    <w:tl2br w:val="nil"/>
                    <w:tr2bl w:val="nil"/>
                  </w:tcBorders>
                  <w:vAlign w:val="center"/>
                </w:tcPr>
                <w:p w14:paraId="722B069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烘干粉尘</w:t>
                  </w:r>
                </w:p>
              </w:tc>
              <w:tc>
                <w:tcPr>
                  <w:tcW w:w="1609" w:type="dxa"/>
                  <w:vMerge w:val="continue"/>
                  <w:tcBorders>
                    <w:tl2br w:val="nil"/>
                    <w:tr2bl w:val="nil"/>
                  </w:tcBorders>
                  <w:vAlign w:val="center"/>
                </w:tcPr>
                <w:p w14:paraId="5BEE134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tcBorders>
                    <w:tl2br w:val="nil"/>
                    <w:tr2bl w:val="nil"/>
                  </w:tcBorders>
                  <w:vAlign w:val="center"/>
                </w:tcPr>
                <w:p w14:paraId="3732B4E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颗粒物</w:t>
                  </w:r>
                </w:p>
              </w:tc>
              <w:tc>
                <w:tcPr>
                  <w:tcW w:w="1609" w:type="dxa"/>
                  <w:tcBorders>
                    <w:tl2br w:val="nil"/>
                    <w:tr2bl w:val="nil"/>
                  </w:tcBorders>
                  <w:vAlign w:val="center"/>
                </w:tcPr>
                <w:p w14:paraId="218C78C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0.13</w:t>
                  </w:r>
                </w:p>
              </w:tc>
              <w:tc>
                <w:tcPr>
                  <w:tcW w:w="1609" w:type="dxa"/>
                  <w:tcBorders>
                    <w:tl2br w:val="nil"/>
                    <w:tr2bl w:val="nil"/>
                  </w:tcBorders>
                  <w:vAlign w:val="center"/>
                </w:tcPr>
                <w:p w14:paraId="74A659B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52</w:t>
                  </w:r>
                </w:p>
              </w:tc>
            </w:tr>
            <w:tr w14:paraId="6E46D4F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tcBorders>
                    <w:tl2br w:val="nil"/>
                    <w:tr2bl w:val="nil"/>
                  </w:tcBorders>
                  <w:vAlign w:val="center"/>
                </w:tcPr>
                <w:p w14:paraId="02E30C7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筛分粉尘</w:t>
                  </w:r>
                </w:p>
              </w:tc>
              <w:tc>
                <w:tcPr>
                  <w:tcW w:w="1609" w:type="dxa"/>
                  <w:vMerge w:val="continue"/>
                  <w:tcBorders>
                    <w:tl2br w:val="nil"/>
                    <w:tr2bl w:val="nil"/>
                  </w:tcBorders>
                  <w:vAlign w:val="center"/>
                </w:tcPr>
                <w:p w14:paraId="3EF63A1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tcBorders>
                    <w:tl2br w:val="nil"/>
                    <w:tr2bl w:val="nil"/>
                  </w:tcBorders>
                  <w:vAlign w:val="center"/>
                </w:tcPr>
                <w:p w14:paraId="284FC58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颗粒物</w:t>
                  </w:r>
                </w:p>
              </w:tc>
              <w:tc>
                <w:tcPr>
                  <w:tcW w:w="1609" w:type="dxa"/>
                  <w:tcBorders>
                    <w:tl2br w:val="nil"/>
                    <w:tr2bl w:val="nil"/>
                  </w:tcBorders>
                  <w:vAlign w:val="center"/>
                </w:tcPr>
                <w:p w14:paraId="00A3ED3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1.13</w:t>
                  </w:r>
                </w:p>
              </w:tc>
              <w:tc>
                <w:tcPr>
                  <w:tcW w:w="1609" w:type="dxa"/>
                  <w:tcBorders>
                    <w:tl2br w:val="nil"/>
                    <w:tr2bl w:val="nil"/>
                  </w:tcBorders>
                  <w:vAlign w:val="center"/>
                </w:tcPr>
                <w:p w14:paraId="304E84B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452</w:t>
                  </w:r>
                </w:p>
              </w:tc>
            </w:tr>
            <w:tr w14:paraId="717D669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436" w:type="dxa"/>
                  <w:gridSpan w:val="4"/>
                  <w:tcBorders>
                    <w:tl2br w:val="nil"/>
                    <w:tr2bl w:val="nil"/>
                  </w:tcBorders>
                  <w:vAlign w:val="center"/>
                </w:tcPr>
                <w:p w14:paraId="7B6A1C4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合计</w:t>
                  </w:r>
                </w:p>
              </w:tc>
              <w:tc>
                <w:tcPr>
                  <w:tcW w:w="1609" w:type="dxa"/>
                  <w:tcBorders>
                    <w:tl2br w:val="nil"/>
                    <w:tr2bl w:val="nil"/>
                  </w:tcBorders>
                  <w:vAlign w:val="center"/>
                </w:tcPr>
                <w:p w14:paraId="693DBC0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552</w:t>
                  </w:r>
                </w:p>
              </w:tc>
            </w:tr>
          </w:tbl>
          <w:p w14:paraId="1D3B4E0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p>
          <w:p w14:paraId="4F8BCC4B">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综上，运输、烘干、提升、筛分过程中颗粒物产生量为552t/a。</w:t>
            </w:r>
          </w:p>
          <w:p w14:paraId="4B4EE75B">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④搅拌废气、卸料废气、沥青加热废气</w:t>
            </w:r>
          </w:p>
          <w:p w14:paraId="27E556B9">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本项目购进的沥青用导热油炉对储罐进行间接加热至150</w:t>
            </w:r>
            <w:r>
              <w:rPr>
                <w:rFonts w:hint="eastAsia" w:cs="Times New Roman"/>
                <w:b w:val="0"/>
                <w:bCs w:val="0"/>
                <w:color w:val="auto"/>
                <w:sz w:val="24"/>
                <w:lang w:val="en-US" w:eastAsia="zh-CN"/>
              </w:rPr>
              <w:t>-180</w:t>
            </w:r>
            <w:r>
              <w:rPr>
                <w:rFonts w:hint="eastAsia" w:ascii="Times New Roman" w:hAnsi="Times New Roman" w:eastAsia="宋体" w:cs="Times New Roman"/>
                <w:b w:val="0"/>
                <w:bCs w:val="0"/>
                <w:color w:val="auto"/>
                <w:sz w:val="24"/>
                <w:lang w:val="en-US" w:eastAsia="zh-CN"/>
              </w:rPr>
              <w:t>℃，沥青加热后</w:t>
            </w:r>
            <w:r>
              <w:rPr>
                <w:rFonts w:hint="eastAsia" w:cs="Times New Roman"/>
                <w:b w:val="0"/>
                <w:bCs w:val="0"/>
                <w:color w:val="auto"/>
                <w:sz w:val="24"/>
                <w:lang w:val="en-US" w:eastAsia="zh-CN"/>
              </w:rPr>
              <w:t>：1）</w:t>
            </w:r>
            <w:r>
              <w:rPr>
                <w:rFonts w:hint="eastAsia" w:ascii="Times New Roman" w:hAnsi="Times New Roman" w:eastAsia="宋体" w:cs="Times New Roman"/>
                <w:b w:val="0"/>
                <w:bCs w:val="0"/>
                <w:color w:val="auto"/>
                <w:sz w:val="24"/>
                <w:lang w:val="en-US" w:eastAsia="zh-CN"/>
              </w:rPr>
              <w:t>通过密闭管道输送至封闭搅拌缸与预热后的碎石、机砂、再生料以及</w:t>
            </w:r>
            <w:r>
              <w:rPr>
                <w:rFonts w:hint="eastAsia" w:cs="Times New Roman"/>
                <w:b w:val="0"/>
                <w:bCs w:val="0"/>
                <w:color w:val="auto"/>
                <w:sz w:val="24"/>
                <w:lang w:val="en-US" w:eastAsia="zh-CN"/>
              </w:rPr>
              <w:t>粉料</w:t>
            </w:r>
            <w:r>
              <w:rPr>
                <w:rFonts w:hint="eastAsia" w:ascii="Times New Roman" w:hAnsi="Times New Roman" w:eastAsia="宋体" w:cs="Times New Roman"/>
                <w:b w:val="0"/>
                <w:bCs w:val="0"/>
                <w:color w:val="auto"/>
                <w:sz w:val="24"/>
                <w:lang w:val="en-US" w:eastAsia="zh-CN"/>
              </w:rPr>
              <w:t>进行搅拌混合，物料经搅拌缸搅拌成为</w:t>
            </w:r>
            <w:r>
              <w:rPr>
                <w:rFonts w:hint="eastAsia" w:cs="Times New Roman"/>
                <w:b w:val="0"/>
                <w:bCs w:val="0"/>
                <w:color w:val="auto"/>
                <w:sz w:val="24"/>
                <w:lang w:val="en-US" w:eastAsia="zh-CN"/>
              </w:rPr>
              <w:t>沥青混凝土</w:t>
            </w:r>
            <w:r>
              <w:rPr>
                <w:rFonts w:hint="eastAsia" w:ascii="Times New Roman" w:hAnsi="Times New Roman" w:eastAsia="宋体" w:cs="Times New Roman"/>
                <w:b w:val="0"/>
                <w:bCs w:val="0"/>
                <w:color w:val="auto"/>
                <w:sz w:val="24"/>
                <w:lang w:val="en-US" w:eastAsia="zh-CN"/>
              </w:rPr>
              <w:t>成品后，经放料口直接卸入出厂运输汽车斗，运出场外</w:t>
            </w:r>
            <w:r>
              <w:rPr>
                <w:rFonts w:hint="eastAsia" w:cs="Times New Roman"/>
                <w:b w:val="0"/>
                <w:bCs w:val="0"/>
                <w:color w:val="auto"/>
                <w:sz w:val="24"/>
                <w:lang w:val="en-US" w:eastAsia="zh-CN"/>
              </w:rPr>
              <w:t>；2）通过</w:t>
            </w:r>
            <w:r>
              <w:rPr>
                <w:rFonts w:hint="eastAsia" w:ascii="Times New Roman" w:hAnsi="Times New Roman" w:eastAsia="宋体" w:cs="Times New Roman"/>
                <w:b w:val="0"/>
                <w:bCs w:val="0"/>
                <w:color w:val="auto"/>
                <w:sz w:val="24"/>
                <w:lang w:val="en-US" w:eastAsia="zh-CN"/>
              </w:rPr>
              <w:t>密闭管道输送至</w:t>
            </w:r>
            <w:r>
              <w:rPr>
                <w:rFonts w:hint="eastAsia" w:ascii="Times New Roman" w:hAnsi="Times New Roman" w:eastAsia="宋体" w:cs="Times New Roman"/>
                <w:sz w:val="24"/>
                <w:szCs w:val="24"/>
                <w:lang w:val="en-US" w:eastAsia="zh-CN"/>
              </w:rPr>
              <w:t>胶体磨与配置好的皂液</w:t>
            </w:r>
            <w:r>
              <w:rPr>
                <w:rFonts w:hint="eastAsia" w:ascii="Times New Roman" w:hAnsi="Times New Roman" w:eastAsia="宋体" w:cs="Times New Roman"/>
                <w:b w:val="0"/>
                <w:bCs w:val="0"/>
                <w:color w:val="auto"/>
                <w:sz w:val="24"/>
                <w:lang w:val="en-US" w:eastAsia="zh-CN"/>
              </w:rPr>
              <w:t>进行搅拌混合，物料经搅拌缸搅拌成为</w:t>
            </w:r>
            <w:r>
              <w:rPr>
                <w:rFonts w:hint="eastAsia" w:cs="Times New Roman"/>
                <w:b w:val="0"/>
                <w:bCs w:val="0"/>
                <w:color w:val="auto"/>
                <w:sz w:val="24"/>
                <w:lang w:val="en-US" w:eastAsia="zh-CN"/>
              </w:rPr>
              <w:t>乳化沥青</w:t>
            </w:r>
            <w:r>
              <w:rPr>
                <w:rFonts w:hint="eastAsia" w:ascii="Times New Roman" w:hAnsi="Times New Roman" w:eastAsia="宋体" w:cs="Times New Roman"/>
                <w:b w:val="0"/>
                <w:bCs w:val="0"/>
                <w:color w:val="auto"/>
                <w:sz w:val="24"/>
                <w:lang w:val="en-US" w:eastAsia="zh-CN"/>
              </w:rPr>
              <w:t>成品后，经乳化沥青成品罐暂存后由放料口直接卸入出厂运输汽车斗，运出场外。因此，在沥青加热、混合搅拌</w:t>
            </w:r>
            <w:r>
              <w:rPr>
                <w:rFonts w:hint="eastAsia" w:cs="Times New Roman"/>
                <w:b w:val="0"/>
                <w:bCs w:val="0"/>
                <w:color w:val="auto"/>
                <w:sz w:val="24"/>
                <w:lang w:val="en-US" w:eastAsia="zh-CN"/>
              </w:rPr>
              <w:t>、卸料</w:t>
            </w:r>
            <w:r>
              <w:rPr>
                <w:rFonts w:hint="eastAsia" w:ascii="Times New Roman" w:hAnsi="Times New Roman" w:eastAsia="宋体" w:cs="Times New Roman"/>
                <w:b w:val="0"/>
                <w:bCs w:val="0"/>
                <w:color w:val="auto"/>
                <w:sz w:val="24"/>
                <w:lang w:val="en-US" w:eastAsia="zh-CN"/>
              </w:rPr>
              <w:t>过程均会产生沥青烟、苯并[a]芘、VOCs（以非甲烷总烃计）。</w:t>
            </w:r>
          </w:p>
          <w:p w14:paraId="30ADC983">
            <w:pPr>
              <w:autoSpaceDE w:val="0"/>
              <w:autoSpaceDN w:val="0"/>
              <w:spacing w:line="360" w:lineRule="auto"/>
              <w:ind w:firstLine="482"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bCs/>
                <w:color w:val="auto"/>
                <w:sz w:val="24"/>
                <w:lang w:val="en-US" w:eastAsia="zh-CN"/>
              </w:rPr>
              <w:t>沥青烟：</w:t>
            </w:r>
            <w:r>
              <w:rPr>
                <w:rFonts w:hint="eastAsia" w:ascii="Times New Roman" w:hAnsi="Times New Roman" w:eastAsia="宋体" w:cs="Times New Roman"/>
                <w:b w:val="0"/>
                <w:bCs w:val="0"/>
                <w:color w:val="auto"/>
                <w:sz w:val="24"/>
                <w:lang w:val="en-US" w:eastAsia="zh-CN"/>
              </w:rPr>
              <w:t>参考《沥青搅拌设备沥青烟排放机理及控制研究》（焦信信，长安大学专业硕士学位论文，2018年），该论文对沥青搅拌设备（包含沥青罐、搅拌缸和卸料口）的沥青烟产生机理进行了全面分析研究，并进行了相关试验，并确定了实际生产中沥青烟的排放系数为6.3×10</w:t>
            </w:r>
            <w:r>
              <w:rPr>
                <w:rFonts w:hint="eastAsia" w:ascii="Times New Roman" w:hAnsi="Times New Roman" w:eastAsia="宋体" w:cs="Times New Roman"/>
                <w:b w:val="0"/>
                <w:bCs w:val="0"/>
                <w:color w:val="auto"/>
                <w:sz w:val="24"/>
                <w:vertAlign w:val="superscript"/>
                <w:lang w:val="en-US" w:eastAsia="zh-CN"/>
              </w:rPr>
              <w:t>-4</w:t>
            </w:r>
            <w:r>
              <w:rPr>
                <w:rFonts w:hint="eastAsia" w:ascii="Times New Roman" w:hAnsi="Times New Roman" w:eastAsia="宋体" w:cs="Times New Roman"/>
                <w:b w:val="0"/>
                <w:bCs w:val="0"/>
                <w:color w:val="auto"/>
                <w:sz w:val="24"/>
                <w:lang w:val="en-US" w:eastAsia="zh-CN"/>
              </w:rPr>
              <w:t>kg/t（混合料）。参考该排放系数，本项目年产</w:t>
            </w:r>
            <w:r>
              <w:rPr>
                <w:rFonts w:hint="eastAsia" w:cs="Times New Roman"/>
                <w:b w:val="0"/>
                <w:bCs w:val="0"/>
                <w:color w:val="auto"/>
                <w:sz w:val="24"/>
                <w:lang w:val="en-US" w:eastAsia="zh-CN"/>
              </w:rPr>
              <w:t>普通</w:t>
            </w:r>
            <w:r>
              <w:rPr>
                <w:rFonts w:hint="eastAsia" w:ascii="Times New Roman" w:hAnsi="Times New Roman" w:eastAsia="宋体" w:cs="Times New Roman"/>
                <w:b w:val="0"/>
                <w:bCs w:val="0"/>
                <w:color w:val="auto"/>
                <w:sz w:val="24"/>
                <w:lang w:val="en-US" w:eastAsia="zh-CN"/>
              </w:rPr>
              <w:t>沥青混凝土</w:t>
            </w:r>
            <w:r>
              <w:rPr>
                <w:rFonts w:hint="eastAsia" w:cs="Times New Roman"/>
                <w:b w:val="0"/>
                <w:bCs w:val="0"/>
                <w:color w:val="auto"/>
                <w:sz w:val="24"/>
                <w:lang w:val="en-US" w:eastAsia="zh-CN"/>
              </w:rPr>
              <w:t>30万吨</w:t>
            </w:r>
            <w:r>
              <w:rPr>
                <w:rFonts w:hint="eastAsia" w:ascii="Times New Roman" w:hAnsi="Times New Roman" w:eastAsia="宋体" w:cs="Times New Roman"/>
                <w:b w:val="0"/>
                <w:bCs w:val="0"/>
                <w:color w:val="auto"/>
                <w:sz w:val="24"/>
                <w:lang w:val="en-US" w:eastAsia="zh-CN"/>
              </w:rPr>
              <w:t>、</w:t>
            </w:r>
            <w:r>
              <w:rPr>
                <w:rFonts w:hint="eastAsia" w:cs="Times New Roman"/>
                <w:b w:val="0"/>
                <w:bCs w:val="0"/>
                <w:color w:val="auto"/>
                <w:sz w:val="24"/>
                <w:lang w:val="en-US" w:eastAsia="zh-CN"/>
              </w:rPr>
              <w:t>热</w:t>
            </w:r>
            <w:r>
              <w:rPr>
                <w:rFonts w:hint="eastAsia" w:ascii="Times New Roman" w:hAnsi="Times New Roman" w:eastAsia="宋体" w:cs="Times New Roman"/>
                <w:b w:val="0"/>
                <w:bCs w:val="0"/>
                <w:color w:val="auto"/>
                <w:sz w:val="24"/>
                <w:lang w:val="en-US" w:eastAsia="zh-CN"/>
              </w:rPr>
              <w:t>再生沥青混凝土</w:t>
            </w:r>
            <w:r>
              <w:rPr>
                <w:rFonts w:hint="eastAsia" w:cs="Times New Roman"/>
                <w:b w:val="0"/>
                <w:bCs w:val="0"/>
                <w:color w:val="auto"/>
                <w:sz w:val="24"/>
                <w:lang w:val="en-US" w:eastAsia="zh-CN"/>
              </w:rPr>
              <w:t>10</w:t>
            </w:r>
            <w:r>
              <w:rPr>
                <w:rFonts w:hint="eastAsia" w:ascii="Times New Roman" w:hAnsi="Times New Roman" w:eastAsia="宋体" w:cs="Times New Roman"/>
                <w:b w:val="0"/>
                <w:bCs w:val="0"/>
                <w:color w:val="auto"/>
                <w:sz w:val="24"/>
                <w:lang w:val="en-US" w:eastAsia="zh-CN"/>
              </w:rPr>
              <w:t>万吨</w:t>
            </w:r>
            <w:r>
              <w:rPr>
                <w:rFonts w:hint="eastAsia" w:cs="Times New Roman"/>
                <w:b w:val="0"/>
                <w:bCs w:val="0"/>
                <w:color w:val="auto"/>
                <w:sz w:val="24"/>
                <w:lang w:val="en-US" w:eastAsia="zh-CN"/>
              </w:rPr>
              <w:t>、乳化沥青6000吨</w:t>
            </w:r>
            <w:r>
              <w:rPr>
                <w:rFonts w:hint="eastAsia" w:ascii="Times New Roman" w:hAnsi="Times New Roman" w:eastAsia="宋体" w:cs="Times New Roman"/>
                <w:b w:val="0"/>
                <w:bCs w:val="0"/>
                <w:color w:val="auto"/>
                <w:sz w:val="24"/>
                <w:lang w:val="en-US" w:eastAsia="zh-CN"/>
              </w:rPr>
              <w:t>，搅拌、卸料装车工序及沥青储罐呼吸口等产生的沥青烟约</w:t>
            </w:r>
            <w:r>
              <w:rPr>
                <w:rFonts w:hint="eastAsia" w:cs="Times New Roman"/>
                <w:b w:val="0"/>
                <w:bCs w:val="0"/>
                <w:color w:val="auto"/>
                <w:sz w:val="24"/>
                <w:lang w:val="en-US" w:eastAsia="zh-CN"/>
              </w:rPr>
              <w:t>0.2558</w:t>
            </w:r>
            <w:r>
              <w:rPr>
                <w:rFonts w:hint="eastAsia" w:ascii="Times New Roman" w:hAnsi="Times New Roman" w:eastAsia="宋体" w:cs="Times New Roman"/>
                <w:b w:val="0"/>
                <w:bCs w:val="0"/>
                <w:color w:val="auto"/>
                <w:sz w:val="24"/>
                <w:lang w:val="en-US" w:eastAsia="zh-CN"/>
              </w:rPr>
              <w:t>t/a。</w:t>
            </w:r>
          </w:p>
          <w:p w14:paraId="7F74BF8A">
            <w:pPr>
              <w:autoSpaceDE w:val="0"/>
              <w:autoSpaceDN w:val="0"/>
              <w:spacing w:line="360" w:lineRule="auto"/>
              <w:ind w:firstLine="482"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bCs/>
                <w:color w:val="auto"/>
                <w:sz w:val="24"/>
                <w:lang w:val="en-US" w:eastAsia="zh-CN"/>
              </w:rPr>
              <w:t>苯并[a]芘：</w:t>
            </w:r>
            <w:r>
              <w:rPr>
                <w:rFonts w:hint="eastAsia" w:ascii="Times New Roman" w:hAnsi="Times New Roman" w:eastAsia="宋体" w:cs="Times New Roman"/>
                <w:b w:val="0"/>
                <w:bCs w:val="0"/>
                <w:color w:val="auto"/>
                <w:sz w:val="24"/>
                <w:lang w:val="en-US" w:eastAsia="zh-CN"/>
              </w:rPr>
              <w:t>根据《工业生产中有害物物质手册》（化学工业出版社）中提供的数据，沥青烟中苯并[a]芘含量约0.01</w:t>
            </w:r>
            <w:r>
              <w:rPr>
                <w:rFonts w:hint="eastAsia"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0.02‰，本次评价取最大值0.02‰。本项目沥青烟约0.2558t/a，则苯并[a]芘产生量约为</w:t>
            </w:r>
            <w:r>
              <w:rPr>
                <w:rFonts w:hint="eastAsia" w:cs="Times New Roman"/>
                <w:b w:val="0"/>
                <w:bCs w:val="0"/>
                <w:color w:val="auto"/>
                <w:sz w:val="24"/>
                <w:lang w:val="en-US" w:eastAsia="zh-CN"/>
              </w:rPr>
              <w:t>5.1156</w:t>
            </w:r>
            <w:r>
              <w:rPr>
                <w:rFonts w:hint="eastAsia" w:ascii="Times New Roman" w:hAnsi="Times New Roman" w:eastAsia="宋体" w:cs="Times New Roman"/>
                <w:b w:val="0"/>
                <w:bCs w:val="0"/>
                <w:color w:val="auto"/>
                <w:sz w:val="24"/>
                <w:lang w:val="en-US" w:eastAsia="zh-CN"/>
              </w:rPr>
              <w:t>×10</w:t>
            </w:r>
            <w:r>
              <w:rPr>
                <w:rFonts w:hint="eastAsia" w:ascii="Times New Roman" w:hAnsi="Times New Roman" w:eastAsia="宋体" w:cs="Times New Roman"/>
                <w:b w:val="0"/>
                <w:bCs w:val="0"/>
                <w:color w:val="auto"/>
                <w:sz w:val="24"/>
                <w:vertAlign w:val="superscript"/>
                <w:lang w:val="en-US" w:eastAsia="zh-CN"/>
              </w:rPr>
              <w:t>-6</w:t>
            </w:r>
            <w:r>
              <w:rPr>
                <w:rFonts w:hint="eastAsia" w:ascii="Times New Roman" w:hAnsi="Times New Roman" w:eastAsia="宋体" w:cs="Times New Roman"/>
                <w:b w:val="0"/>
                <w:bCs w:val="0"/>
                <w:color w:val="auto"/>
                <w:sz w:val="24"/>
                <w:lang w:val="en-US" w:eastAsia="zh-CN"/>
              </w:rPr>
              <w:t>t/a</w:t>
            </w:r>
            <w:r>
              <w:rPr>
                <w:rFonts w:hint="eastAsia" w:cs="Times New Roman"/>
                <w:b w:val="0"/>
                <w:bCs w:val="0"/>
                <w:color w:val="auto"/>
                <w:sz w:val="24"/>
                <w:lang w:val="en-US" w:eastAsia="zh-CN"/>
              </w:rPr>
              <w:t>（属于沥青烟的一部分）</w:t>
            </w:r>
            <w:r>
              <w:rPr>
                <w:rFonts w:hint="eastAsia" w:ascii="Times New Roman" w:hAnsi="Times New Roman" w:eastAsia="宋体" w:cs="Times New Roman"/>
                <w:b w:val="0"/>
                <w:bCs w:val="0"/>
                <w:color w:val="auto"/>
                <w:sz w:val="24"/>
                <w:lang w:val="en-US" w:eastAsia="zh-CN"/>
              </w:rPr>
              <w:t>；</w:t>
            </w:r>
          </w:p>
          <w:p w14:paraId="737B0364">
            <w:pPr>
              <w:autoSpaceDE w:val="0"/>
              <w:autoSpaceDN w:val="0"/>
              <w:spacing w:line="360" w:lineRule="auto"/>
              <w:ind w:firstLine="482"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bCs/>
                <w:color w:val="auto"/>
                <w:sz w:val="24"/>
                <w:lang w:val="en-US" w:eastAsia="zh-CN"/>
              </w:rPr>
              <w:t>VOCs（以非甲烷总烃计）：</w:t>
            </w:r>
            <w:r>
              <w:rPr>
                <w:rFonts w:hint="eastAsia" w:ascii="Times New Roman" w:hAnsi="Times New Roman" w:eastAsia="宋体" w:cs="Times New Roman"/>
                <w:b w:val="0"/>
                <w:bCs w:val="0"/>
                <w:color w:val="auto"/>
                <w:sz w:val="24"/>
                <w:lang w:val="en-US" w:eastAsia="zh-CN"/>
              </w:rPr>
              <w:t>根据《沥青烟气净化研究》（李昌建等，全国恶臭污染测试与控制研讨会，2005），沥青烟气和沥青组分近似，VOCs（以非甲烷总烃计）按沥青烟的70%计，则VOCs（以非甲烷总烃计）产生量为 0.</w:t>
            </w:r>
            <w:r>
              <w:rPr>
                <w:rFonts w:hint="eastAsia" w:cs="Times New Roman"/>
                <w:b w:val="0"/>
                <w:bCs w:val="0"/>
                <w:color w:val="auto"/>
                <w:sz w:val="24"/>
                <w:lang w:val="en-US" w:eastAsia="zh-CN"/>
              </w:rPr>
              <w:t>179</w:t>
            </w:r>
            <w:r>
              <w:rPr>
                <w:rFonts w:hint="eastAsia" w:ascii="Times New Roman" w:hAnsi="Times New Roman" w:eastAsia="宋体" w:cs="Times New Roman"/>
                <w:b w:val="0"/>
                <w:bCs w:val="0"/>
                <w:color w:val="auto"/>
                <w:sz w:val="24"/>
                <w:lang w:val="en-US" w:eastAsia="zh-CN"/>
              </w:rPr>
              <w:t>t/a</w:t>
            </w:r>
            <w:r>
              <w:rPr>
                <w:rFonts w:hint="eastAsia" w:cs="Times New Roman"/>
                <w:b w:val="0"/>
                <w:bCs w:val="0"/>
                <w:color w:val="auto"/>
                <w:sz w:val="24"/>
                <w:lang w:val="en-US" w:eastAsia="zh-CN"/>
              </w:rPr>
              <w:t>（属于沥青烟的一部分）</w:t>
            </w:r>
            <w:r>
              <w:rPr>
                <w:rFonts w:hint="eastAsia" w:ascii="Times New Roman" w:hAnsi="Times New Roman" w:eastAsia="宋体" w:cs="Times New Roman"/>
                <w:b w:val="0"/>
                <w:bCs w:val="0"/>
                <w:color w:val="auto"/>
                <w:sz w:val="24"/>
                <w:lang w:val="en-US" w:eastAsia="zh-CN"/>
              </w:rPr>
              <w:t>。</w:t>
            </w:r>
          </w:p>
          <w:p w14:paraId="4BC46866">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⑤烘干系统天然气燃烧废气</w:t>
            </w:r>
          </w:p>
          <w:p w14:paraId="3B5DA1C1">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本项目砂石骨料烘干加热工序以清洁能源天然气为燃料，通过燃烧器燃烧后对砂石骨料干燥筒内骨料直接进行加热。根据建设单位提供的资料，项目烘干系统燃烧器天然气用量为5m</w:t>
            </w:r>
            <w:r>
              <w:rPr>
                <w:rFonts w:hint="eastAsia" w:ascii="Times New Roman" w:hAnsi="Times New Roman" w:eastAsia="宋体" w:cs="Times New Roman"/>
                <w:b w:val="0"/>
                <w:bCs w:val="0"/>
                <w:color w:val="auto"/>
                <w:sz w:val="24"/>
                <w:vertAlign w:val="superscript"/>
                <w:lang w:val="en-US" w:eastAsia="zh-CN"/>
              </w:rPr>
              <w:t>3</w:t>
            </w:r>
            <w:r>
              <w:rPr>
                <w:rFonts w:hint="eastAsia" w:ascii="Times New Roman" w:hAnsi="Times New Roman" w:eastAsia="宋体" w:cs="Times New Roman"/>
                <w:b w:val="0"/>
                <w:bCs w:val="0"/>
                <w:color w:val="auto"/>
                <w:sz w:val="24"/>
                <w:lang w:val="en-US" w:eastAsia="zh-CN"/>
              </w:rPr>
              <w:t>/t-产品，本项目年产</w:t>
            </w:r>
            <w:r>
              <w:rPr>
                <w:rFonts w:hint="eastAsia" w:cs="Times New Roman"/>
                <w:b w:val="0"/>
                <w:bCs w:val="0"/>
                <w:color w:val="auto"/>
                <w:sz w:val="24"/>
                <w:lang w:val="en-US" w:eastAsia="zh-CN"/>
              </w:rPr>
              <w:t>普通</w:t>
            </w:r>
            <w:r>
              <w:rPr>
                <w:rFonts w:hint="eastAsia" w:ascii="Times New Roman" w:hAnsi="Times New Roman" w:eastAsia="宋体" w:cs="Times New Roman"/>
                <w:b w:val="0"/>
                <w:bCs w:val="0"/>
                <w:color w:val="auto"/>
                <w:sz w:val="24"/>
                <w:lang w:val="en-US" w:eastAsia="zh-CN"/>
              </w:rPr>
              <w:t>沥青混凝土、</w:t>
            </w:r>
            <w:r>
              <w:rPr>
                <w:rFonts w:hint="eastAsia" w:cs="Times New Roman"/>
                <w:b w:val="0"/>
                <w:bCs w:val="0"/>
                <w:color w:val="auto"/>
                <w:sz w:val="24"/>
                <w:lang w:val="en-US" w:eastAsia="zh-CN"/>
              </w:rPr>
              <w:t>热</w:t>
            </w:r>
            <w:r>
              <w:rPr>
                <w:rFonts w:hint="eastAsia" w:ascii="Times New Roman" w:hAnsi="Times New Roman" w:eastAsia="宋体" w:cs="Times New Roman"/>
                <w:b w:val="0"/>
                <w:bCs w:val="0"/>
                <w:color w:val="auto"/>
                <w:sz w:val="24"/>
                <w:lang w:val="en-US" w:eastAsia="zh-CN"/>
              </w:rPr>
              <w:t>再生沥青混凝土约</w:t>
            </w:r>
            <w:r>
              <w:rPr>
                <w:rFonts w:hint="eastAsia" w:cs="Times New Roman"/>
                <w:b w:val="0"/>
                <w:bCs w:val="0"/>
                <w:color w:val="auto"/>
                <w:sz w:val="24"/>
                <w:lang w:val="en-US" w:eastAsia="zh-CN"/>
              </w:rPr>
              <w:t>40</w:t>
            </w:r>
            <w:r>
              <w:rPr>
                <w:rFonts w:hint="eastAsia" w:ascii="Times New Roman" w:hAnsi="Times New Roman" w:eastAsia="宋体" w:cs="Times New Roman"/>
                <w:b w:val="0"/>
                <w:bCs w:val="0"/>
                <w:color w:val="auto"/>
                <w:sz w:val="24"/>
                <w:lang w:val="en-US" w:eastAsia="zh-CN"/>
              </w:rPr>
              <w:t>万吨，则天然气用量为</w:t>
            </w:r>
            <w:r>
              <w:rPr>
                <w:rFonts w:hint="eastAsia" w:cs="Times New Roman"/>
                <w:b w:val="0"/>
                <w:bCs w:val="0"/>
                <w:color w:val="auto"/>
                <w:sz w:val="24"/>
                <w:lang w:val="en-US" w:eastAsia="zh-CN"/>
              </w:rPr>
              <w:t>200</w:t>
            </w:r>
            <w:r>
              <w:rPr>
                <w:rFonts w:hint="eastAsia" w:ascii="Times New Roman" w:hAnsi="Times New Roman" w:eastAsia="宋体" w:cs="Times New Roman"/>
                <w:b w:val="0"/>
                <w:bCs w:val="0"/>
                <w:color w:val="auto"/>
                <w:sz w:val="24"/>
                <w:lang w:val="en-US" w:eastAsia="zh-CN"/>
              </w:rPr>
              <w:t>万m</w:t>
            </w:r>
            <w:r>
              <w:rPr>
                <w:rFonts w:hint="eastAsia" w:ascii="Times New Roman" w:hAnsi="Times New Roman" w:eastAsia="宋体" w:cs="Times New Roman"/>
                <w:b w:val="0"/>
                <w:bCs w:val="0"/>
                <w:color w:val="auto"/>
                <w:sz w:val="24"/>
                <w:vertAlign w:val="superscript"/>
                <w:lang w:val="en-US" w:eastAsia="zh-CN"/>
              </w:rPr>
              <w:t>3</w:t>
            </w:r>
            <w:r>
              <w:rPr>
                <w:rFonts w:hint="eastAsia" w:ascii="Times New Roman" w:hAnsi="Times New Roman" w:eastAsia="宋体" w:cs="Times New Roman"/>
                <w:b w:val="0"/>
                <w:bCs w:val="0"/>
                <w:color w:val="auto"/>
                <w:sz w:val="24"/>
                <w:lang w:val="en-US" w:eastAsia="zh-CN"/>
              </w:rPr>
              <w:t>/a，天然气燃烧过程中产生烟尘、SO</w:t>
            </w:r>
            <w:r>
              <w:rPr>
                <w:rFonts w:hint="eastAsia" w:ascii="Times New Roman" w:hAnsi="Times New Roman" w:eastAsia="宋体" w:cs="Times New Roman"/>
                <w:b w:val="0"/>
                <w:bCs w:val="0"/>
                <w:color w:val="auto"/>
                <w:sz w:val="24"/>
                <w:vertAlign w:val="subscript"/>
                <w:lang w:val="en-US" w:eastAsia="zh-CN"/>
              </w:rPr>
              <w:t>2</w:t>
            </w:r>
            <w:r>
              <w:rPr>
                <w:rFonts w:hint="eastAsia" w:ascii="Times New Roman" w:hAnsi="Times New Roman" w:eastAsia="宋体" w:cs="Times New Roman"/>
                <w:b w:val="0"/>
                <w:bCs w:val="0"/>
                <w:color w:val="auto"/>
                <w:sz w:val="24"/>
                <w:lang w:val="en-US" w:eastAsia="zh-CN"/>
              </w:rPr>
              <w:t>、NO</w:t>
            </w:r>
            <w:r>
              <w:rPr>
                <w:rFonts w:hint="eastAsia" w:ascii="Times New Roman" w:hAnsi="Times New Roman" w:eastAsia="宋体" w:cs="Times New Roman"/>
                <w:b w:val="0"/>
                <w:bCs w:val="0"/>
                <w:color w:val="auto"/>
                <w:sz w:val="24"/>
                <w:vertAlign w:val="subscript"/>
                <w:lang w:val="en-US" w:eastAsia="zh-CN"/>
              </w:rPr>
              <w:t>x</w:t>
            </w:r>
            <w:r>
              <w:rPr>
                <w:rFonts w:hint="eastAsia" w:ascii="Times New Roman" w:hAnsi="Times New Roman" w:eastAsia="宋体" w:cs="Times New Roman"/>
                <w:b w:val="0"/>
                <w:bCs w:val="0"/>
                <w:color w:val="auto"/>
                <w:sz w:val="24"/>
                <w:lang w:val="en-US" w:eastAsia="zh-CN"/>
              </w:rPr>
              <w:t>。本项目污染物排放量采用系数法计算，污染物产排污系数参照《排放源统计调查产排污核算方法和系数手册》中机械行业系数手册“天然气工业炉窑”工段产污系数，天然气燃烧产污系数：颗粒物0.000286kg/m</w:t>
            </w:r>
            <w:r>
              <w:rPr>
                <w:rFonts w:hint="eastAsia" w:ascii="Times New Roman" w:hAnsi="Times New Roman" w:eastAsia="宋体" w:cs="Times New Roman"/>
                <w:b w:val="0"/>
                <w:bCs w:val="0"/>
                <w:color w:val="auto"/>
                <w:sz w:val="24"/>
                <w:vertAlign w:val="superscript"/>
                <w:lang w:val="en-US" w:eastAsia="zh-CN"/>
              </w:rPr>
              <w:t>3</w:t>
            </w:r>
            <w:r>
              <w:rPr>
                <w:rFonts w:hint="eastAsia" w:ascii="Times New Roman" w:hAnsi="Times New Roman" w:eastAsia="宋体" w:cs="Times New Roman"/>
                <w:b w:val="0"/>
                <w:bCs w:val="0"/>
                <w:color w:val="auto"/>
                <w:sz w:val="24"/>
                <w:lang w:val="en-US" w:eastAsia="zh-CN"/>
              </w:rPr>
              <w:t>-原料、NO</w:t>
            </w:r>
            <w:r>
              <w:rPr>
                <w:rFonts w:hint="eastAsia" w:cs="Times New Roman"/>
                <w:b w:val="0"/>
                <w:bCs w:val="0"/>
                <w:color w:val="auto"/>
                <w:sz w:val="24"/>
                <w:vertAlign w:val="subscript"/>
                <w:lang w:val="en-US" w:eastAsia="zh-CN"/>
              </w:rPr>
              <w:t>x</w:t>
            </w:r>
            <w:r>
              <w:rPr>
                <w:rFonts w:hint="eastAsia" w:cs="Times New Roman"/>
                <w:b w:val="0"/>
                <w:bCs w:val="0"/>
                <w:color w:val="auto"/>
                <w:sz w:val="24"/>
                <w:lang w:val="en-US" w:eastAsia="zh-CN"/>
              </w:rPr>
              <w:t xml:space="preserve"> </w:t>
            </w:r>
            <w:r>
              <w:rPr>
                <w:rFonts w:hint="eastAsia" w:ascii="Times New Roman" w:hAnsi="Times New Roman" w:eastAsia="宋体" w:cs="Times New Roman"/>
                <w:b w:val="0"/>
                <w:bCs w:val="0"/>
                <w:color w:val="auto"/>
                <w:sz w:val="24"/>
                <w:lang w:val="en-US" w:eastAsia="zh-CN"/>
              </w:rPr>
              <w:t>0.00187kg/m</w:t>
            </w:r>
            <w:r>
              <w:rPr>
                <w:rFonts w:hint="eastAsia" w:ascii="Times New Roman" w:hAnsi="Times New Roman" w:eastAsia="宋体" w:cs="Times New Roman"/>
                <w:b w:val="0"/>
                <w:bCs w:val="0"/>
                <w:color w:val="auto"/>
                <w:sz w:val="24"/>
                <w:vertAlign w:val="superscript"/>
                <w:lang w:val="en-US" w:eastAsia="zh-CN"/>
              </w:rPr>
              <w:t>3</w:t>
            </w:r>
            <w:r>
              <w:rPr>
                <w:rFonts w:hint="eastAsia" w:ascii="Times New Roman" w:hAnsi="Times New Roman" w:eastAsia="宋体" w:cs="Times New Roman"/>
                <w:b w:val="0"/>
                <w:bCs w:val="0"/>
                <w:color w:val="auto"/>
                <w:sz w:val="24"/>
                <w:lang w:val="en-US" w:eastAsia="zh-CN"/>
              </w:rPr>
              <w:t>-原料、SO</w:t>
            </w:r>
            <w:r>
              <w:rPr>
                <w:rFonts w:hint="eastAsia" w:ascii="Times New Roman" w:hAnsi="Times New Roman" w:eastAsia="宋体" w:cs="Times New Roman"/>
                <w:b w:val="0"/>
                <w:bCs w:val="0"/>
                <w:color w:val="auto"/>
                <w:sz w:val="24"/>
                <w:vertAlign w:val="subscript"/>
                <w:lang w:val="en-US" w:eastAsia="zh-CN"/>
              </w:rPr>
              <w:t>2</w:t>
            </w:r>
            <w:r>
              <w:rPr>
                <w:rFonts w:hint="eastAsia" w:cs="Times New Roman"/>
                <w:b w:val="0"/>
                <w:bCs w:val="0"/>
                <w:color w:val="auto"/>
                <w:sz w:val="24"/>
                <w:lang w:val="en-US" w:eastAsia="zh-CN"/>
              </w:rPr>
              <w:t xml:space="preserve"> </w:t>
            </w:r>
            <w:r>
              <w:rPr>
                <w:rFonts w:hint="eastAsia" w:ascii="Times New Roman" w:hAnsi="Times New Roman" w:eastAsia="宋体" w:cs="Times New Roman"/>
                <w:b w:val="0"/>
                <w:bCs w:val="0"/>
                <w:color w:val="auto"/>
                <w:sz w:val="24"/>
                <w:lang w:val="en-US" w:eastAsia="zh-CN"/>
              </w:rPr>
              <w:t>0.000002Skg/m</w:t>
            </w:r>
            <w:r>
              <w:rPr>
                <w:rFonts w:hint="eastAsia" w:ascii="Times New Roman" w:hAnsi="Times New Roman" w:eastAsia="宋体" w:cs="Times New Roman"/>
                <w:b w:val="0"/>
                <w:bCs w:val="0"/>
                <w:color w:val="auto"/>
                <w:sz w:val="24"/>
                <w:vertAlign w:val="superscript"/>
                <w:lang w:val="en-US" w:eastAsia="zh-CN"/>
              </w:rPr>
              <w:t>3</w:t>
            </w:r>
            <w:r>
              <w:rPr>
                <w:rFonts w:hint="eastAsia" w:ascii="Times New Roman" w:hAnsi="Times New Roman" w:eastAsia="宋体" w:cs="Times New Roman"/>
                <w:b w:val="0"/>
                <w:bCs w:val="0"/>
                <w:color w:val="auto"/>
                <w:sz w:val="24"/>
                <w:lang w:val="en-US" w:eastAsia="zh-CN"/>
              </w:rPr>
              <w:t>-原料（</w:t>
            </w:r>
            <w:r>
              <w:rPr>
                <w:rFonts w:hint="eastAsia" w:cs="Times New Roman"/>
                <w:b w:val="0"/>
                <w:bCs w:val="0"/>
                <w:color w:val="auto"/>
                <w:sz w:val="24"/>
                <w:lang w:val="en-US" w:eastAsia="zh-CN"/>
              </w:rPr>
              <w:t>本项目使用一类气，</w:t>
            </w:r>
            <w:r>
              <w:rPr>
                <w:rFonts w:hint="eastAsia" w:ascii="Times New Roman" w:hAnsi="Times New Roman" w:eastAsia="宋体" w:cs="Times New Roman"/>
                <w:b w:val="0"/>
                <w:bCs w:val="0"/>
                <w:color w:val="auto"/>
                <w:sz w:val="24"/>
                <w:lang w:val="en-US" w:eastAsia="zh-CN"/>
              </w:rPr>
              <w:t>S取值20）、废气量13.6立方米/m</w:t>
            </w:r>
            <w:r>
              <w:rPr>
                <w:rFonts w:hint="eastAsia" w:ascii="Times New Roman" w:hAnsi="Times New Roman" w:eastAsia="宋体" w:cs="Times New Roman"/>
                <w:b w:val="0"/>
                <w:bCs w:val="0"/>
                <w:color w:val="auto"/>
                <w:sz w:val="24"/>
                <w:vertAlign w:val="superscript"/>
                <w:lang w:val="en-US" w:eastAsia="zh-CN"/>
              </w:rPr>
              <w:t>3</w:t>
            </w:r>
            <w:r>
              <w:rPr>
                <w:rFonts w:hint="eastAsia" w:ascii="Times New Roman" w:hAnsi="Times New Roman" w:eastAsia="宋体" w:cs="Times New Roman"/>
                <w:b w:val="0"/>
                <w:bCs w:val="0"/>
                <w:color w:val="auto"/>
                <w:sz w:val="24"/>
                <w:lang w:val="en-US" w:eastAsia="zh-CN"/>
              </w:rPr>
              <w:t>-原料。</w:t>
            </w:r>
          </w:p>
          <w:p w14:paraId="6B689F16">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项目烘干系统</w:t>
            </w:r>
            <w:r>
              <w:rPr>
                <w:rFonts w:hint="eastAsia" w:cs="Times New Roman"/>
                <w:b w:val="0"/>
                <w:bCs w:val="0"/>
                <w:color w:val="auto"/>
                <w:sz w:val="24"/>
                <w:lang w:val="en-US" w:eastAsia="zh-CN"/>
              </w:rPr>
              <w:t>天然气</w:t>
            </w:r>
            <w:r>
              <w:rPr>
                <w:rFonts w:hint="eastAsia" w:ascii="Times New Roman" w:hAnsi="Times New Roman" w:eastAsia="宋体" w:cs="Times New Roman"/>
                <w:b w:val="0"/>
                <w:bCs w:val="0"/>
                <w:color w:val="auto"/>
                <w:sz w:val="24"/>
                <w:lang w:val="en-US" w:eastAsia="zh-CN"/>
              </w:rPr>
              <w:t>燃烧尾气产生情况见下表</w:t>
            </w:r>
            <w:r>
              <w:rPr>
                <w:rFonts w:hint="eastAsia" w:cs="Times New Roman"/>
                <w:b w:val="0"/>
                <w:bCs w:val="0"/>
                <w:color w:val="auto"/>
                <w:sz w:val="24"/>
                <w:lang w:val="en-US" w:eastAsia="zh-CN"/>
              </w:rPr>
              <w:t>：</w:t>
            </w:r>
          </w:p>
          <w:p w14:paraId="3464EF27">
            <w:pPr>
              <w:numPr>
                <w:ilvl w:val="0"/>
                <w:numId w:val="6"/>
              </w:numPr>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烘干系统天然气燃烧废气产生情况一览表</w:t>
            </w:r>
          </w:p>
          <w:tbl>
            <w:tblPr>
              <w:tblStyle w:val="27"/>
              <w:tblW w:w="8045" w:type="dxa"/>
              <w:tblInd w:w="5"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18"/>
              <w:gridCol w:w="1016"/>
              <w:gridCol w:w="1131"/>
              <w:gridCol w:w="1350"/>
              <w:gridCol w:w="2289"/>
              <w:gridCol w:w="1341"/>
            </w:tblGrid>
            <w:tr w14:paraId="15DFE61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918" w:type="dxa"/>
                  <w:tcBorders>
                    <w:tl2br w:val="nil"/>
                    <w:tr2bl w:val="nil"/>
                  </w:tcBorders>
                  <w:vAlign w:val="center"/>
                </w:tcPr>
                <w:p w14:paraId="5006E58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排放源</w:t>
                  </w:r>
                </w:p>
              </w:tc>
              <w:tc>
                <w:tcPr>
                  <w:tcW w:w="1016" w:type="dxa"/>
                  <w:tcBorders>
                    <w:tl2br w:val="nil"/>
                    <w:tr2bl w:val="nil"/>
                  </w:tcBorders>
                  <w:vAlign w:val="center"/>
                </w:tcPr>
                <w:p w14:paraId="0CA2E5B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原料用量</w:t>
                  </w:r>
                </w:p>
              </w:tc>
              <w:tc>
                <w:tcPr>
                  <w:tcW w:w="1131" w:type="dxa"/>
                  <w:tcBorders>
                    <w:tl2br w:val="nil"/>
                    <w:tr2bl w:val="nil"/>
                  </w:tcBorders>
                  <w:vAlign w:val="center"/>
                </w:tcPr>
                <w:p w14:paraId="620E111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废气量（万m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/a）</w:t>
                  </w:r>
                </w:p>
              </w:tc>
              <w:tc>
                <w:tcPr>
                  <w:tcW w:w="1350" w:type="dxa"/>
                  <w:tcBorders>
                    <w:tl2br w:val="nil"/>
                    <w:tr2bl w:val="nil"/>
                  </w:tcBorders>
                  <w:vAlign w:val="center"/>
                </w:tcPr>
                <w:p w14:paraId="66B70F8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污染因子名称</w:t>
                  </w:r>
                </w:p>
              </w:tc>
              <w:tc>
                <w:tcPr>
                  <w:tcW w:w="2289" w:type="dxa"/>
                  <w:tcBorders>
                    <w:tl2br w:val="nil"/>
                    <w:tr2bl w:val="nil"/>
                  </w:tcBorders>
                  <w:vAlign w:val="center"/>
                </w:tcPr>
                <w:p w14:paraId="3F52B39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产污系数</w:t>
                  </w:r>
                </w:p>
              </w:tc>
              <w:tc>
                <w:tcPr>
                  <w:tcW w:w="1341" w:type="dxa"/>
                  <w:tcBorders>
                    <w:tl2br w:val="nil"/>
                    <w:tr2bl w:val="nil"/>
                  </w:tcBorders>
                  <w:vAlign w:val="center"/>
                </w:tcPr>
                <w:p w14:paraId="4E7D657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产生量（t/a）</w:t>
                  </w:r>
                </w:p>
              </w:tc>
            </w:tr>
            <w:tr w14:paraId="796F1D0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918" w:type="dxa"/>
                  <w:vMerge w:val="restart"/>
                  <w:tcBorders>
                    <w:tl2br w:val="nil"/>
                    <w:tr2bl w:val="nil"/>
                  </w:tcBorders>
                  <w:vAlign w:val="center"/>
                </w:tcPr>
                <w:p w14:paraId="1023894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烘干系统燃烧器</w:t>
                  </w:r>
                </w:p>
              </w:tc>
              <w:tc>
                <w:tcPr>
                  <w:tcW w:w="1016" w:type="dxa"/>
                  <w:vMerge w:val="restart"/>
                  <w:tcBorders>
                    <w:tl2br w:val="nil"/>
                    <w:tr2bl w:val="nil"/>
                  </w:tcBorders>
                  <w:vAlign w:val="center"/>
                </w:tcPr>
                <w:p w14:paraId="69C6916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200万m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/a（天然气）</w:t>
                  </w:r>
                </w:p>
              </w:tc>
              <w:tc>
                <w:tcPr>
                  <w:tcW w:w="1131" w:type="dxa"/>
                  <w:vMerge w:val="restart"/>
                  <w:tcBorders>
                    <w:tl2br w:val="nil"/>
                    <w:tr2bl w:val="nil"/>
                  </w:tcBorders>
                  <w:vAlign w:val="center"/>
                </w:tcPr>
                <w:p w14:paraId="7EF0A3E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2720</w:t>
                  </w:r>
                </w:p>
              </w:tc>
              <w:tc>
                <w:tcPr>
                  <w:tcW w:w="1350" w:type="dxa"/>
                  <w:tcBorders>
                    <w:tl2br w:val="nil"/>
                    <w:tr2bl w:val="nil"/>
                  </w:tcBorders>
                  <w:vAlign w:val="center"/>
                </w:tcPr>
                <w:p w14:paraId="57AB53A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颗粒物</w:t>
                  </w:r>
                </w:p>
              </w:tc>
              <w:tc>
                <w:tcPr>
                  <w:tcW w:w="2289" w:type="dxa"/>
                  <w:tcBorders>
                    <w:tl2br w:val="nil"/>
                    <w:tr2bl w:val="nil"/>
                  </w:tcBorders>
                  <w:vAlign w:val="center"/>
                </w:tcPr>
                <w:p w14:paraId="720973E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0.000286kg/m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原料</w:t>
                  </w:r>
                </w:p>
              </w:tc>
              <w:tc>
                <w:tcPr>
                  <w:tcW w:w="1341" w:type="dxa"/>
                  <w:tcBorders>
                    <w:tl2br w:val="nil"/>
                    <w:tr2bl w:val="nil"/>
                  </w:tcBorders>
                  <w:vAlign w:val="center"/>
                </w:tcPr>
                <w:p w14:paraId="7DA1192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0.572</w:t>
                  </w:r>
                </w:p>
              </w:tc>
            </w:tr>
            <w:tr w14:paraId="1641052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918" w:type="dxa"/>
                  <w:vMerge w:val="continue"/>
                  <w:tcBorders>
                    <w:tl2br w:val="nil"/>
                    <w:tr2bl w:val="nil"/>
                  </w:tcBorders>
                  <w:vAlign w:val="center"/>
                </w:tcPr>
                <w:p w14:paraId="0566BD2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16" w:type="dxa"/>
                  <w:vMerge w:val="continue"/>
                  <w:tcBorders>
                    <w:tl2br w:val="nil"/>
                    <w:tr2bl w:val="nil"/>
                  </w:tcBorders>
                  <w:vAlign w:val="center"/>
                </w:tcPr>
                <w:p w14:paraId="312A4D9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131" w:type="dxa"/>
                  <w:vMerge w:val="continue"/>
                  <w:tcBorders>
                    <w:tl2br w:val="nil"/>
                    <w:tr2bl w:val="nil"/>
                  </w:tcBorders>
                  <w:vAlign w:val="center"/>
                </w:tcPr>
                <w:p w14:paraId="3F07DF0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50" w:type="dxa"/>
                  <w:tcBorders>
                    <w:tl2br w:val="nil"/>
                    <w:tr2bl w:val="nil"/>
                  </w:tcBorders>
                  <w:vAlign w:val="center"/>
                </w:tcPr>
                <w:p w14:paraId="4522E73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NO</w:t>
                  </w:r>
                  <w:r>
                    <w:rPr>
                      <w:rFonts w:hint="default" w:ascii="Times New Roman" w:hAnsi="Times New Roman" w:eastAsia="宋体" w:cs="Times New Roman"/>
                      <w:b w:val="0"/>
                      <w:bCs w:val="0"/>
                      <w:color w:val="auto"/>
                      <w:sz w:val="21"/>
                      <w:szCs w:val="21"/>
                      <w:vertAlign w:val="subscript"/>
                      <w:lang w:val="en-US" w:eastAsia="zh-CN"/>
                    </w:rPr>
                    <w:t>x</w:t>
                  </w:r>
                </w:p>
              </w:tc>
              <w:tc>
                <w:tcPr>
                  <w:tcW w:w="2289" w:type="dxa"/>
                  <w:tcBorders>
                    <w:tl2br w:val="nil"/>
                    <w:tr2bl w:val="nil"/>
                  </w:tcBorders>
                  <w:vAlign w:val="center"/>
                </w:tcPr>
                <w:p w14:paraId="396634E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0.00187kg/m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-原料</w:t>
                  </w:r>
                </w:p>
              </w:tc>
              <w:tc>
                <w:tcPr>
                  <w:tcW w:w="1341" w:type="dxa"/>
                  <w:tcBorders>
                    <w:tl2br w:val="nil"/>
                    <w:tr2bl w:val="nil"/>
                  </w:tcBorders>
                  <w:vAlign w:val="center"/>
                </w:tcPr>
                <w:p w14:paraId="24EF625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3.74</w:t>
                  </w:r>
                </w:p>
              </w:tc>
            </w:tr>
            <w:tr w14:paraId="293129B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918" w:type="dxa"/>
                  <w:vMerge w:val="continue"/>
                  <w:tcBorders>
                    <w:tl2br w:val="nil"/>
                    <w:tr2bl w:val="nil"/>
                  </w:tcBorders>
                  <w:vAlign w:val="center"/>
                </w:tcPr>
                <w:p w14:paraId="6E8210E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16" w:type="dxa"/>
                  <w:vMerge w:val="continue"/>
                  <w:tcBorders>
                    <w:tl2br w:val="nil"/>
                    <w:tr2bl w:val="nil"/>
                  </w:tcBorders>
                  <w:vAlign w:val="center"/>
                </w:tcPr>
                <w:p w14:paraId="1ADA69C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131" w:type="dxa"/>
                  <w:vMerge w:val="continue"/>
                  <w:tcBorders>
                    <w:tl2br w:val="nil"/>
                    <w:tr2bl w:val="nil"/>
                  </w:tcBorders>
                  <w:vAlign w:val="center"/>
                </w:tcPr>
                <w:p w14:paraId="0D35281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50" w:type="dxa"/>
                  <w:tcBorders>
                    <w:tl2br w:val="nil"/>
                    <w:tr2bl w:val="nil"/>
                  </w:tcBorders>
                  <w:vAlign w:val="center"/>
                </w:tcPr>
                <w:p w14:paraId="1D89655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SO</w:t>
                  </w:r>
                  <w:r>
                    <w:rPr>
                      <w:rFonts w:hint="default" w:ascii="Times New Roman" w:hAnsi="Times New Roman" w:eastAsia="宋体" w:cs="Times New Roman"/>
                      <w:b w:val="0"/>
                      <w:bCs w:val="0"/>
                      <w:color w:val="auto"/>
                      <w:sz w:val="21"/>
                      <w:szCs w:val="21"/>
                      <w:vertAlign w:val="subscript"/>
                      <w:lang w:val="en-US" w:eastAsia="zh-CN"/>
                    </w:rPr>
                    <w:t>2</w:t>
                  </w:r>
                </w:p>
              </w:tc>
              <w:tc>
                <w:tcPr>
                  <w:tcW w:w="2289" w:type="dxa"/>
                  <w:tcBorders>
                    <w:tl2br w:val="nil"/>
                    <w:tr2bl w:val="nil"/>
                  </w:tcBorders>
                  <w:vAlign w:val="center"/>
                </w:tcPr>
                <w:p w14:paraId="7996651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0.000002Skg/m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-原料</w:t>
                  </w:r>
                </w:p>
              </w:tc>
              <w:tc>
                <w:tcPr>
                  <w:tcW w:w="1341" w:type="dxa"/>
                  <w:tcBorders>
                    <w:tl2br w:val="nil"/>
                    <w:tr2bl w:val="nil"/>
                  </w:tcBorders>
                  <w:vAlign w:val="center"/>
                </w:tcPr>
                <w:p w14:paraId="4FC22B3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0.08</w:t>
                  </w:r>
                </w:p>
              </w:tc>
            </w:tr>
          </w:tbl>
          <w:p w14:paraId="5AB9802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p>
          <w:p w14:paraId="2F92A415">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综上，沥青混凝土、再生沥青混凝土生产线废气产生量见下表：</w:t>
            </w:r>
          </w:p>
          <w:p w14:paraId="7F6426FA">
            <w:pPr>
              <w:numPr>
                <w:ilvl w:val="0"/>
                <w:numId w:val="6"/>
              </w:numPr>
              <w:jc w:val="center"/>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bCs/>
                <w:szCs w:val="21"/>
                <w:highlight w:val="none"/>
                <w:lang w:val="en-US" w:eastAsia="zh-CN"/>
              </w:rPr>
              <w:t>普通沥青混凝土、热再生沥青混凝土生产线废气产生量一览表</w:t>
            </w:r>
          </w:p>
          <w:tbl>
            <w:tblPr>
              <w:tblStyle w:val="27"/>
              <w:tblW w:w="8045"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681"/>
              <w:gridCol w:w="2682"/>
              <w:gridCol w:w="2682"/>
            </w:tblGrid>
            <w:tr w14:paraId="0DD45EC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681" w:type="dxa"/>
                  <w:tcBorders>
                    <w:tl2br w:val="nil"/>
                    <w:tr2bl w:val="nil"/>
                  </w:tcBorders>
                  <w:vAlign w:val="center"/>
                </w:tcPr>
                <w:p w14:paraId="5DE104B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污染物类型</w:t>
                  </w:r>
                </w:p>
              </w:tc>
              <w:tc>
                <w:tcPr>
                  <w:tcW w:w="2682" w:type="dxa"/>
                  <w:tcBorders>
                    <w:tl2br w:val="nil"/>
                    <w:tr2bl w:val="nil"/>
                  </w:tcBorders>
                  <w:vAlign w:val="center"/>
                </w:tcPr>
                <w:p w14:paraId="199004F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污染物种类</w:t>
                  </w:r>
                </w:p>
              </w:tc>
              <w:tc>
                <w:tcPr>
                  <w:tcW w:w="2682" w:type="dxa"/>
                  <w:tcBorders>
                    <w:tl2br w:val="nil"/>
                    <w:tr2bl w:val="nil"/>
                  </w:tcBorders>
                  <w:vAlign w:val="center"/>
                </w:tcPr>
                <w:p w14:paraId="2662747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产生情况（t/a）</w:t>
                  </w:r>
                </w:p>
              </w:tc>
            </w:tr>
            <w:tr w14:paraId="0EED882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681" w:type="dxa"/>
                  <w:tcBorders>
                    <w:tl2br w:val="nil"/>
                    <w:tr2bl w:val="nil"/>
                  </w:tcBorders>
                  <w:vAlign w:val="center"/>
                </w:tcPr>
                <w:p w14:paraId="1B290D2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投料粉尘</w:t>
                  </w:r>
                </w:p>
              </w:tc>
              <w:tc>
                <w:tcPr>
                  <w:tcW w:w="2682" w:type="dxa"/>
                  <w:tcBorders>
                    <w:tl2br w:val="nil"/>
                    <w:tr2bl w:val="nil"/>
                  </w:tcBorders>
                  <w:vAlign w:val="center"/>
                </w:tcPr>
                <w:p w14:paraId="380D8E6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颗粒物</w:t>
                  </w:r>
                </w:p>
              </w:tc>
              <w:tc>
                <w:tcPr>
                  <w:tcW w:w="2682" w:type="dxa"/>
                  <w:tcBorders>
                    <w:tl2br w:val="nil"/>
                    <w:tr2bl w:val="nil"/>
                  </w:tcBorders>
                  <w:vAlign w:val="center"/>
                </w:tcPr>
                <w:p w14:paraId="1CEACC4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3.7037</w:t>
                  </w:r>
                </w:p>
              </w:tc>
            </w:tr>
            <w:tr w14:paraId="2DC5E5F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681" w:type="dxa"/>
                  <w:tcBorders>
                    <w:tl2br w:val="nil"/>
                    <w:tr2bl w:val="nil"/>
                  </w:tcBorders>
                  <w:vAlign w:val="center"/>
                </w:tcPr>
                <w:p w14:paraId="6F9A97C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粉料筒仓粉尘</w:t>
                  </w:r>
                </w:p>
              </w:tc>
              <w:tc>
                <w:tcPr>
                  <w:tcW w:w="2682" w:type="dxa"/>
                  <w:tcBorders>
                    <w:tl2br w:val="nil"/>
                    <w:tr2bl w:val="nil"/>
                  </w:tcBorders>
                  <w:vAlign w:val="center"/>
                </w:tcPr>
                <w:p w14:paraId="558A6A2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颗粒物</w:t>
                  </w:r>
                </w:p>
              </w:tc>
              <w:tc>
                <w:tcPr>
                  <w:tcW w:w="2682" w:type="dxa"/>
                  <w:tcBorders>
                    <w:tl2br w:val="nil"/>
                    <w:tr2bl w:val="nil"/>
                  </w:tcBorders>
                  <w:vAlign w:val="center"/>
                </w:tcPr>
                <w:p w14:paraId="2D147A5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1.7870</w:t>
                  </w:r>
                </w:p>
              </w:tc>
            </w:tr>
            <w:tr w14:paraId="32D5A1C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681" w:type="dxa"/>
                  <w:tcBorders>
                    <w:tl2br w:val="nil"/>
                    <w:tr2bl w:val="nil"/>
                  </w:tcBorders>
                  <w:vAlign w:val="center"/>
                </w:tcPr>
                <w:p w14:paraId="3DF45B5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输送粉尘</w:t>
                  </w:r>
                  <w:r>
                    <w:rPr>
                      <w:rFonts w:hint="eastAsia" w:ascii="Times New Roman" w:hAnsi="Times New Roman" w:eastAsia="宋体" w:cs="Times New Roman"/>
                      <w:b w:val="0"/>
                      <w:bCs w:val="0"/>
                      <w:color w:val="auto"/>
                      <w:sz w:val="21"/>
                      <w:szCs w:val="21"/>
                      <w:vertAlign w:val="baseline"/>
                      <w:lang w:val="en-US" w:eastAsia="zh-CN"/>
                    </w:rPr>
                    <w:t>、烘干粉尘、提升粉尘、筛分粉尘</w:t>
                  </w:r>
                </w:p>
              </w:tc>
              <w:tc>
                <w:tcPr>
                  <w:tcW w:w="2682" w:type="dxa"/>
                  <w:tcBorders>
                    <w:tl2br w:val="nil"/>
                    <w:tr2bl w:val="nil"/>
                  </w:tcBorders>
                  <w:vAlign w:val="center"/>
                </w:tcPr>
                <w:p w14:paraId="6C9B32F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颗粒物</w:t>
                  </w:r>
                </w:p>
              </w:tc>
              <w:tc>
                <w:tcPr>
                  <w:tcW w:w="2682" w:type="dxa"/>
                  <w:tcBorders>
                    <w:tl2br w:val="nil"/>
                    <w:tr2bl w:val="nil"/>
                  </w:tcBorders>
                  <w:vAlign w:val="center"/>
                </w:tcPr>
                <w:p w14:paraId="64C4064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552</w:t>
                  </w:r>
                </w:p>
              </w:tc>
            </w:tr>
            <w:tr w14:paraId="57E62FA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681" w:type="dxa"/>
                  <w:vMerge w:val="restart"/>
                  <w:tcBorders>
                    <w:tl2br w:val="nil"/>
                    <w:tr2bl w:val="nil"/>
                  </w:tcBorders>
                  <w:vAlign w:val="center"/>
                </w:tcPr>
                <w:p w14:paraId="24D47B3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烘干系统天然气燃烧废气</w:t>
                  </w:r>
                </w:p>
              </w:tc>
              <w:tc>
                <w:tcPr>
                  <w:tcW w:w="2682" w:type="dxa"/>
                  <w:tcBorders>
                    <w:tl2br w:val="nil"/>
                    <w:tr2bl w:val="nil"/>
                  </w:tcBorders>
                  <w:vAlign w:val="center"/>
                </w:tcPr>
                <w:p w14:paraId="38B642C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颗粒物</w:t>
                  </w:r>
                </w:p>
              </w:tc>
              <w:tc>
                <w:tcPr>
                  <w:tcW w:w="2682" w:type="dxa"/>
                  <w:tcBorders>
                    <w:tl2br w:val="nil"/>
                    <w:tr2bl w:val="nil"/>
                  </w:tcBorders>
                  <w:vAlign w:val="center"/>
                </w:tcPr>
                <w:p w14:paraId="58AFD12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0.572</w:t>
                  </w:r>
                </w:p>
              </w:tc>
            </w:tr>
            <w:tr w14:paraId="188F8C2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681" w:type="dxa"/>
                  <w:vMerge w:val="continue"/>
                  <w:tcBorders>
                    <w:tl2br w:val="nil"/>
                    <w:tr2bl w:val="nil"/>
                  </w:tcBorders>
                  <w:vAlign w:val="center"/>
                </w:tcPr>
                <w:p w14:paraId="040ACA6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2682" w:type="dxa"/>
                  <w:tcBorders>
                    <w:tl2br w:val="nil"/>
                    <w:tr2bl w:val="nil"/>
                  </w:tcBorders>
                  <w:shd w:val="clear" w:color="auto" w:fill="auto"/>
                  <w:vAlign w:val="center"/>
                </w:tcPr>
                <w:p w14:paraId="43F3960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NO</w:t>
                  </w:r>
                  <w:r>
                    <w:rPr>
                      <w:rFonts w:hint="default" w:ascii="Times New Roman" w:hAnsi="Times New Roman" w:eastAsia="宋体" w:cs="Times New Roman"/>
                      <w:b w:val="0"/>
                      <w:bCs w:val="0"/>
                      <w:color w:val="auto"/>
                      <w:sz w:val="21"/>
                      <w:szCs w:val="21"/>
                      <w:vertAlign w:val="subscript"/>
                      <w:lang w:val="en-US" w:eastAsia="zh-CN"/>
                    </w:rPr>
                    <w:t>x</w:t>
                  </w:r>
                </w:p>
              </w:tc>
              <w:tc>
                <w:tcPr>
                  <w:tcW w:w="2682" w:type="dxa"/>
                  <w:tcBorders>
                    <w:tl2br w:val="nil"/>
                    <w:tr2bl w:val="nil"/>
                  </w:tcBorders>
                  <w:vAlign w:val="center"/>
                </w:tcPr>
                <w:p w14:paraId="211373F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3.74</w:t>
                  </w:r>
                </w:p>
              </w:tc>
            </w:tr>
            <w:tr w14:paraId="1FE0758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681" w:type="dxa"/>
                  <w:vMerge w:val="continue"/>
                  <w:tcBorders>
                    <w:tl2br w:val="nil"/>
                    <w:tr2bl w:val="nil"/>
                  </w:tcBorders>
                  <w:vAlign w:val="center"/>
                </w:tcPr>
                <w:p w14:paraId="7E406C0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2682" w:type="dxa"/>
                  <w:tcBorders>
                    <w:tl2br w:val="nil"/>
                    <w:tr2bl w:val="nil"/>
                  </w:tcBorders>
                  <w:shd w:val="clear" w:color="auto" w:fill="auto"/>
                  <w:vAlign w:val="center"/>
                </w:tcPr>
                <w:p w14:paraId="5AC9DE8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SO</w:t>
                  </w:r>
                  <w:r>
                    <w:rPr>
                      <w:rFonts w:hint="default" w:ascii="Times New Roman" w:hAnsi="Times New Roman" w:eastAsia="宋体" w:cs="Times New Roman"/>
                      <w:b w:val="0"/>
                      <w:bCs w:val="0"/>
                      <w:color w:val="auto"/>
                      <w:sz w:val="21"/>
                      <w:szCs w:val="21"/>
                      <w:vertAlign w:val="subscript"/>
                      <w:lang w:val="en-US" w:eastAsia="zh-CN"/>
                    </w:rPr>
                    <w:t>2</w:t>
                  </w:r>
                </w:p>
              </w:tc>
              <w:tc>
                <w:tcPr>
                  <w:tcW w:w="2682" w:type="dxa"/>
                  <w:tcBorders>
                    <w:tl2br w:val="nil"/>
                    <w:tr2bl w:val="nil"/>
                  </w:tcBorders>
                  <w:vAlign w:val="center"/>
                </w:tcPr>
                <w:p w14:paraId="09D8A12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0.08</w:t>
                  </w:r>
                </w:p>
              </w:tc>
            </w:tr>
            <w:tr w14:paraId="3BD7D78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681" w:type="dxa"/>
                  <w:vMerge w:val="restart"/>
                  <w:tcBorders>
                    <w:tl2br w:val="nil"/>
                    <w:tr2bl w:val="nil"/>
                  </w:tcBorders>
                  <w:vAlign w:val="center"/>
                </w:tcPr>
                <w:p w14:paraId="2A638CE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搅拌废气、卸料废气、沥青加热废气</w:t>
                  </w:r>
                </w:p>
              </w:tc>
              <w:tc>
                <w:tcPr>
                  <w:tcW w:w="2682" w:type="dxa"/>
                  <w:tcBorders>
                    <w:tl2br w:val="nil"/>
                    <w:tr2bl w:val="nil"/>
                  </w:tcBorders>
                  <w:vAlign w:val="center"/>
                </w:tcPr>
                <w:p w14:paraId="1EE4E46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沥青烟</w:t>
                  </w:r>
                </w:p>
              </w:tc>
              <w:tc>
                <w:tcPr>
                  <w:tcW w:w="2682" w:type="dxa"/>
                  <w:tcBorders>
                    <w:tl2br w:val="nil"/>
                    <w:tr2bl w:val="nil"/>
                  </w:tcBorders>
                  <w:vAlign w:val="center"/>
                </w:tcPr>
                <w:p w14:paraId="575729C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0.2</w:t>
                  </w:r>
                  <w:r>
                    <w:rPr>
                      <w:rFonts w:hint="eastAsia" w:cs="Times New Roman"/>
                      <w:b w:val="0"/>
                      <w:bCs w:val="0"/>
                      <w:color w:val="auto"/>
                      <w:sz w:val="21"/>
                      <w:szCs w:val="21"/>
                      <w:vertAlign w:val="baseline"/>
                      <w:lang w:val="en-US" w:eastAsia="zh-CN"/>
                    </w:rPr>
                    <w:t>558</w:t>
                  </w:r>
                </w:p>
              </w:tc>
            </w:tr>
            <w:tr w14:paraId="6EDCBC9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681" w:type="dxa"/>
                  <w:vMerge w:val="continue"/>
                  <w:tcBorders>
                    <w:tl2br w:val="nil"/>
                    <w:tr2bl w:val="nil"/>
                  </w:tcBorders>
                  <w:vAlign w:val="center"/>
                </w:tcPr>
                <w:p w14:paraId="1F63587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2682" w:type="dxa"/>
                  <w:tcBorders>
                    <w:tl2br w:val="nil"/>
                    <w:tr2bl w:val="nil"/>
                  </w:tcBorders>
                  <w:vAlign w:val="center"/>
                </w:tcPr>
                <w:p w14:paraId="4A38C78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苯并[a]芘</w:t>
                  </w:r>
                </w:p>
              </w:tc>
              <w:tc>
                <w:tcPr>
                  <w:tcW w:w="2682" w:type="dxa"/>
                  <w:tcBorders>
                    <w:tl2br w:val="nil"/>
                    <w:tr2bl w:val="nil"/>
                  </w:tcBorders>
                  <w:vAlign w:val="center"/>
                </w:tcPr>
                <w:p w14:paraId="72A0101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w:t>
                  </w:r>
                  <w:r>
                    <w:rPr>
                      <w:rFonts w:hint="eastAsia" w:cs="Times New Roman"/>
                      <w:b w:val="0"/>
                      <w:bCs w:val="0"/>
                      <w:color w:val="auto"/>
                      <w:sz w:val="21"/>
                      <w:szCs w:val="21"/>
                      <w:vertAlign w:val="baseline"/>
                      <w:lang w:val="en-US" w:eastAsia="zh-CN"/>
                    </w:rPr>
                    <w:t>1156</w:t>
                  </w:r>
                  <w:r>
                    <w:rPr>
                      <w:rFonts w:hint="eastAsia" w:ascii="Times New Roman" w:hAnsi="Times New Roman" w:eastAsia="宋体" w:cs="Times New Roman"/>
                      <w:b w:val="0"/>
                      <w:bCs w:val="0"/>
                      <w:color w:val="auto"/>
                      <w:sz w:val="21"/>
                      <w:szCs w:val="21"/>
                      <w:vertAlign w:val="baseline"/>
                      <w:lang w:val="en-US" w:eastAsia="zh-CN"/>
                    </w:rPr>
                    <w:t>×10</w:t>
                  </w:r>
                  <w:r>
                    <w:rPr>
                      <w:rFonts w:hint="eastAsia" w:ascii="Times New Roman" w:hAnsi="Times New Roman" w:eastAsia="宋体" w:cs="Times New Roman"/>
                      <w:b w:val="0"/>
                      <w:bCs w:val="0"/>
                      <w:color w:val="auto"/>
                      <w:sz w:val="21"/>
                      <w:szCs w:val="21"/>
                      <w:vertAlign w:val="superscript"/>
                      <w:lang w:val="en-US" w:eastAsia="zh-CN"/>
                    </w:rPr>
                    <w:t>-6</w:t>
                  </w:r>
                </w:p>
              </w:tc>
            </w:tr>
            <w:tr w14:paraId="3056AA1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681" w:type="dxa"/>
                  <w:vMerge w:val="continue"/>
                  <w:tcBorders>
                    <w:tl2br w:val="nil"/>
                    <w:tr2bl w:val="nil"/>
                  </w:tcBorders>
                  <w:vAlign w:val="center"/>
                </w:tcPr>
                <w:p w14:paraId="48048FD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2682" w:type="dxa"/>
                  <w:tcBorders>
                    <w:tl2br w:val="nil"/>
                    <w:tr2bl w:val="nil"/>
                  </w:tcBorders>
                  <w:vAlign w:val="center"/>
                </w:tcPr>
                <w:p w14:paraId="793061A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VOCs（以非甲烷总烃计）</w:t>
                  </w:r>
                </w:p>
              </w:tc>
              <w:tc>
                <w:tcPr>
                  <w:tcW w:w="2682" w:type="dxa"/>
                  <w:tcBorders>
                    <w:tl2br w:val="nil"/>
                    <w:tr2bl w:val="nil"/>
                  </w:tcBorders>
                  <w:vAlign w:val="center"/>
                </w:tcPr>
                <w:p w14:paraId="2DB70D4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0.17</w:t>
                  </w:r>
                  <w:r>
                    <w:rPr>
                      <w:rFonts w:hint="eastAsia" w:cs="Times New Roman"/>
                      <w:b w:val="0"/>
                      <w:bCs w:val="0"/>
                      <w:color w:val="auto"/>
                      <w:sz w:val="21"/>
                      <w:szCs w:val="21"/>
                      <w:vertAlign w:val="baseline"/>
                      <w:lang w:val="en-US" w:eastAsia="zh-CN"/>
                    </w:rPr>
                    <w:t>9</w:t>
                  </w:r>
                </w:p>
              </w:tc>
            </w:tr>
          </w:tbl>
          <w:p w14:paraId="43026A1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p>
          <w:p w14:paraId="7E4F320F">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（2）收集治理措施</w:t>
            </w:r>
          </w:p>
          <w:p w14:paraId="1DCDACD5">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①投料粉尘</w:t>
            </w:r>
          </w:p>
          <w:p w14:paraId="3754EEAC">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项目冷料斗</w:t>
            </w:r>
            <w:r>
              <w:rPr>
                <w:rFonts w:hint="eastAsia" w:cs="Times New Roman"/>
                <w:b w:val="0"/>
                <w:bCs w:val="0"/>
                <w:color w:val="auto"/>
                <w:sz w:val="24"/>
                <w:lang w:val="en-US" w:eastAsia="zh-CN"/>
              </w:rPr>
              <w:t>半密闭设置</w:t>
            </w:r>
            <w:r>
              <w:rPr>
                <w:rFonts w:hint="eastAsia" w:ascii="Times New Roman" w:hAnsi="Times New Roman" w:eastAsia="宋体" w:cs="Times New Roman"/>
                <w:b w:val="0"/>
                <w:bCs w:val="0"/>
                <w:color w:val="auto"/>
                <w:sz w:val="24"/>
                <w:lang w:val="en-US" w:eastAsia="zh-CN"/>
              </w:rPr>
              <w:t>，</w:t>
            </w:r>
            <w:r>
              <w:rPr>
                <w:rFonts w:hint="eastAsia" w:cs="Times New Roman"/>
                <w:b w:val="0"/>
                <w:bCs w:val="0"/>
                <w:color w:val="auto"/>
                <w:sz w:val="24"/>
                <w:lang w:val="en-US" w:eastAsia="zh-CN"/>
              </w:rPr>
              <w:t>设置顶棚及三面围挡，仅预留物料上料口，上料口设置喷雾降尘装置，</w:t>
            </w:r>
            <w:r>
              <w:rPr>
                <w:rFonts w:hint="eastAsia" w:ascii="Times New Roman" w:hAnsi="Times New Roman" w:eastAsia="宋体" w:cs="Times New Roman"/>
                <w:b w:val="0"/>
                <w:bCs w:val="0"/>
                <w:color w:val="auto"/>
                <w:sz w:val="24"/>
                <w:lang w:val="en-US" w:eastAsia="zh-CN"/>
              </w:rPr>
              <w:t>原料投入冷料斗后通过密闭皮带机输送至烘干系统。投料粉尘经喷雾</w:t>
            </w:r>
            <w:r>
              <w:rPr>
                <w:rFonts w:hint="eastAsia" w:cs="Times New Roman"/>
                <w:b w:val="0"/>
                <w:bCs w:val="0"/>
                <w:color w:val="auto"/>
                <w:sz w:val="24"/>
                <w:lang w:val="en-US" w:eastAsia="zh-CN"/>
              </w:rPr>
              <w:t>降尘</w:t>
            </w:r>
            <w:r>
              <w:rPr>
                <w:rFonts w:hint="eastAsia" w:ascii="Times New Roman" w:hAnsi="Times New Roman" w:eastAsia="宋体" w:cs="Times New Roman"/>
                <w:b w:val="0"/>
                <w:bCs w:val="0"/>
                <w:color w:val="auto"/>
                <w:sz w:val="24"/>
                <w:lang w:val="en-US" w:eastAsia="zh-CN"/>
              </w:rPr>
              <w:t>后无组织排放。参照《排放源统计调查产排污核算方法及系数手册》中</w:t>
            </w:r>
            <w:r>
              <w:rPr>
                <w:rFonts w:hint="eastAsia" w:ascii="Times New Roman" w:hAnsi="Times New Roman" w:eastAsia="宋体" w:cs="Times New Roman"/>
                <w:b w:val="0"/>
                <w:bCs w:val="0"/>
                <w:color w:val="auto"/>
                <w:sz w:val="24"/>
                <w:highlight w:val="none"/>
                <w:lang w:val="en-US" w:eastAsia="zh-CN"/>
              </w:rPr>
              <w:t>《固体物料堆存颗粒物产排污核算系数手册》附录4粉尘控制措施控制效率表、附录5堆场类型控制效率，封闭</w:t>
            </w:r>
            <w:r>
              <w:rPr>
                <w:rFonts w:hint="eastAsia" w:cs="Times New Roman"/>
                <w:b w:val="0"/>
                <w:bCs w:val="0"/>
                <w:color w:val="auto"/>
                <w:sz w:val="24"/>
                <w:highlight w:val="none"/>
                <w:lang w:val="en-US" w:eastAsia="zh-CN"/>
              </w:rPr>
              <w:t>上料斗</w:t>
            </w:r>
            <w:r>
              <w:rPr>
                <w:rFonts w:hint="eastAsia" w:ascii="Times New Roman" w:hAnsi="Times New Roman" w:eastAsia="宋体" w:cs="Times New Roman"/>
                <w:b w:val="0"/>
                <w:bCs w:val="0"/>
                <w:color w:val="auto"/>
                <w:sz w:val="24"/>
                <w:highlight w:val="none"/>
                <w:lang w:val="en-US" w:eastAsia="zh-CN"/>
              </w:rPr>
              <w:t>颗粒物控制效率为99%，喷雾降尘效率为74%。</w:t>
            </w:r>
          </w:p>
          <w:p w14:paraId="42D29304">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②粉料筒仓粉尘</w:t>
            </w:r>
          </w:p>
          <w:p w14:paraId="5DA4B4DF">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本项目设有粉料筒仓，筒仓顶部设有呼吸口，仓顶呼吸口处安装有布袋除尘器，粉尘经仓顶布袋除尘器处理后无组织排放。参考《3021水泥制品制造（含 3022砼结构构件制造、3029其他水泥类似制品制造）行业系数手册》中袋式除尘末端治理技术平均去除效率为99.7%</w:t>
            </w:r>
            <w:r>
              <w:rPr>
                <w:rFonts w:hint="eastAsia"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参照《排放源统计调查产排污核算方法及系数手册》中</w:t>
            </w:r>
            <w:r>
              <w:rPr>
                <w:rFonts w:hint="eastAsia" w:ascii="Times New Roman" w:hAnsi="Times New Roman" w:eastAsia="宋体" w:cs="Times New Roman"/>
                <w:b w:val="0"/>
                <w:bCs w:val="0"/>
                <w:color w:val="auto"/>
                <w:sz w:val="24"/>
                <w:highlight w:val="none"/>
                <w:lang w:val="en-US" w:eastAsia="zh-CN"/>
              </w:rPr>
              <w:t>《固体物料堆存颗粒物产排污核算系数手册》附录4粉尘控制措施控制效率表，封闭</w:t>
            </w:r>
            <w:r>
              <w:rPr>
                <w:rFonts w:hint="eastAsia" w:cs="Times New Roman"/>
                <w:b w:val="0"/>
                <w:bCs w:val="0"/>
                <w:color w:val="auto"/>
                <w:sz w:val="24"/>
                <w:highlight w:val="none"/>
                <w:lang w:val="en-US" w:eastAsia="zh-CN"/>
              </w:rPr>
              <w:t>车间</w:t>
            </w:r>
            <w:r>
              <w:rPr>
                <w:rFonts w:hint="eastAsia" w:ascii="Times New Roman" w:hAnsi="Times New Roman" w:eastAsia="宋体" w:cs="Times New Roman"/>
                <w:b w:val="0"/>
                <w:bCs w:val="0"/>
                <w:color w:val="auto"/>
                <w:sz w:val="24"/>
                <w:highlight w:val="none"/>
                <w:lang w:val="en-US" w:eastAsia="zh-CN"/>
              </w:rPr>
              <w:t>颗粒物控制效率为99%</w:t>
            </w:r>
            <w:r>
              <w:rPr>
                <w:rFonts w:hint="eastAsia" w:ascii="Times New Roman" w:hAnsi="Times New Roman" w:eastAsia="宋体" w:cs="Times New Roman"/>
                <w:b w:val="0"/>
                <w:bCs w:val="0"/>
                <w:color w:val="auto"/>
                <w:sz w:val="24"/>
                <w:lang w:val="en-US" w:eastAsia="zh-CN"/>
              </w:rPr>
              <w:t>。</w:t>
            </w:r>
          </w:p>
          <w:p w14:paraId="1B174657">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③</w:t>
            </w:r>
            <w:r>
              <w:rPr>
                <w:rFonts w:hint="eastAsia" w:cs="Times New Roman"/>
                <w:b/>
                <w:bCs/>
                <w:color w:val="auto"/>
                <w:sz w:val="24"/>
                <w:lang w:val="en-US" w:eastAsia="zh-CN"/>
              </w:rPr>
              <w:t>输送粉尘</w:t>
            </w:r>
            <w:r>
              <w:rPr>
                <w:rFonts w:hint="eastAsia" w:ascii="Times New Roman" w:hAnsi="Times New Roman" w:eastAsia="宋体" w:cs="Times New Roman"/>
                <w:b/>
                <w:bCs/>
                <w:color w:val="auto"/>
                <w:sz w:val="24"/>
                <w:lang w:val="en-US" w:eastAsia="zh-CN"/>
              </w:rPr>
              <w:t>、烘干粉尘、提升粉尘、筛分粉尘、烘干系统天然气燃烧废气</w:t>
            </w:r>
          </w:p>
          <w:p w14:paraId="7C9B2E9B">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项目DGR4000环保型整体式沥青搅拌设备设置在沥青混凝土搅拌楼内，采用无尘主楼设计，主楼以及输送皮带全密闭生产，密闭物料烘干系统、提升机、料仓、筛分系统等均为全封闭设计，产尘工序处均设有集气管道，产生的粉尘和天然气燃烧废气经吸尘管道收集至高温布袋除尘器（TA001）处理，经高温布袋除尘器处理后通过</w:t>
            </w:r>
            <w:r>
              <w:rPr>
                <w:rFonts w:hint="eastAsia" w:cs="Times New Roman"/>
                <w:b w:val="0"/>
                <w:bCs w:val="0"/>
                <w:color w:val="auto"/>
                <w:sz w:val="24"/>
                <w:lang w:val="en-US" w:eastAsia="zh-CN"/>
              </w:rPr>
              <w:t>22</w:t>
            </w:r>
            <w:r>
              <w:rPr>
                <w:rFonts w:hint="eastAsia" w:ascii="Times New Roman" w:hAnsi="Times New Roman" w:eastAsia="宋体" w:cs="Times New Roman"/>
                <w:b w:val="0"/>
                <w:bCs w:val="0"/>
                <w:color w:val="auto"/>
                <w:sz w:val="24"/>
                <w:lang w:val="en-US" w:eastAsia="zh-CN"/>
              </w:rPr>
              <w:t>m高排气筒（DA001）排放。</w:t>
            </w:r>
          </w:p>
          <w:p w14:paraId="22BDE14F">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根据建设单位提供的资料，DGR4000环保型整体式沥青搅拌设备的除尘系统设计风量为1</w:t>
            </w:r>
            <w:r>
              <w:rPr>
                <w:rFonts w:hint="eastAsia" w:cs="Times New Roman"/>
                <w:b w:val="0"/>
                <w:bCs w:val="0"/>
                <w:color w:val="auto"/>
                <w:sz w:val="24"/>
                <w:lang w:val="en-US" w:eastAsia="zh-CN"/>
              </w:rPr>
              <w:t>0</w:t>
            </w:r>
            <w:r>
              <w:rPr>
                <w:rFonts w:hint="eastAsia" w:ascii="Times New Roman" w:hAnsi="Times New Roman" w:eastAsia="宋体" w:cs="Times New Roman"/>
                <w:b w:val="0"/>
                <w:bCs w:val="0"/>
                <w:color w:val="auto"/>
                <w:sz w:val="24"/>
                <w:lang w:val="en-US" w:eastAsia="zh-CN"/>
              </w:rPr>
              <w:t>0000m</w:t>
            </w:r>
            <w:r>
              <w:rPr>
                <w:rFonts w:hint="eastAsia" w:ascii="Times New Roman" w:hAnsi="Times New Roman" w:eastAsia="宋体" w:cs="Times New Roman"/>
                <w:b w:val="0"/>
                <w:bCs w:val="0"/>
                <w:color w:val="auto"/>
                <w:sz w:val="24"/>
                <w:vertAlign w:val="superscript"/>
                <w:lang w:val="en-US" w:eastAsia="zh-CN"/>
              </w:rPr>
              <w:t>3</w:t>
            </w:r>
            <w:r>
              <w:rPr>
                <w:rFonts w:hint="eastAsia" w:ascii="Times New Roman" w:hAnsi="Times New Roman" w:eastAsia="宋体" w:cs="Times New Roman"/>
                <w:b w:val="0"/>
                <w:bCs w:val="0"/>
                <w:color w:val="auto"/>
                <w:sz w:val="24"/>
                <w:lang w:val="en-US" w:eastAsia="zh-CN"/>
              </w:rPr>
              <w:t>/h，根据设计资料：DGR4000环保型整体式沥青搅拌设备采用翻板门技术，实现主楼全密闭，产尘工序处均设有集气管道，“四重”负压吸尘，全方位吸尘，收集效率95%。</w:t>
            </w:r>
          </w:p>
          <w:p w14:paraId="5F42F52A">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参考《3021水泥制品制造（含3022砼结构构件制造、3029其他水泥类似制品制造）行业系数手册》中袋式除尘末端治理技术平均去除效率为99.7%。DGR4000环保型整体式沥青搅拌设备设置在沥青混凝土搅拌楼内，参照《排放源统计调查产排污核算方法及系数手册》中《固体物料堆存颗粒物产排污核算系数手册》附录4粉尘控制措施控制效率表，封闭厂房颗粒物控制效率为 99%，因此，沥青混凝土生产过程中无组织逸散的粉尘绝大多数粉尘沉降在搅拌楼内。</w:t>
            </w:r>
          </w:p>
          <w:p w14:paraId="7064329B">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④搅拌废气、卸料废气、沥青加热废气</w:t>
            </w:r>
          </w:p>
          <w:p w14:paraId="53513141">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本项目沥青加热储存、输送、搅拌生产和产品卸料装车过程均会产生废气，沥青输送采用密闭管道输送，搅拌过程在密闭搅拌机内进行，因此搅拌废气、卸料废气、沥青加热废气主要通过卸料时排放。本项目</w:t>
            </w:r>
            <w:r>
              <w:rPr>
                <w:rFonts w:hint="eastAsia" w:cs="Times New Roman"/>
                <w:b w:val="0"/>
                <w:bCs w:val="0"/>
                <w:color w:val="auto"/>
                <w:sz w:val="24"/>
                <w:lang w:val="en-US" w:eastAsia="zh-CN"/>
              </w:rPr>
              <w:t>普通</w:t>
            </w:r>
            <w:r>
              <w:rPr>
                <w:rFonts w:hint="eastAsia" w:ascii="Times New Roman" w:hAnsi="Times New Roman" w:eastAsia="宋体" w:cs="Times New Roman"/>
                <w:b w:val="0"/>
                <w:bCs w:val="0"/>
                <w:color w:val="auto"/>
                <w:sz w:val="24"/>
                <w:lang w:val="en-US" w:eastAsia="zh-CN"/>
              </w:rPr>
              <w:t>沥青混凝土生产线和</w:t>
            </w:r>
            <w:r>
              <w:rPr>
                <w:rFonts w:hint="eastAsia" w:cs="Times New Roman"/>
                <w:b w:val="0"/>
                <w:bCs w:val="0"/>
                <w:color w:val="auto"/>
                <w:sz w:val="24"/>
                <w:lang w:val="en-US" w:eastAsia="zh-CN"/>
              </w:rPr>
              <w:t>热</w:t>
            </w:r>
            <w:r>
              <w:rPr>
                <w:rFonts w:hint="eastAsia" w:ascii="Times New Roman" w:hAnsi="Times New Roman" w:eastAsia="宋体" w:cs="Times New Roman"/>
                <w:b w:val="0"/>
                <w:bCs w:val="0"/>
                <w:color w:val="auto"/>
                <w:sz w:val="24"/>
                <w:lang w:val="en-US" w:eastAsia="zh-CN"/>
              </w:rPr>
              <w:t>再生沥青混凝土各设置一个卸料口，卸料口整体封闭，通道两侧各安装遥控卷闸门，使通道形成一个相对封闭的空间，通道内设置集气管道进行密闭收集，废气收集至同一套“</w:t>
            </w:r>
            <w:r>
              <w:rPr>
                <w:rFonts w:hint="eastAsia" w:cs="Times New Roman"/>
                <w:b w:val="0"/>
                <w:bCs w:val="0"/>
                <w:color w:val="auto"/>
                <w:sz w:val="24"/>
                <w:lang w:val="en-US" w:eastAsia="zh-CN"/>
              </w:rPr>
              <w:t>喷淋</w:t>
            </w:r>
            <w:r>
              <w:rPr>
                <w:rFonts w:hint="eastAsia" w:ascii="Times New Roman" w:hAnsi="Times New Roman" w:eastAsia="宋体" w:cs="Times New Roman"/>
                <w:b w:val="0"/>
                <w:bCs w:val="0"/>
                <w:color w:val="auto"/>
                <w:sz w:val="24"/>
                <w:lang w:val="en-US" w:eastAsia="zh-CN"/>
              </w:rPr>
              <w:t>+</w:t>
            </w:r>
            <w:r>
              <w:rPr>
                <w:rFonts w:hint="eastAsia" w:cs="Times New Roman"/>
                <w:b w:val="0"/>
                <w:bCs w:val="0"/>
                <w:color w:val="auto"/>
                <w:sz w:val="24"/>
                <w:lang w:val="en-US" w:eastAsia="zh-CN"/>
              </w:rPr>
              <w:t>干式过滤</w:t>
            </w:r>
            <w:r>
              <w:rPr>
                <w:rFonts w:hint="eastAsia" w:ascii="Times New Roman" w:hAnsi="Times New Roman" w:eastAsia="宋体" w:cs="Times New Roman"/>
                <w:b w:val="0"/>
                <w:bCs w:val="0"/>
                <w:color w:val="auto"/>
                <w:sz w:val="24"/>
                <w:lang w:val="en-US" w:eastAsia="zh-CN"/>
              </w:rPr>
              <w:t>+</w:t>
            </w:r>
            <w:r>
              <w:rPr>
                <w:rFonts w:hint="eastAsia" w:cs="Times New Roman"/>
                <w:b w:val="0"/>
                <w:bCs w:val="0"/>
                <w:color w:val="auto"/>
                <w:sz w:val="24"/>
                <w:lang w:val="en-US" w:eastAsia="zh-CN"/>
              </w:rPr>
              <w:t>活性炭吸附脱附</w:t>
            </w:r>
            <w:r>
              <w:rPr>
                <w:rFonts w:hint="eastAsia" w:ascii="Times New Roman" w:hAnsi="Times New Roman" w:eastAsia="宋体" w:cs="Times New Roman"/>
                <w:b w:val="0"/>
                <w:bCs w:val="0"/>
                <w:color w:val="auto"/>
                <w:sz w:val="24"/>
                <w:lang w:val="en-US" w:eastAsia="zh-CN"/>
              </w:rPr>
              <w:t>+</w:t>
            </w:r>
            <w:r>
              <w:rPr>
                <w:rFonts w:hint="eastAsia" w:cs="Times New Roman"/>
                <w:b w:val="0"/>
                <w:bCs w:val="0"/>
                <w:color w:val="auto"/>
                <w:sz w:val="24"/>
                <w:lang w:val="en-US" w:eastAsia="zh-CN"/>
              </w:rPr>
              <w:t>催化燃烧</w:t>
            </w:r>
            <w:r>
              <w:rPr>
                <w:rFonts w:hint="eastAsia" w:ascii="Times New Roman" w:hAnsi="Times New Roman" w:eastAsia="宋体" w:cs="Times New Roman"/>
                <w:b w:val="0"/>
                <w:bCs w:val="0"/>
                <w:color w:val="auto"/>
                <w:sz w:val="24"/>
                <w:lang w:val="en-US" w:eastAsia="zh-CN"/>
              </w:rPr>
              <w:t>”装置（TA002）处理，处理后通过</w:t>
            </w:r>
            <w:r>
              <w:rPr>
                <w:rFonts w:hint="eastAsia" w:cs="Times New Roman"/>
                <w:b w:val="0"/>
                <w:bCs w:val="0"/>
                <w:color w:val="auto"/>
                <w:sz w:val="24"/>
                <w:lang w:val="en-US" w:eastAsia="zh-CN"/>
              </w:rPr>
              <w:t>22</w:t>
            </w:r>
            <w:r>
              <w:rPr>
                <w:rFonts w:hint="eastAsia" w:ascii="Times New Roman" w:hAnsi="Times New Roman" w:eastAsia="宋体" w:cs="Times New Roman"/>
                <w:b w:val="0"/>
                <w:bCs w:val="0"/>
                <w:color w:val="auto"/>
                <w:sz w:val="24"/>
                <w:lang w:val="en-US" w:eastAsia="zh-CN"/>
              </w:rPr>
              <w:t>m高排气筒（DA002）排放。</w:t>
            </w:r>
          </w:p>
          <w:p w14:paraId="51B36AD1">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根据建设单位提供的设计资料，</w:t>
            </w:r>
            <w:r>
              <w:rPr>
                <w:rFonts w:hint="eastAsia" w:ascii="Times New Roman" w:hAnsi="Times New Roman" w:eastAsia="宋体" w:cs="Times New Roman"/>
                <w:color w:val="auto"/>
                <w:sz w:val="24"/>
                <w:lang w:val="en-US" w:eastAsia="zh-CN"/>
              </w:rPr>
              <w:t>本项目拟采取的“</w:t>
            </w:r>
            <w:r>
              <w:rPr>
                <w:rFonts w:hint="eastAsia"/>
                <w:sz w:val="24"/>
                <w:lang w:val="en-US" w:eastAsia="zh-CN"/>
              </w:rPr>
              <w:t>喷淋+干式过滤+</w:t>
            </w:r>
            <w:r>
              <w:rPr>
                <w:rFonts w:hint="eastAsia"/>
                <w:sz w:val="24"/>
              </w:rPr>
              <w:t>活性炭</w:t>
            </w:r>
            <w:r>
              <w:rPr>
                <w:rFonts w:hint="eastAsia"/>
                <w:sz w:val="24"/>
                <w:lang w:val="en-US" w:eastAsia="zh-CN"/>
              </w:rPr>
              <w:t>吸附脱附+催化燃烧</w:t>
            </w:r>
            <w:r>
              <w:rPr>
                <w:rFonts w:hint="eastAsia" w:ascii="Times New Roman" w:hAnsi="Times New Roman" w:eastAsia="宋体" w:cs="Times New Roman"/>
                <w:color w:val="auto"/>
                <w:sz w:val="24"/>
                <w:lang w:val="en-US" w:eastAsia="zh-CN"/>
              </w:rPr>
              <w:t>”装置由1台湿式喷淋塔、1套干式过滤器、4台活性炭吸附床（3用1脱，3座进行吸附，1座进行脱附）和1台电催化燃烧床构成，设施总设计风量为38600m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/h（能够满足本项目需求），单台活性炭装置风量为9650m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/h，其设计尺寸为3.0m×2.0m×0.8m。废气捕集效率95%，活性炭吸附脱附+催化燃烧净化效率90%。定期对活性炭处理装置进行脱附再生，脱附风量为4000m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，活性炭每次脱附时间按6h脱除全部废气计，VOCs在贵金属催化剂的辅助下于250℃左右的温度进行燃烧，并分解为无害物质</w:t>
            </w:r>
            <w:r>
              <w:rPr>
                <w:rFonts w:hint="eastAsia" w:ascii="Times New Roman" w:hAnsi="Times New Roman" w:eastAsia="宋体" w:cs="Times New Roman"/>
                <w:color w:val="auto"/>
                <w:sz w:val="24"/>
                <w:u w:val="single"/>
                <w:lang w:val="en-US" w:eastAsia="zh-CN"/>
              </w:rPr>
              <w:t>（由于要将空气中的氮气转化为氮氧化物，温度须达到1000℃以上，本项目催化燃烧反应床的温度约为250℃，达不到将空气中的氮气转化为氮氧化物的温度，因此本环评活性炭吸附脱附+催化燃烧不会产生氮氧化物）。</w:t>
            </w:r>
          </w:p>
          <w:p w14:paraId="37DBE5CC">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综上，</w:t>
            </w:r>
            <w:r>
              <w:rPr>
                <w:rFonts w:hint="eastAsia" w:cs="Times New Roman"/>
                <w:b w:val="0"/>
                <w:bCs w:val="0"/>
                <w:color w:val="auto"/>
                <w:sz w:val="24"/>
                <w:lang w:val="en-US" w:eastAsia="zh-CN"/>
              </w:rPr>
              <w:t>普通</w:t>
            </w:r>
            <w:r>
              <w:rPr>
                <w:rFonts w:hint="eastAsia" w:ascii="Times New Roman" w:hAnsi="Times New Roman" w:eastAsia="宋体" w:cs="Times New Roman"/>
                <w:b w:val="0"/>
                <w:bCs w:val="0"/>
                <w:color w:val="auto"/>
                <w:sz w:val="24"/>
                <w:lang w:val="en-US" w:eastAsia="zh-CN"/>
              </w:rPr>
              <w:t>沥青混凝土、</w:t>
            </w:r>
            <w:r>
              <w:rPr>
                <w:rFonts w:hint="eastAsia" w:cs="Times New Roman"/>
                <w:b w:val="0"/>
                <w:bCs w:val="0"/>
                <w:color w:val="auto"/>
                <w:sz w:val="24"/>
                <w:lang w:val="en-US" w:eastAsia="zh-CN"/>
              </w:rPr>
              <w:t>热</w:t>
            </w:r>
            <w:r>
              <w:rPr>
                <w:rFonts w:hint="eastAsia" w:ascii="Times New Roman" w:hAnsi="Times New Roman" w:eastAsia="宋体" w:cs="Times New Roman"/>
                <w:b w:val="0"/>
                <w:bCs w:val="0"/>
                <w:color w:val="auto"/>
                <w:sz w:val="24"/>
                <w:lang w:val="en-US" w:eastAsia="zh-CN"/>
              </w:rPr>
              <w:t>再生沥青混凝土生产线废气收集处理情况见下表：</w:t>
            </w:r>
          </w:p>
          <w:p w14:paraId="1BF7D1A4">
            <w:pPr>
              <w:numPr>
                <w:ilvl w:val="0"/>
                <w:numId w:val="6"/>
              </w:numPr>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普通沥青混凝土、热再生沥青混凝土生产线废气收集处理情况一览表</w:t>
            </w:r>
          </w:p>
          <w:tbl>
            <w:tblPr>
              <w:tblStyle w:val="27"/>
              <w:tblW w:w="8045"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609"/>
              <w:gridCol w:w="1609"/>
              <w:gridCol w:w="1609"/>
              <w:gridCol w:w="1609"/>
              <w:gridCol w:w="1609"/>
            </w:tblGrid>
            <w:tr w14:paraId="352D8F7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tcBorders>
                    <w:tl2br w:val="nil"/>
                    <w:tr2bl w:val="nil"/>
                  </w:tcBorders>
                  <w:vAlign w:val="center"/>
                </w:tcPr>
                <w:p w14:paraId="31B8726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污染物种类</w:t>
                  </w:r>
                </w:p>
              </w:tc>
              <w:tc>
                <w:tcPr>
                  <w:tcW w:w="1609" w:type="dxa"/>
                  <w:tcBorders>
                    <w:tl2br w:val="nil"/>
                    <w:tr2bl w:val="nil"/>
                  </w:tcBorders>
                  <w:vAlign w:val="center"/>
                </w:tcPr>
                <w:p w14:paraId="4348105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污染因子</w:t>
                  </w:r>
                </w:p>
              </w:tc>
              <w:tc>
                <w:tcPr>
                  <w:tcW w:w="1609" w:type="dxa"/>
                  <w:tcBorders>
                    <w:tl2br w:val="nil"/>
                    <w:tr2bl w:val="nil"/>
                  </w:tcBorders>
                  <w:vAlign w:val="center"/>
                </w:tcPr>
                <w:p w14:paraId="2BDA1F0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收集效率（%）</w:t>
                  </w:r>
                </w:p>
              </w:tc>
              <w:tc>
                <w:tcPr>
                  <w:tcW w:w="1609" w:type="dxa"/>
                  <w:tcBorders>
                    <w:tl2br w:val="nil"/>
                    <w:tr2bl w:val="nil"/>
                  </w:tcBorders>
                  <w:vAlign w:val="center"/>
                </w:tcPr>
                <w:p w14:paraId="5E786EE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治理措施</w:t>
                  </w:r>
                </w:p>
              </w:tc>
              <w:tc>
                <w:tcPr>
                  <w:tcW w:w="1609" w:type="dxa"/>
                  <w:tcBorders>
                    <w:tl2br w:val="nil"/>
                    <w:tr2bl w:val="nil"/>
                  </w:tcBorders>
                  <w:vAlign w:val="center"/>
                </w:tcPr>
                <w:p w14:paraId="7ABBD75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处理效率（%）</w:t>
                  </w:r>
                </w:p>
              </w:tc>
            </w:tr>
            <w:tr w14:paraId="0601DC5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tcBorders>
                    <w:tl2br w:val="nil"/>
                    <w:tr2bl w:val="nil"/>
                  </w:tcBorders>
                  <w:vAlign w:val="center"/>
                </w:tcPr>
                <w:p w14:paraId="5CCFEF9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投料粉尘</w:t>
                  </w:r>
                </w:p>
              </w:tc>
              <w:tc>
                <w:tcPr>
                  <w:tcW w:w="1609" w:type="dxa"/>
                  <w:tcBorders>
                    <w:tl2br w:val="nil"/>
                    <w:tr2bl w:val="nil"/>
                  </w:tcBorders>
                  <w:vAlign w:val="center"/>
                </w:tcPr>
                <w:p w14:paraId="0620FC9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颗粒物</w:t>
                  </w:r>
                </w:p>
              </w:tc>
              <w:tc>
                <w:tcPr>
                  <w:tcW w:w="1609" w:type="dxa"/>
                  <w:tcBorders>
                    <w:tl2br w:val="nil"/>
                    <w:tr2bl w:val="nil"/>
                  </w:tcBorders>
                  <w:vAlign w:val="center"/>
                </w:tcPr>
                <w:p w14:paraId="657BCF6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609" w:type="dxa"/>
                  <w:tcBorders>
                    <w:tl2br w:val="nil"/>
                    <w:tr2bl w:val="nil"/>
                  </w:tcBorders>
                  <w:vAlign w:val="center"/>
                </w:tcPr>
                <w:p w14:paraId="529D805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封闭</w:t>
                  </w:r>
                  <w:r>
                    <w:rPr>
                      <w:rFonts w:hint="eastAsia" w:ascii="Times New Roman" w:hAnsi="Times New Roman" w:eastAsia="宋体" w:cs="Times New Roman"/>
                      <w:b w:val="0"/>
                      <w:bCs w:val="0"/>
                      <w:color w:val="auto"/>
                      <w:sz w:val="21"/>
                      <w:szCs w:val="21"/>
                      <w:vertAlign w:val="baseline"/>
                      <w:lang w:val="en-US" w:eastAsia="zh-CN"/>
                    </w:rPr>
                    <w:t>上料斗</w:t>
                  </w:r>
                  <w:r>
                    <w:rPr>
                      <w:rFonts w:hint="default" w:ascii="Times New Roman" w:hAnsi="Times New Roman" w:eastAsia="宋体" w:cs="Times New Roman"/>
                      <w:b w:val="0"/>
                      <w:bCs w:val="0"/>
                      <w:color w:val="auto"/>
                      <w:sz w:val="21"/>
                      <w:szCs w:val="21"/>
                      <w:vertAlign w:val="baseline"/>
                      <w:lang w:val="en-US" w:eastAsia="zh-CN"/>
                    </w:rPr>
                    <w:t>+喷雾降尘</w:t>
                  </w:r>
                </w:p>
              </w:tc>
              <w:tc>
                <w:tcPr>
                  <w:tcW w:w="1609" w:type="dxa"/>
                  <w:tcBorders>
                    <w:tl2br w:val="nil"/>
                    <w:tr2bl w:val="nil"/>
                  </w:tcBorders>
                  <w:vAlign w:val="center"/>
                </w:tcPr>
                <w:p w14:paraId="6FD775D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封闭</w:t>
                  </w:r>
                  <w:r>
                    <w:rPr>
                      <w:rFonts w:hint="eastAsia" w:ascii="Times New Roman" w:hAnsi="Times New Roman" w:eastAsia="宋体" w:cs="Times New Roman"/>
                      <w:b w:val="0"/>
                      <w:bCs w:val="0"/>
                      <w:color w:val="auto"/>
                      <w:sz w:val="21"/>
                      <w:szCs w:val="21"/>
                      <w:highlight w:val="none"/>
                      <w:vertAlign w:val="baseline"/>
                      <w:lang w:val="en-US" w:eastAsia="zh-CN"/>
                    </w:rPr>
                    <w:t>上料斗</w:t>
                  </w:r>
                  <w:r>
                    <w:rPr>
                      <w:rFonts w:hint="default" w:ascii="Times New Roman" w:hAnsi="Times New Roman" w:eastAsia="宋体" w:cs="Times New Roman"/>
                      <w:b w:val="0"/>
                      <w:bCs w:val="0"/>
                      <w:color w:val="auto"/>
                      <w:sz w:val="21"/>
                      <w:szCs w:val="21"/>
                      <w:highlight w:val="none"/>
                      <w:vertAlign w:val="baseline"/>
                      <w:lang w:val="en-US" w:eastAsia="zh-CN"/>
                    </w:rPr>
                    <w:t>99%、喷雾降尘74%</w:t>
                  </w:r>
                </w:p>
              </w:tc>
            </w:tr>
            <w:tr w14:paraId="711468C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tcBorders>
                    <w:tl2br w:val="nil"/>
                    <w:tr2bl w:val="nil"/>
                  </w:tcBorders>
                  <w:vAlign w:val="center"/>
                </w:tcPr>
                <w:p w14:paraId="7AA14E4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粉料筒仓粉尘</w:t>
                  </w:r>
                </w:p>
              </w:tc>
              <w:tc>
                <w:tcPr>
                  <w:tcW w:w="1609" w:type="dxa"/>
                  <w:tcBorders>
                    <w:tl2br w:val="nil"/>
                    <w:tr2bl w:val="nil"/>
                  </w:tcBorders>
                  <w:vAlign w:val="center"/>
                </w:tcPr>
                <w:p w14:paraId="3856A65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颗粒物</w:t>
                  </w:r>
                </w:p>
              </w:tc>
              <w:tc>
                <w:tcPr>
                  <w:tcW w:w="1609" w:type="dxa"/>
                  <w:tcBorders>
                    <w:tl2br w:val="nil"/>
                    <w:tr2bl w:val="nil"/>
                  </w:tcBorders>
                  <w:vAlign w:val="center"/>
                </w:tcPr>
                <w:p w14:paraId="34A042B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100</w:t>
                  </w:r>
                </w:p>
              </w:tc>
              <w:tc>
                <w:tcPr>
                  <w:tcW w:w="1609" w:type="dxa"/>
                  <w:tcBorders>
                    <w:tl2br w:val="nil"/>
                    <w:tr2bl w:val="nil"/>
                  </w:tcBorders>
                  <w:vAlign w:val="center"/>
                </w:tcPr>
                <w:p w14:paraId="0087792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筒仓自带布袋除尘</w:t>
                  </w:r>
                </w:p>
              </w:tc>
              <w:tc>
                <w:tcPr>
                  <w:tcW w:w="1609" w:type="dxa"/>
                  <w:tcBorders>
                    <w:tl2br w:val="nil"/>
                    <w:tr2bl w:val="nil"/>
                  </w:tcBorders>
                  <w:vAlign w:val="center"/>
                </w:tcPr>
                <w:p w14:paraId="06C050F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99.7</w:t>
                  </w:r>
                </w:p>
              </w:tc>
            </w:tr>
            <w:tr w14:paraId="1E0DA3C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vMerge w:val="restart"/>
                  <w:tcBorders>
                    <w:tl2br w:val="nil"/>
                    <w:tr2bl w:val="nil"/>
                  </w:tcBorders>
                  <w:vAlign w:val="center"/>
                </w:tcPr>
                <w:p w14:paraId="5440CA5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输送粉尘</w:t>
                  </w:r>
                  <w:r>
                    <w:rPr>
                      <w:rFonts w:hint="default" w:ascii="Times New Roman" w:hAnsi="Times New Roman" w:eastAsia="宋体" w:cs="Times New Roman"/>
                      <w:b w:val="0"/>
                      <w:bCs w:val="0"/>
                      <w:color w:val="auto"/>
                      <w:sz w:val="21"/>
                      <w:szCs w:val="21"/>
                      <w:vertAlign w:val="baseline"/>
                      <w:lang w:val="en-US" w:eastAsia="zh-CN"/>
                    </w:rPr>
                    <w:t>、烘干粉尘、提升粉尘、筛分粉尘、烘干系统天然气燃烧废气</w:t>
                  </w:r>
                </w:p>
              </w:tc>
              <w:tc>
                <w:tcPr>
                  <w:tcW w:w="1609" w:type="dxa"/>
                  <w:tcBorders>
                    <w:tl2br w:val="nil"/>
                    <w:tr2bl w:val="nil"/>
                  </w:tcBorders>
                  <w:vAlign w:val="center"/>
                </w:tcPr>
                <w:p w14:paraId="57EF439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颗粒物</w:t>
                  </w:r>
                </w:p>
              </w:tc>
              <w:tc>
                <w:tcPr>
                  <w:tcW w:w="1609" w:type="dxa"/>
                  <w:vMerge w:val="restart"/>
                  <w:tcBorders>
                    <w:tl2br w:val="nil"/>
                    <w:tr2bl w:val="nil"/>
                  </w:tcBorders>
                  <w:vAlign w:val="center"/>
                </w:tcPr>
                <w:p w14:paraId="560184B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95</w:t>
                  </w:r>
                </w:p>
              </w:tc>
              <w:tc>
                <w:tcPr>
                  <w:tcW w:w="1609" w:type="dxa"/>
                  <w:vMerge w:val="restart"/>
                  <w:tcBorders>
                    <w:tl2br w:val="nil"/>
                    <w:tr2bl w:val="nil"/>
                  </w:tcBorders>
                  <w:vAlign w:val="center"/>
                </w:tcPr>
                <w:p w14:paraId="299F73C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密闭收集+高温布袋除尘器（TA001）</w:t>
                  </w:r>
                </w:p>
              </w:tc>
              <w:tc>
                <w:tcPr>
                  <w:tcW w:w="1609" w:type="dxa"/>
                  <w:tcBorders>
                    <w:tl2br w:val="nil"/>
                    <w:tr2bl w:val="nil"/>
                  </w:tcBorders>
                  <w:vAlign w:val="center"/>
                </w:tcPr>
                <w:p w14:paraId="1551842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99.7</w:t>
                  </w:r>
                </w:p>
              </w:tc>
            </w:tr>
            <w:tr w14:paraId="6A30E4B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609" w:type="dxa"/>
                  <w:vMerge w:val="continue"/>
                  <w:tcBorders>
                    <w:tl2br w:val="nil"/>
                    <w:tr2bl w:val="nil"/>
                  </w:tcBorders>
                  <w:vAlign w:val="center"/>
                </w:tcPr>
                <w:p w14:paraId="6ECA551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tcBorders>
                    <w:tl2br w:val="nil"/>
                    <w:tr2bl w:val="nil"/>
                  </w:tcBorders>
                  <w:vAlign w:val="center"/>
                </w:tcPr>
                <w:p w14:paraId="42E8675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NO</w:t>
                  </w:r>
                  <w:r>
                    <w:rPr>
                      <w:rFonts w:hint="eastAsia" w:ascii="Times New Roman" w:hAnsi="Times New Roman" w:eastAsia="宋体" w:cs="Times New Roman"/>
                      <w:b w:val="0"/>
                      <w:bCs w:val="0"/>
                      <w:color w:val="auto"/>
                      <w:sz w:val="21"/>
                      <w:szCs w:val="21"/>
                      <w:vertAlign w:val="subscript"/>
                      <w:lang w:val="en-US" w:eastAsia="zh-CN"/>
                    </w:rPr>
                    <w:t>x</w:t>
                  </w:r>
                </w:p>
              </w:tc>
              <w:tc>
                <w:tcPr>
                  <w:tcW w:w="1609" w:type="dxa"/>
                  <w:vMerge w:val="continue"/>
                  <w:tcBorders>
                    <w:tl2br w:val="nil"/>
                    <w:tr2bl w:val="nil"/>
                  </w:tcBorders>
                  <w:vAlign w:val="center"/>
                </w:tcPr>
                <w:p w14:paraId="5D6F169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vMerge w:val="continue"/>
                  <w:tcBorders>
                    <w:tl2br w:val="nil"/>
                    <w:tr2bl w:val="nil"/>
                  </w:tcBorders>
                  <w:vAlign w:val="center"/>
                </w:tcPr>
                <w:p w14:paraId="72072DD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tcBorders>
                    <w:tl2br w:val="nil"/>
                    <w:tr2bl w:val="nil"/>
                  </w:tcBorders>
                  <w:vAlign w:val="center"/>
                </w:tcPr>
                <w:p w14:paraId="3CBE127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r>
            <w:tr w14:paraId="0F2D660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vMerge w:val="continue"/>
                  <w:tcBorders>
                    <w:tl2br w:val="nil"/>
                    <w:tr2bl w:val="nil"/>
                  </w:tcBorders>
                  <w:vAlign w:val="center"/>
                </w:tcPr>
                <w:p w14:paraId="64766E9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tcBorders>
                    <w:tl2br w:val="nil"/>
                    <w:tr2bl w:val="nil"/>
                  </w:tcBorders>
                  <w:vAlign w:val="center"/>
                </w:tcPr>
                <w:p w14:paraId="15526A4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SO</w:t>
                  </w:r>
                  <w:r>
                    <w:rPr>
                      <w:rFonts w:hint="eastAsia" w:ascii="Times New Roman" w:hAnsi="Times New Roman" w:eastAsia="宋体" w:cs="Times New Roman"/>
                      <w:b w:val="0"/>
                      <w:bCs w:val="0"/>
                      <w:color w:val="auto"/>
                      <w:sz w:val="21"/>
                      <w:szCs w:val="21"/>
                      <w:vertAlign w:val="subscript"/>
                      <w:lang w:val="en-US" w:eastAsia="zh-CN"/>
                    </w:rPr>
                    <w:t>2</w:t>
                  </w:r>
                </w:p>
              </w:tc>
              <w:tc>
                <w:tcPr>
                  <w:tcW w:w="1609" w:type="dxa"/>
                  <w:vMerge w:val="continue"/>
                  <w:tcBorders>
                    <w:tl2br w:val="nil"/>
                    <w:tr2bl w:val="nil"/>
                  </w:tcBorders>
                  <w:vAlign w:val="center"/>
                </w:tcPr>
                <w:p w14:paraId="14152B8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vMerge w:val="continue"/>
                  <w:tcBorders>
                    <w:tl2br w:val="nil"/>
                    <w:tr2bl w:val="nil"/>
                  </w:tcBorders>
                  <w:vAlign w:val="center"/>
                </w:tcPr>
                <w:p w14:paraId="5969EEB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tcBorders>
                    <w:tl2br w:val="nil"/>
                    <w:tr2bl w:val="nil"/>
                  </w:tcBorders>
                  <w:vAlign w:val="center"/>
                </w:tcPr>
                <w:p w14:paraId="22B837C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r>
            <w:tr w14:paraId="1CA1B9F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vMerge w:val="restart"/>
                  <w:tcBorders>
                    <w:tl2br w:val="nil"/>
                    <w:tr2bl w:val="nil"/>
                  </w:tcBorders>
                  <w:vAlign w:val="center"/>
                </w:tcPr>
                <w:p w14:paraId="77C9D71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搅拌废气、卸料废气、沥青加热废气</w:t>
                  </w:r>
                </w:p>
              </w:tc>
              <w:tc>
                <w:tcPr>
                  <w:tcW w:w="1609" w:type="dxa"/>
                  <w:tcBorders>
                    <w:tl2br w:val="nil"/>
                    <w:tr2bl w:val="nil"/>
                  </w:tcBorders>
                  <w:vAlign w:val="center"/>
                </w:tcPr>
                <w:p w14:paraId="5F4622B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沥青烟</w:t>
                  </w:r>
                </w:p>
              </w:tc>
              <w:tc>
                <w:tcPr>
                  <w:tcW w:w="1609" w:type="dxa"/>
                  <w:vMerge w:val="restart"/>
                  <w:tcBorders>
                    <w:tl2br w:val="nil"/>
                    <w:tr2bl w:val="nil"/>
                  </w:tcBorders>
                  <w:vAlign w:val="center"/>
                </w:tcPr>
                <w:p w14:paraId="314AC1C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95</w:t>
                  </w:r>
                </w:p>
              </w:tc>
              <w:tc>
                <w:tcPr>
                  <w:tcW w:w="1609" w:type="dxa"/>
                  <w:vMerge w:val="restart"/>
                  <w:tcBorders>
                    <w:tl2br w:val="nil"/>
                    <w:tr2bl w:val="nil"/>
                  </w:tcBorders>
                  <w:vAlign w:val="center"/>
                </w:tcPr>
                <w:p w14:paraId="3BF5909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“喷淋+干式过滤+活性炭吸附脱附+催化燃烧”</w:t>
                  </w:r>
                  <w:r>
                    <w:rPr>
                      <w:rFonts w:hint="eastAsia" w:ascii="Times New Roman" w:hAnsi="Times New Roman" w:eastAsia="宋体" w:cs="Times New Roman"/>
                      <w:b w:val="0"/>
                      <w:bCs w:val="0"/>
                      <w:color w:val="auto"/>
                      <w:sz w:val="21"/>
                      <w:szCs w:val="21"/>
                      <w:vertAlign w:val="baseline"/>
                      <w:lang w:val="en-US" w:eastAsia="zh-CN"/>
                    </w:rPr>
                    <w:t>装置（TA002）</w:t>
                  </w:r>
                </w:p>
              </w:tc>
              <w:tc>
                <w:tcPr>
                  <w:tcW w:w="1609" w:type="dxa"/>
                  <w:vMerge w:val="restart"/>
                  <w:tcBorders>
                    <w:tl2br w:val="nil"/>
                    <w:tr2bl w:val="nil"/>
                  </w:tcBorders>
                  <w:vAlign w:val="center"/>
                </w:tcPr>
                <w:p w14:paraId="763C052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90</w:t>
                  </w:r>
                </w:p>
              </w:tc>
            </w:tr>
            <w:tr w14:paraId="7421FFD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vMerge w:val="continue"/>
                  <w:tcBorders>
                    <w:tl2br w:val="nil"/>
                    <w:tr2bl w:val="nil"/>
                  </w:tcBorders>
                  <w:vAlign w:val="center"/>
                </w:tcPr>
                <w:p w14:paraId="5B86DE0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tcBorders>
                    <w:tl2br w:val="nil"/>
                    <w:tr2bl w:val="nil"/>
                  </w:tcBorders>
                  <w:shd w:val="clear" w:color="auto" w:fill="auto"/>
                  <w:vAlign w:val="center"/>
                </w:tcPr>
                <w:p w14:paraId="76D24F7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苯并[a]芘</w:t>
                  </w:r>
                </w:p>
              </w:tc>
              <w:tc>
                <w:tcPr>
                  <w:tcW w:w="1609" w:type="dxa"/>
                  <w:vMerge w:val="continue"/>
                  <w:tcBorders>
                    <w:tl2br w:val="nil"/>
                    <w:tr2bl w:val="nil"/>
                  </w:tcBorders>
                  <w:vAlign w:val="center"/>
                </w:tcPr>
                <w:p w14:paraId="5C48EF4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vMerge w:val="continue"/>
                  <w:tcBorders>
                    <w:tl2br w:val="nil"/>
                    <w:tr2bl w:val="nil"/>
                  </w:tcBorders>
                  <w:vAlign w:val="center"/>
                </w:tcPr>
                <w:p w14:paraId="68337A8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vMerge w:val="continue"/>
                  <w:tcBorders>
                    <w:tl2br w:val="nil"/>
                    <w:tr2bl w:val="nil"/>
                  </w:tcBorders>
                  <w:vAlign w:val="center"/>
                </w:tcPr>
                <w:p w14:paraId="0B293E7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106475D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vMerge w:val="continue"/>
                  <w:tcBorders>
                    <w:tl2br w:val="nil"/>
                    <w:tr2bl w:val="nil"/>
                  </w:tcBorders>
                  <w:vAlign w:val="center"/>
                </w:tcPr>
                <w:p w14:paraId="0E388ED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tcBorders>
                    <w:tl2br w:val="nil"/>
                    <w:tr2bl w:val="nil"/>
                  </w:tcBorders>
                  <w:shd w:val="clear" w:color="auto" w:fill="auto"/>
                  <w:vAlign w:val="center"/>
                </w:tcPr>
                <w:p w14:paraId="101BD84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VOCs（以非甲烷总烃计）</w:t>
                  </w:r>
                </w:p>
              </w:tc>
              <w:tc>
                <w:tcPr>
                  <w:tcW w:w="1609" w:type="dxa"/>
                  <w:vMerge w:val="continue"/>
                  <w:tcBorders>
                    <w:tl2br w:val="nil"/>
                    <w:tr2bl w:val="nil"/>
                  </w:tcBorders>
                  <w:vAlign w:val="center"/>
                </w:tcPr>
                <w:p w14:paraId="6414E90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vMerge w:val="continue"/>
                  <w:tcBorders>
                    <w:tl2br w:val="nil"/>
                    <w:tr2bl w:val="nil"/>
                  </w:tcBorders>
                  <w:vAlign w:val="center"/>
                </w:tcPr>
                <w:p w14:paraId="6BD8C37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vMerge w:val="continue"/>
                  <w:tcBorders>
                    <w:tl2br w:val="nil"/>
                    <w:tr2bl w:val="nil"/>
                  </w:tcBorders>
                  <w:vAlign w:val="center"/>
                </w:tcPr>
                <w:p w14:paraId="2DF9F1E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bl>
          <w:p w14:paraId="172C935B">
            <w:pPr>
              <w:autoSpaceDE w:val="0"/>
              <w:autoSpaceDN w:val="0"/>
              <w:spacing w:line="240" w:lineRule="auto"/>
              <w:ind w:firstLine="420" w:firstLineChars="200"/>
              <w:jc w:val="center"/>
              <w:rPr>
                <w:rFonts w:hint="eastAsia" w:cs="Times New Roman"/>
                <w:b w:val="0"/>
                <w:bCs w:val="0"/>
                <w:color w:val="auto"/>
                <w:sz w:val="21"/>
                <w:szCs w:val="21"/>
                <w:lang w:val="en-US" w:eastAsia="zh-CN"/>
              </w:rPr>
            </w:pPr>
          </w:p>
          <w:p w14:paraId="1DB9850E">
            <w:pPr>
              <w:autoSpaceDE w:val="0"/>
              <w:autoSpaceDN w:val="0"/>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1.1.2煤粉生产线</w:t>
            </w:r>
          </w:p>
          <w:p w14:paraId="65062A63">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本项目煤粉生产工序采用封闭式上料设备，原料输送过程产生的粉尘可忽略不计。煤粉生产线产生的废气主要有磨煤系统产生的粉尘、热风炉天然气燃烧废气、成品煤粉仓储罐粉尘，废气产生及治理情况如下：</w:t>
            </w:r>
          </w:p>
          <w:p w14:paraId="0ACEDC35">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（1）产生情况</w:t>
            </w:r>
          </w:p>
          <w:p w14:paraId="699C89DF">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①磨煤系统粉尘</w:t>
            </w:r>
          </w:p>
          <w:p w14:paraId="1309DFAA">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根据《逸散性工业粉尘控制技术》表13-2中原料磨碎机和喂料、卸料工段逸散尘的排放因子，煤粉粉末制备工序产尘系数取为0.05kg/t，本项目需生产煤粉</w:t>
            </w:r>
            <w:r>
              <w:rPr>
                <w:rFonts w:hint="eastAsia" w:cs="Times New Roman"/>
                <w:b w:val="0"/>
                <w:bCs w:val="0"/>
                <w:color w:val="auto"/>
                <w:sz w:val="24"/>
                <w:lang w:val="en-US" w:eastAsia="zh-CN"/>
              </w:rPr>
              <w:t>10</w:t>
            </w:r>
            <w:r>
              <w:rPr>
                <w:rFonts w:hint="eastAsia" w:ascii="Times New Roman" w:hAnsi="Times New Roman" w:eastAsia="宋体" w:cs="Times New Roman"/>
                <w:b w:val="0"/>
                <w:bCs w:val="0"/>
                <w:color w:val="auto"/>
                <w:sz w:val="24"/>
                <w:lang w:val="en-US" w:eastAsia="zh-CN"/>
              </w:rPr>
              <w:t>万t/a，则本项目煤粉粉末制备工序粉尘产生量约为</w:t>
            </w:r>
            <w:r>
              <w:rPr>
                <w:rFonts w:hint="eastAsia" w:cs="Times New Roman"/>
                <w:b w:val="0"/>
                <w:bCs w:val="0"/>
                <w:color w:val="auto"/>
                <w:sz w:val="24"/>
                <w:lang w:val="en-US" w:eastAsia="zh-CN"/>
              </w:rPr>
              <w:t>5.0</w:t>
            </w:r>
            <w:r>
              <w:rPr>
                <w:rFonts w:hint="eastAsia" w:ascii="Times New Roman" w:hAnsi="Times New Roman" w:eastAsia="宋体" w:cs="Times New Roman"/>
                <w:b w:val="0"/>
                <w:bCs w:val="0"/>
                <w:color w:val="auto"/>
                <w:sz w:val="24"/>
                <w:lang w:val="en-US" w:eastAsia="zh-CN"/>
              </w:rPr>
              <w:t>t/a。</w:t>
            </w:r>
          </w:p>
          <w:p w14:paraId="1EF89CAB">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②热风炉天然气燃烧废气</w:t>
            </w:r>
          </w:p>
          <w:p w14:paraId="0A3E8A90">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燃气在热风炉内充分燃烧后，在热风炉内的混风箱与循环烟气混合，形成温度约350℃的热风，在负压的作用下进入磨机烘干物料，通过引风机循环至热风炉与燃烧烟气混合。根据建设单位提供的资料，热风炉烘干系统燃烧器天然气用量为5m</w:t>
            </w:r>
            <w:r>
              <w:rPr>
                <w:rFonts w:hint="eastAsia" w:ascii="Times New Roman" w:hAnsi="Times New Roman" w:eastAsia="宋体" w:cs="Times New Roman"/>
                <w:b w:val="0"/>
                <w:bCs w:val="0"/>
                <w:color w:val="auto"/>
                <w:sz w:val="24"/>
                <w:vertAlign w:val="superscript"/>
                <w:lang w:val="en-US" w:eastAsia="zh-CN"/>
              </w:rPr>
              <w:t>3</w:t>
            </w:r>
            <w:r>
              <w:rPr>
                <w:rFonts w:hint="eastAsia" w:ascii="Times New Roman" w:hAnsi="Times New Roman" w:eastAsia="宋体" w:cs="Times New Roman"/>
                <w:b w:val="0"/>
                <w:bCs w:val="0"/>
                <w:color w:val="auto"/>
                <w:sz w:val="24"/>
                <w:lang w:val="en-US" w:eastAsia="zh-CN"/>
              </w:rPr>
              <w:t>/t-产品，本项目年产</w:t>
            </w:r>
            <w:r>
              <w:rPr>
                <w:rFonts w:hint="eastAsia" w:cs="Times New Roman"/>
                <w:b w:val="0"/>
                <w:bCs w:val="0"/>
                <w:color w:val="auto"/>
                <w:sz w:val="24"/>
                <w:lang w:val="en-US" w:eastAsia="zh-CN"/>
              </w:rPr>
              <w:t>煤粉</w:t>
            </w:r>
            <w:r>
              <w:rPr>
                <w:rFonts w:hint="eastAsia" w:ascii="Times New Roman" w:hAnsi="Times New Roman" w:eastAsia="宋体" w:cs="Times New Roman"/>
                <w:b w:val="0"/>
                <w:bCs w:val="0"/>
                <w:color w:val="auto"/>
                <w:sz w:val="24"/>
                <w:lang w:val="en-US" w:eastAsia="zh-CN"/>
              </w:rPr>
              <w:t>约</w:t>
            </w:r>
            <w:r>
              <w:rPr>
                <w:rFonts w:hint="eastAsia" w:cs="Times New Roman"/>
                <w:b w:val="0"/>
                <w:bCs w:val="0"/>
                <w:color w:val="auto"/>
                <w:sz w:val="24"/>
                <w:lang w:val="en-US" w:eastAsia="zh-CN"/>
              </w:rPr>
              <w:t>10</w:t>
            </w:r>
            <w:r>
              <w:rPr>
                <w:rFonts w:hint="eastAsia" w:ascii="Times New Roman" w:hAnsi="Times New Roman" w:eastAsia="宋体" w:cs="Times New Roman"/>
                <w:b w:val="0"/>
                <w:bCs w:val="0"/>
                <w:color w:val="auto"/>
                <w:sz w:val="24"/>
                <w:lang w:val="en-US" w:eastAsia="zh-CN"/>
              </w:rPr>
              <w:t>万吨，则天然气用量为</w:t>
            </w:r>
            <w:r>
              <w:rPr>
                <w:rFonts w:hint="eastAsia" w:cs="Times New Roman"/>
                <w:b w:val="0"/>
                <w:bCs w:val="0"/>
                <w:color w:val="auto"/>
                <w:sz w:val="24"/>
                <w:lang w:val="en-US" w:eastAsia="zh-CN"/>
              </w:rPr>
              <w:t>50</w:t>
            </w:r>
            <w:r>
              <w:rPr>
                <w:rFonts w:hint="eastAsia" w:ascii="Times New Roman" w:hAnsi="Times New Roman" w:eastAsia="宋体" w:cs="Times New Roman"/>
                <w:b w:val="0"/>
                <w:bCs w:val="0"/>
                <w:color w:val="auto"/>
                <w:sz w:val="24"/>
                <w:lang w:val="en-US" w:eastAsia="zh-CN"/>
              </w:rPr>
              <w:t>万m</w:t>
            </w:r>
            <w:r>
              <w:rPr>
                <w:rFonts w:hint="eastAsia" w:ascii="Times New Roman" w:hAnsi="Times New Roman" w:eastAsia="宋体" w:cs="Times New Roman"/>
                <w:b w:val="0"/>
                <w:bCs w:val="0"/>
                <w:color w:val="auto"/>
                <w:sz w:val="24"/>
                <w:vertAlign w:val="superscript"/>
                <w:lang w:val="en-US" w:eastAsia="zh-CN"/>
              </w:rPr>
              <w:t>3</w:t>
            </w:r>
            <w:r>
              <w:rPr>
                <w:rFonts w:hint="eastAsia" w:ascii="Times New Roman" w:hAnsi="Times New Roman" w:eastAsia="宋体" w:cs="Times New Roman"/>
                <w:b w:val="0"/>
                <w:bCs w:val="0"/>
                <w:color w:val="auto"/>
                <w:sz w:val="24"/>
                <w:lang w:val="en-US" w:eastAsia="zh-CN"/>
              </w:rPr>
              <w:t>/a，天然气燃烧过程中产生烟尘、SO</w:t>
            </w:r>
            <w:r>
              <w:rPr>
                <w:rFonts w:hint="eastAsia" w:ascii="Times New Roman" w:hAnsi="Times New Roman" w:eastAsia="宋体" w:cs="Times New Roman"/>
                <w:b w:val="0"/>
                <w:bCs w:val="0"/>
                <w:color w:val="auto"/>
                <w:sz w:val="24"/>
                <w:vertAlign w:val="subscript"/>
                <w:lang w:val="en-US" w:eastAsia="zh-CN"/>
              </w:rPr>
              <w:t>2</w:t>
            </w:r>
            <w:r>
              <w:rPr>
                <w:rFonts w:hint="eastAsia" w:ascii="Times New Roman" w:hAnsi="Times New Roman" w:eastAsia="宋体" w:cs="Times New Roman"/>
                <w:b w:val="0"/>
                <w:bCs w:val="0"/>
                <w:color w:val="auto"/>
                <w:sz w:val="24"/>
                <w:lang w:val="en-US" w:eastAsia="zh-CN"/>
              </w:rPr>
              <w:t>、NO</w:t>
            </w:r>
            <w:r>
              <w:rPr>
                <w:rFonts w:hint="eastAsia" w:ascii="Times New Roman" w:hAnsi="Times New Roman" w:eastAsia="宋体" w:cs="Times New Roman"/>
                <w:b w:val="0"/>
                <w:bCs w:val="0"/>
                <w:color w:val="auto"/>
                <w:sz w:val="24"/>
                <w:vertAlign w:val="subscript"/>
                <w:lang w:val="en-US" w:eastAsia="zh-CN"/>
              </w:rPr>
              <w:t>x</w:t>
            </w:r>
            <w:r>
              <w:rPr>
                <w:rFonts w:hint="eastAsia" w:ascii="Times New Roman" w:hAnsi="Times New Roman" w:eastAsia="宋体" w:cs="Times New Roman"/>
                <w:b w:val="0"/>
                <w:bCs w:val="0"/>
                <w:color w:val="auto"/>
                <w:sz w:val="24"/>
                <w:lang w:val="en-US" w:eastAsia="zh-CN"/>
              </w:rPr>
              <w:t>。本项目污染物排放量采用系数法计算，污染物产排污系数参照《排放源统计调查产排污核算方法和系数手册》中机械行业系数手册“天然气工业炉窑”工段产污系数，天然气燃烧产污系数：颗粒物0.000286kg/m</w:t>
            </w:r>
            <w:r>
              <w:rPr>
                <w:rFonts w:hint="eastAsia" w:ascii="Times New Roman" w:hAnsi="Times New Roman" w:eastAsia="宋体" w:cs="Times New Roman"/>
                <w:b w:val="0"/>
                <w:bCs w:val="0"/>
                <w:color w:val="auto"/>
                <w:sz w:val="24"/>
                <w:vertAlign w:val="superscript"/>
                <w:lang w:val="en-US" w:eastAsia="zh-CN"/>
              </w:rPr>
              <w:t>3</w:t>
            </w:r>
            <w:r>
              <w:rPr>
                <w:rFonts w:hint="eastAsia" w:ascii="Times New Roman" w:hAnsi="Times New Roman" w:eastAsia="宋体" w:cs="Times New Roman"/>
                <w:b w:val="0"/>
                <w:bCs w:val="0"/>
                <w:color w:val="auto"/>
                <w:sz w:val="24"/>
                <w:lang w:val="en-US" w:eastAsia="zh-CN"/>
              </w:rPr>
              <w:t>-原料、NO</w:t>
            </w:r>
            <w:r>
              <w:rPr>
                <w:rFonts w:hint="eastAsia" w:cs="Times New Roman"/>
                <w:b w:val="0"/>
                <w:bCs w:val="0"/>
                <w:color w:val="auto"/>
                <w:sz w:val="24"/>
                <w:vertAlign w:val="subscript"/>
                <w:lang w:val="en-US" w:eastAsia="zh-CN"/>
              </w:rPr>
              <w:t>x</w:t>
            </w:r>
            <w:r>
              <w:rPr>
                <w:rFonts w:hint="eastAsia" w:cs="Times New Roman"/>
                <w:b w:val="0"/>
                <w:bCs w:val="0"/>
                <w:color w:val="auto"/>
                <w:sz w:val="24"/>
                <w:lang w:val="en-US" w:eastAsia="zh-CN"/>
              </w:rPr>
              <w:t xml:space="preserve"> </w:t>
            </w:r>
            <w:r>
              <w:rPr>
                <w:rFonts w:hint="eastAsia" w:ascii="Times New Roman" w:hAnsi="Times New Roman" w:eastAsia="宋体" w:cs="Times New Roman"/>
                <w:b w:val="0"/>
                <w:bCs w:val="0"/>
                <w:color w:val="auto"/>
                <w:sz w:val="24"/>
                <w:lang w:val="en-US" w:eastAsia="zh-CN"/>
              </w:rPr>
              <w:t>0.00187kg/m</w:t>
            </w:r>
            <w:r>
              <w:rPr>
                <w:rFonts w:hint="eastAsia" w:ascii="Times New Roman" w:hAnsi="Times New Roman" w:eastAsia="宋体" w:cs="Times New Roman"/>
                <w:b w:val="0"/>
                <w:bCs w:val="0"/>
                <w:color w:val="auto"/>
                <w:sz w:val="24"/>
                <w:vertAlign w:val="superscript"/>
                <w:lang w:val="en-US" w:eastAsia="zh-CN"/>
              </w:rPr>
              <w:t>3</w:t>
            </w:r>
            <w:r>
              <w:rPr>
                <w:rFonts w:hint="eastAsia" w:ascii="Times New Roman" w:hAnsi="Times New Roman" w:eastAsia="宋体" w:cs="Times New Roman"/>
                <w:b w:val="0"/>
                <w:bCs w:val="0"/>
                <w:color w:val="auto"/>
                <w:sz w:val="24"/>
                <w:lang w:val="en-US" w:eastAsia="zh-CN"/>
              </w:rPr>
              <w:t>-原料、SO</w:t>
            </w:r>
            <w:r>
              <w:rPr>
                <w:rFonts w:hint="eastAsia" w:ascii="Times New Roman" w:hAnsi="Times New Roman" w:eastAsia="宋体" w:cs="Times New Roman"/>
                <w:b w:val="0"/>
                <w:bCs w:val="0"/>
                <w:color w:val="auto"/>
                <w:sz w:val="24"/>
                <w:vertAlign w:val="subscript"/>
                <w:lang w:val="en-US" w:eastAsia="zh-CN"/>
              </w:rPr>
              <w:t>2</w:t>
            </w:r>
            <w:r>
              <w:rPr>
                <w:rFonts w:hint="eastAsia" w:cs="Times New Roman"/>
                <w:b w:val="0"/>
                <w:bCs w:val="0"/>
                <w:color w:val="auto"/>
                <w:sz w:val="24"/>
                <w:lang w:val="en-US" w:eastAsia="zh-CN"/>
              </w:rPr>
              <w:t xml:space="preserve"> </w:t>
            </w:r>
            <w:r>
              <w:rPr>
                <w:rFonts w:hint="eastAsia" w:ascii="Times New Roman" w:hAnsi="Times New Roman" w:eastAsia="宋体" w:cs="Times New Roman"/>
                <w:b w:val="0"/>
                <w:bCs w:val="0"/>
                <w:color w:val="auto"/>
                <w:sz w:val="24"/>
                <w:lang w:val="en-US" w:eastAsia="zh-CN"/>
              </w:rPr>
              <w:t>0.000002Skg/m</w:t>
            </w:r>
            <w:r>
              <w:rPr>
                <w:rFonts w:hint="eastAsia" w:ascii="Times New Roman" w:hAnsi="Times New Roman" w:eastAsia="宋体" w:cs="Times New Roman"/>
                <w:b w:val="0"/>
                <w:bCs w:val="0"/>
                <w:color w:val="auto"/>
                <w:sz w:val="24"/>
                <w:vertAlign w:val="superscript"/>
                <w:lang w:val="en-US" w:eastAsia="zh-CN"/>
              </w:rPr>
              <w:t>3</w:t>
            </w:r>
            <w:r>
              <w:rPr>
                <w:rFonts w:hint="eastAsia" w:ascii="Times New Roman" w:hAnsi="Times New Roman" w:eastAsia="宋体" w:cs="Times New Roman"/>
                <w:b w:val="0"/>
                <w:bCs w:val="0"/>
                <w:color w:val="auto"/>
                <w:sz w:val="24"/>
                <w:lang w:val="en-US" w:eastAsia="zh-CN"/>
              </w:rPr>
              <w:t>-原料（本项目使用一类气，S取值20）、废气量13.6立方米/m</w:t>
            </w:r>
            <w:r>
              <w:rPr>
                <w:rFonts w:hint="eastAsia" w:ascii="Times New Roman" w:hAnsi="Times New Roman" w:eastAsia="宋体" w:cs="Times New Roman"/>
                <w:b w:val="0"/>
                <w:bCs w:val="0"/>
                <w:color w:val="auto"/>
                <w:sz w:val="24"/>
                <w:vertAlign w:val="superscript"/>
                <w:lang w:val="en-US" w:eastAsia="zh-CN"/>
              </w:rPr>
              <w:t>3</w:t>
            </w:r>
            <w:r>
              <w:rPr>
                <w:rFonts w:hint="eastAsia" w:ascii="Times New Roman" w:hAnsi="Times New Roman" w:eastAsia="宋体" w:cs="Times New Roman"/>
                <w:b w:val="0"/>
                <w:bCs w:val="0"/>
                <w:color w:val="auto"/>
                <w:sz w:val="24"/>
                <w:lang w:val="en-US" w:eastAsia="zh-CN"/>
              </w:rPr>
              <w:t>-原料。</w:t>
            </w:r>
          </w:p>
          <w:p w14:paraId="297248DA">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项目热风炉烘干系统天然气燃烧尾气产生情况见下表</w:t>
            </w:r>
            <w:r>
              <w:rPr>
                <w:rFonts w:hint="eastAsia" w:cs="Times New Roman"/>
                <w:b w:val="0"/>
                <w:bCs w:val="0"/>
                <w:color w:val="auto"/>
                <w:sz w:val="24"/>
                <w:lang w:val="en-US" w:eastAsia="zh-CN"/>
              </w:rPr>
              <w:t>：</w:t>
            </w:r>
          </w:p>
          <w:p w14:paraId="4654906B">
            <w:pPr>
              <w:numPr>
                <w:ilvl w:val="0"/>
                <w:numId w:val="6"/>
              </w:numPr>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热风炉烘干系统天然气燃烧废气产生情况一览表</w:t>
            </w:r>
          </w:p>
          <w:tbl>
            <w:tblPr>
              <w:tblStyle w:val="27"/>
              <w:tblW w:w="8045" w:type="dxa"/>
              <w:tblInd w:w="5"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18"/>
              <w:gridCol w:w="1016"/>
              <w:gridCol w:w="1131"/>
              <w:gridCol w:w="1350"/>
              <w:gridCol w:w="2289"/>
              <w:gridCol w:w="1341"/>
            </w:tblGrid>
            <w:tr w14:paraId="3B043F7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918" w:type="dxa"/>
                  <w:tcBorders>
                    <w:tl2br w:val="nil"/>
                    <w:tr2bl w:val="nil"/>
                  </w:tcBorders>
                  <w:vAlign w:val="center"/>
                </w:tcPr>
                <w:p w14:paraId="5201490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排放源</w:t>
                  </w:r>
                </w:p>
              </w:tc>
              <w:tc>
                <w:tcPr>
                  <w:tcW w:w="1016" w:type="dxa"/>
                  <w:tcBorders>
                    <w:tl2br w:val="nil"/>
                    <w:tr2bl w:val="nil"/>
                  </w:tcBorders>
                  <w:vAlign w:val="center"/>
                </w:tcPr>
                <w:p w14:paraId="636DDBF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原料用量</w:t>
                  </w:r>
                </w:p>
              </w:tc>
              <w:tc>
                <w:tcPr>
                  <w:tcW w:w="1131" w:type="dxa"/>
                  <w:tcBorders>
                    <w:tl2br w:val="nil"/>
                    <w:tr2bl w:val="nil"/>
                  </w:tcBorders>
                  <w:vAlign w:val="center"/>
                </w:tcPr>
                <w:p w14:paraId="626EBE7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废气量（万m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/a）</w:t>
                  </w:r>
                </w:p>
              </w:tc>
              <w:tc>
                <w:tcPr>
                  <w:tcW w:w="1350" w:type="dxa"/>
                  <w:tcBorders>
                    <w:tl2br w:val="nil"/>
                    <w:tr2bl w:val="nil"/>
                  </w:tcBorders>
                  <w:vAlign w:val="center"/>
                </w:tcPr>
                <w:p w14:paraId="11C013E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污染因子名称</w:t>
                  </w:r>
                </w:p>
              </w:tc>
              <w:tc>
                <w:tcPr>
                  <w:tcW w:w="2289" w:type="dxa"/>
                  <w:tcBorders>
                    <w:tl2br w:val="nil"/>
                    <w:tr2bl w:val="nil"/>
                  </w:tcBorders>
                  <w:vAlign w:val="center"/>
                </w:tcPr>
                <w:p w14:paraId="63DB933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产污系数</w:t>
                  </w:r>
                </w:p>
              </w:tc>
              <w:tc>
                <w:tcPr>
                  <w:tcW w:w="1341" w:type="dxa"/>
                  <w:tcBorders>
                    <w:tl2br w:val="nil"/>
                    <w:tr2bl w:val="nil"/>
                  </w:tcBorders>
                  <w:vAlign w:val="center"/>
                </w:tcPr>
                <w:p w14:paraId="104B2EA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产生量（t/a）</w:t>
                  </w:r>
                </w:p>
              </w:tc>
            </w:tr>
            <w:tr w14:paraId="43F0BB2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918" w:type="dxa"/>
                  <w:vMerge w:val="restart"/>
                  <w:tcBorders>
                    <w:tl2br w:val="nil"/>
                    <w:tr2bl w:val="nil"/>
                  </w:tcBorders>
                  <w:vAlign w:val="center"/>
                </w:tcPr>
                <w:p w14:paraId="207A41D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热风炉燃烧器</w:t>
                  </w:r>
                </w:p>
              </w:tc>
              <w:tc>
                <w:tcPr>
                  <w:tcW w:w="1016" w:type="dxa"/>
                  <w:vMerge w:val="restart"/>
                  <w:tcBorders>
                    <w:tl2br w:val="nil"/>
                    <w:tr2bl w:val="nil"/>
                  </w:tcBorders>
                  <w:vAlign w:val="center"/>
                </w:tcPr>
                <w:p w14:paraId="2C2C709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50万m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/a（天然气）</w:t>
                  </w:r>
                </w:p>
              </w:tc>
              <w:tc>
                <w:tcPr>
                  <w:tcW w:w="1131" w:type="dxa"/>
                  <w:vMerge w:val="restart"/>
                  <w:tcBorders>
                    <w:tl2br w:val="nil"/>
                    <w:tr2bl w:val="nil"/>
                  </w:tcBorders>
                  <w:vAlign w:val="center"/>
                </w:tcPr>
                <w:p w14:paraId="5F2D9C0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680</w:t>
                  </w:r>
                </w:p>
              </w:tc>
              <w:tc>
                <w:tcPr>
                  <w:tcW w:w="1350" w:type="dxa"/>
                  <w:tcBorders>
                    <w:tl2br w:val="nil"/>
                    <w:tr2bl w:val="nil"/>
                  </w:tcBorders>
                  <w:vAlign w:val="center"/>
                </w:tcPr>
                <w:p w14:paraId="5F4291E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颗粒物</w:t>
                  </w:r>
                </w:p>
              </w:tc>
              <w:tc>
                <w:tcPr>
                  <w:tcW w:w="2289" w:type="dxa"/>
                  <w:tcBorders>
                    <w:tl2br w:val="nil"/>
                    <w:tr2bl w:val="nil"/>
                  </w:tcBorders>
                  <w:vAlign w:val="center"/>
                </w:tcPr>
                <w:p w14:paraId="60AF4EC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0.000286kg/m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原料</w:t>
                  </w:r>
                </w:p>
              </w:tc>
              <w:tc>
                <w:tcPr>
                  <w:tcW w:w="1341" w:type="dxa"/>
                  <w:tcBorders>
                    <w:tl2br w:val="nil"/>
                    <w:tr2bl w:val="nil"/>
                  </w:tcBorders>
                  <w:vAlign w:val="center"/>
                </w:tcPr>
                <w:p w14:paraId="693D808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0.143</w:t>
                  </w:r>
                </w:p>
              </w:tc>
            </w:tr>
            <w:tr w14:paraId="11963DD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918" w:type="dxa"/>
                  <w:vMerge w:val="continue"/>
                  <w:tcBorders>
                    <w:tl2br w:val="nil"/>
                    <w:tr2bl w:val="nil"/>
                  </w:tcBorders>
                  <w:vAlign w:val="center"/>
                </w:tcPr>
                <w:p w14:paraId="453943A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16" w:type="dxa"/>
                  <w:vMerge w:val="continue"/>
                  <w:tcBorders>
                    <w:tl2br w:val="nil"/>
                    <w:tr2bl w:val="nil"/>
                  </w:tcBorders>
                  <w:vAlign w:val="center"/>
                </w:tcPr>
                <w:p w14:paraId="0A13A96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131" w:type="dxa"/>
                  <w:vMerge w:val="continue"/>
                  <w:tcBorders>
                    <w:tl2br w:val="nil"/>
                    <w:tr2bl w:val="nil"/>
                  </w:tcBorders>
                  <w:vAlign w:val="center"/>
                </w:tcPr>
                <w:p w14:paraId="6851A3A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50" w:type="dxa"/>
                  <w:tcBorders>
                    <w:tl2br w:val="nil"/>
                    <w:tr2bl w:val="nil"/>
                  </w:tcBorders>
                  <w:vAlign w:val="center"/>
                </w:tcPr>
                <w:p w14:paraId="70AF20D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NO</w:t>
                  </w:r>
                  <w:r>
                    <w:rPr>
                      <w:rFonts w:hint="default" w:ascii="Times New Roman" w:hAnsi="Times New Roman" w:eastAsia="宋体" w:cs="Times New Roman"/>
                      <w:b w:val="0"/>
                      <w:bCs w:val="0"/>
                      <w:color w:val="auto"/>
                      <w:sz w:val="21"/>
                      <w:szCs w:val="21"/>
                      <w:vertAlign w:val="subscript"/>
                      <w:lang w:val="en-US" w:eastAsia="zh-CN"/>
                    </w:rPr>
                    <w:t>x</w:t>
                  </w:r>
                </w:p>
              </w:tc>
              <w:tc>
                <w:tcPr>
                  <w:tcW w:w="2289" w:type="dxa"/>
                  <w:tcBorders>
                    <w:tl2br w:val="nil"/>
                    <w:tr2bl w:val="nil"/>
                  </w:tcBorders>
                  <w:vAlign w:val="center"/>
                </w:tcPr>
                <w:p w14:paraId="1DAD4F6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0.00187kg/m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-原料</w:t>
                  </w:r>
                </w:p>
              </w:tc>
              <w:tc>
                <w:tcPr>
                  <w:tcW w:w="1341" w:type="dxa"/>
                  <w:tcBorders>
                    <w:tl2br w:val="nil"/>
                    <w:tr2bl w:val="nil"/>
                  </w:tcBorders>
                  <w:vAlign w:val="center"/>
                </w:tcPr>
                <w:p w14:paraId="5DCAD89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0.935</w:t>
                  </w:r>
                </w:p>
              </w:tc>
            </w:tr>
            <w:tr w14:paraId="72B0A09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918" w:type="dxa"/>
                  <w:vMerge w:val="continue"/>
                  <w:tcBorders>
                    <w:tl2br w:val="nil"/>
                    <w:tr2bl w:val="nil"/>
                  </w:tcBorders>
                  <w:vAlign w:val="center"/>
                </w:tcPr>
                <w:p w14:paraId="4E24432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16" w:type="dxa"/>
                  <w:vMerge w:val="continue"/>
                  <w:tcBorders>
                    <w:tl2br w:val="nil"/>
                    <w:tr2bl w:val="nil"/>
                  </w:tcBorders>
                  <w:vAlign w:val="center"/>
                </w:tcPr>
                <w:p w14:paraId="10AF8F0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131" w:type="dxa"/>
                  <w:vMerge w:val="continue"/>
                  <w:tcBorders>
                    <w:tl2br w:val="nil"/>
                    <w:tr2bl w:val="nil"/>
                  </w:tcBorders>
                  <w:vAlign w:val="center"/>
                </w:tcPr>
                <w:p w14:paraId="3018D6E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50" w:type="dxa"/>
                  <w:tcBorders>
                    <w:tl2br w:val="nil"/>
                    <w:tr2bl w:val="nil"/>
                  </w:tcBorders>
                  <w:vAlign w:val="center"/>
                </w:tcPr>
                <w:p w14:paraId="2F5B43B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SO</w:t>
                  </w:r>
                  <w:r>
                    <w:rPr>
                      <w:rFonts w:hint="default" w:ascii="Times New Roman" w:hAnsi="Times New Roman" w:eastAsia="宋体" w:cs="Times New Roman"/>
                      <w:b w:val="0"/>
                      <w:bCs w:val="0"/>
                      <w:color w:val="auto"/>
                      <w:sz w:val="21"/>
                      <w:szCs w:val="21"/>
                      <w:vertAlign w:val="subscript"/>
                      <w:lang w:val="en-US" w:eastAsia="zh-CN"/>
                    </w:rPr>
                    <w:t>2</w:t>
                  </w:r>
                </w:p>
              </w:tc>
              <w:tc>
                <w:tcPr>
                  <w:tcW w:w="2289" w:type="dxa"/>
                  <w:tcBorders>
                    <w:tl2br w:val="nil"/>
                    <w:tr2bl w:val="nil"/>
                  </w:tcBorders>
                  <w:vAlign w:val="center"/>
                </w:tcPr>
                <w:p w14:paraId="550FF59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0.000002Skg/m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-原料</w:t>
                  </w:r>
                </w:p>
              </w:tc>
              <w:tc>
                <w:tcPr>
                  <w:tcW w:w="1341" w:type="dxa"/>
                  <w:tcBorders>
                    <w:tl2br w:val="nil"/>
                    <w:tr2bl w:val="nil"/>
                  </w:tcBorders>
                  <w:vAlign w:val="center"/>
                </w:tcPr>
                <w:p w14:paraId="6BCEC4E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0.02</w:t>
                  </w:r>
                </w:p>
              </w:tc>
            </w:tr>
          </w:tbl>
          <w:p w14:paraId="289526D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p>
          <w:p w14:paraId="0ED61905">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③成品煤粉仓储罐粉尘</w:t>
            </w:r>
          </w:p>
          <w:p w14:paraId="652FBF92">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项目成品煤粉仓储罐粉尘主要来自成品煤粉装卸、存贮过程。成品煤粉筒仓为封闭结构，筒仓卸料时粉尘产生量参考《逸散性工业粉尘控制技术》中“表22-1混凝土分批搅拌厂的散逸尘排放因子”中“卸水泥至高架贮仓”排污系数0.12kg/t粉料。</w:t>
            </w:r>
            <w:r>
              <w:rPr>
                <w:rFonts w:hint="eastAsia" w:ascii="Times New Roman" w:hAnsi="Times New Roman" w:eastAsia="宋体" w:cs="Times New Roman"/>
                <w:b w:val="0"/>
                <w:bCs w:val="0"/>
                <w:color w:val="auto"/>
                <w:sz w:val="24"/>
                <w:highlight w:val="none"/>
                <w:lang w:val="en-US" w:eastAsia="zh-CN"/>
              </w:rPr>
              <w:t>项目煤粉产量为10万t/a，则成品煤粉仓储罐粉尘产生量为12.0t/a。</w:t>
            </w:r>
          </w:p>
          <w:p w14:paraId="1305EC5D">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综上，煤粉生产线废气产生量见下表：</w:t>
            </w:r>
          </w:p>
          <w:p w14:paraId="2CD3B12F">
            <w:pPr>
              <w:numPr>
                <w:ilvl w:val="0"/>
                <w:numId w:val="6"/>
              </w:numPr>
              <w:jc w:val="center"/>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bCs/>
                <w:szCs w:val="21"/>
                <w:highlight w:val="none"/>
                <w:lang w:val="en-US" w:eastAsia="zh-CN"/>
              </w:rPr>
              <w:t>煤粉生产线废气产生量一览表</w:t>
            </w:r>
          </w:p>
          <w:tbl>
            <w:tblPr>
              <w:tblStyle w:val="27"/>
              <w:tblW w:w="8045"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681"/>
              <w:gridCol w:w="2682"/>
              <w:gridCol w:w="2682"/>
            </w:tblGrid>
            <w:tr w14:paraId="60AEFCD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681" w:type="dxa"/>
                  <w:tcBorders>
                    <w:tl2br w:val="nil"/>
                    <w:tr2bl w:val="nil"/>
                  </w:tcBorders>
                  <w:vAlign w:val="center"/>
                </w:tcPr>
                <w:p w14:paraId="58CB154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污染物类型</w:t>
                  </w:r>
                </w:p>
              </w:tc>
              <w:tc>
                <w:tcPr>
                  <w:tcW w:w="2682" w:type="dxa"/>
                  <w:tcBorders>
                    <w:tl2br w:val="nil"/>
                    <w:tr2bl w:val="nil"/>
                  </w:tcBorders>
                  <w:vAlign w:val="center"/>
                </w:tcPr>
                <w:p w14:paraId="23E1F09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污染物种类</w:t>
                  </w:r>
                </w:p>
              </w:tc>
              <w:tc>
                <w:tcPr>
                  <w:tcW w:w="2682" w:type="dxa"/>
                  <w:tcBorders>
                    <w:tl2br w:val="nil"/>
                    <w:tr2bl w:val="nil"/>
                  </w:tcBorders>
                  <w:vAlign w:val="center"/>
                </w:tcPr>
                <w:p w14:paraId="5BE2708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产生情况（t/a）</w:t>
                  </w:r>
                </w:p>
              </w:tc>
            </w:tr>
            <w:tr w14:paraId="13430E4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681" w:type="dxa"/>
                  <w:tcBorders>
                    <w:tl2br w:val="nil"/>
                    <w:tr2bl w:val="nil"/>
                  </w:tcBorders>
                  <w:vAlign w:val="center"/>
                </w:tcPr>
                <w:p w14:paraId="452C9F8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磨煤系统粉尘</w:t>
                  </w:r>
                </w:p>
              </w:tc>
              <w:tc>
                <w:tcPr>
                  <w:tcW w:w="2682" w:type="dxa"/>
                  <w:tcBorders>
                    <w:tl2br w:val="nil"/>
                    <w:tr2bl w:val="nil"/>
                  </w:tcBorders>
                  <w:vAlign w:val="center"/>
                </w:tcPr>
                <w:p w14:paraId="626BCC9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颗粒物</w:t>
                  </w:r>
                </w:p>
              </w:tc>
              <w:tc>
                <w:tcPr>
                  <w:tcW w:w="2682" w:type="dxa"/>
                  <w:tcBorders>
                    <w:tl2br w:val="nil"/>
                    <w:tr2bl w:val="nil"/>
                  </w:tcBorders>
                  <w:vAlign w:val="center"/>
                </w:tcPr>
                <w:p w14:paraId="122B7C4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5.0</w:t>
                  </w:r>
                </w:p>
              </w:tc>
            </w:tr>
            <w:tr w14:paraId="42C66A5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681" w:type="dxa"/>
                  <w:vMerge w:val="restart"/>
                  <w:tcBorders>
                    <w:tl2br w:val="nil"/>
                    <w:tr2bl w:val="nil"/>
                  </w:tcBorders>
                  <w:vAlign w:val="center"/>
                </w:tcPr>
                <w:p w14:paraId="5CB42A2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热风炉天然气燃烧废气</w:t>
                  </w:r>
                </w:p>
              </w:tc>
              <w:tc>
                <w:tcPr>
                  <w:tcW w:w="2682" w:type="dxa"/>
                  <w:tcBorders>
                    <w:tl2br w:val="nil"/>
                    <w:tr2bl w:val="nil"/>
                  </w:tcBorders>
                  <w:vAlign w:val="center"/>
                </w:tcPr>
                <w:p w14:paraId="00BAB62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颗粒物</w:t>
                  </w:r>
                </w:p>
              </w:tc>
              <w:tc>
                <w:tcPr>
                  <w:tcW w:w="2682" w:type="dxa"/>
                  <w:tcBorders>
                    <w:tl2br w:val="nil"/>
                    <w:tr2bl w:val="nil"/>
                  </w:tcBorders>
                  <w:vAlign w:val="center"/>
                </w:tcPr>
                <w:p w14:paraId="10324E3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0.143</w:t>
                  </w:r>
                </w:p>
              </w:tc>
            </w:tr>
            <w:tr w14:paraId="344906B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681" w:type="dxa"/>
                  <w:vMerge w:val="continue"/>
                  <w:tcBorders>
                    <w:tl2br w:val="nil"/>
                    <w:tr2bl w:val="nil"/>
                  </w:tcBorders>
                  <w:vAlign w:val="center"/>
                </w:tcPr>
                <w:p w14:paraId="6E8419A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2682" w:type="dxa"/>
                  <w:tcBorders>
                    <w:tl2br w:val="nil"/>
                    <w:tr2bl w:val="nil"/>
                  </w:tcBorders>
                  <w:shd w:val="clear" w:color="auto" w:fill="auto"/>
                  <w:vAlign w:val="center"/>
                </w:tcPr>
                <w:p w14:paraId="195BDD1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NO</w:t>
                  </w:r>
                  <w:r>
                    <w:rPr>
                      <w:rFonts w:hint="default" w:ascii="Times New Roman" w:hAnsi="Times New Roman" w:eastAsia="宋体" w:cs="Times New Roman"/>
                      <w:b w:val="0"/>
                      <w:bCs w:val="0"/>
                      <w:color w:val="auto"/>
                      <w:sz w:val="21"/>
                      <w:szCs w:val="21"/>
                      <w:vertAlign w:val="subscript"/>
                      <w:lang w:val="en-US" w:eastAsia="zh-CN"/>
                    </w:rPr>
                    <w:t>x</w:t>
                  </w:r>
                </w:p>
              </w:tc>
              <w:tc>
                <w:tcPr>
                  <w:tcW w:w="2682" w:type="dxa"/>
                  <w:tcBorders>
                    <w:tl2br w:val="nil"/>
                    <w:tr2bl w:val="nil"/>
                  </w:tcBorders>
                  <w:vAlign w:val="center"/>
                </w:tcPr>
                <w:p w14:paraId="1C3A8C3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0.935</w:t>
                  </w:r>
                </w:p>
              </w:tc>
            </w:tr>
            <w:tr w14:paraId="24DE4F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681" w:type="dxa"/>
                  <w:vMerge w:val="continue"/>
                  <w:tcBorders>
                    <w:tl2br w:val="nil"/>
                    <w:tr2bl w:val="nil"/>
                  </w:tcBorders>
                  <w:vAlign w:val="center"/>
                </w:tcPr>
                <w:p w14:paraId="548D015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2682" w:type="dxa"/>
                  <w:tcBorders>
                    <w:tl2br w:val="nil"/>
                    <w:tr2bl w:val="nil"/>
                  </w:tcBorders>
                  <w:shd w:val="clear" w:color="auto" w:fill="auto"/>
                  <w:vAlign w:val="center"/>
                </w:tcPr>
                <w:p w14:paraId="0146D4A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SO</w:t>
                  </w:r>
                  <w:r>
                    <w:rPr>
                      <w:rFonts w:hint="default" w:ascii="Times New Roman" w:hAnsi="Times New Roman" w:eastAsia="宋体" w:cs="Times New Roman"/>
                      <w:b w:val="0"/>
                      <w:bCs w:val="0"/>
                      <w:color w:val="auto"/>
                      <w:sz w:val="21"/>
                      <w:szCs w:val="21"/>
                      <w:vertAlign w:val="subscript"/>
                      <w:lang w:val="en-US" w:eastAsia="zh-CN"/>
                    </w:rPr>
                    <w:t>2</w:t>
                  </w:r>
                </w:p>
              </w:tc>
              <w:tc>
                <w:tcPr>
                  <w:tcW w:w="2682" w:type="dxa"/>
                  <w:tcBorders>
                    <w:tl2br w:val="nil"/>
                    <w:tr2bl w:val="nil"/>
                  </w:tcBorders>
                  <w:vAlign w:val="center"/>
                </w:tcPr>
                <w:p w14:paraId="38E7388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0.02</w:t>
                  </w:r>
                </w:p>
              </w:tc>
            </w:tr>
            <w:tr w14:paraId="30519C2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681" w:type="dxa"/>
                  <w:tcBorders>
                    <w:tl2br w:val="nil"/>
                    <w:tr2bl w:val="nil"/>
                  </w:tcBorders>
                  <w:vAlign w:val="center"/>
                </w:tcPr>
                <w:p w14:paraId="76C683F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成品煤粉仓储罐粉尘</w:t>
                  </w:r>
                </w:p>
              </w:tc>
              <w:tc>
                <w:tcPr>
                  <w:tcW w:w="2682" w:type="dxa"/>
                  <w:tcBorders>
                    <w:tl2br w:val="nil"/>
                    <w:tr2bl w:val="nil"/>
                  </w:tcBorders>
                  <w:vAlign w:val="center"/>
                </w:tcPr>
                <w:p w14:paraId="4463E2F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颗粒物</w:t>
                  </w:r>
                </w:p>
              </w:tc>
              <w:tc>
                <w:tcPr>
                  <w:tcW w:w="2682" w:type="dxa"/>
                  <w:tcBorders>
                    <w:tl2br w:val="nil"/>
                    <w:tr2bl w:val="nil"/>
                  </w:tcBorders>
                  <w:vAlign w:val="center"/>
                </w:tcPr>
                <w:p w14:paraId="170E171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12.0</w:t>
                  </w:r>
                </w:p>
              </w:tc>
            </w:tr>
          </w:tbl>
          <w:p w14:paraId="02FD82A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p>
          <w:p w14:paraId="722FD7F2">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（2）收集治理措施</w:t>
            </w:r>
          </w:p>
          <w:p w14:paraId="618EF9E9">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①磨煤系统粉尘、热风炉天然气燃烧废气</w:t>
            </w:r>
          </w:p>
          <w:p w14:paraId="0A124D6B">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燃气在热风炉内充分燃烧后，在热风炉内的混风箱与循环烟气混合，形成温度约350℃的热风，在负压的作用下进入磨机烘干物料，通过引风机循环至热风炉与燃烧烟气混合，磨煤机为封闭结构，产尘工序处设有集气管道，产生的粉尘和天然气燃烧废气经吸尘管道收集至高温布袋除尘器（TA004）处理，经高温布袋除尘器处理后通过15m高排气筒（DA004）排放。</w:t>
            </w:r>
          </w:p>
          <w:p w14:paraId="53BAB4DB">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根据建设单位提供的资料，磨煤系统除尘系统设计风量为69000m</w:t>
            </w:r>
            <w:r>
              <w:rPr>
                <w:rFonts w:hint="eastAsia" w:ascii="Times New Roman" w:hAnsi="Times New Roman" w:eastAsia="宋体" w:cs="Times New Roman"/>
                <w:b w:val="0"/>
                <w:bCs w:val="0"/>
                <w:color w:val="auto"/>
                <w:sz w:val="24"/>
                <w:vertAlign w:val="superscript"/>
                <w:lang w:val="en-US" w:eastAsia="zh-CN"/>
              </w:rPr>
              <w:t>3</w:t>
            </w:r>
            <w:r>
              <w:rPr>
                <w:rFonts w:hint="eastAsia" w:ascii="Times New Roman" w:hAnsi="Times New Roman" w:eastAsia="宋体" w:cs="Times New Roman"/>
                <w:b w:val="0"/>
                <w:bCs w:val="0"/>
                <w:color w:val="auto"/>
                <w:sz w:val="24"/>
                <w:lang w:val="en-US" w:eastAsia="zh-CN"/>
              </w:rPr>
              <w:t>/h，收集效率95%。参考《3021水泥制品制造（含3022砼结构构件制造、3029其他水泥类似制品制造）行业系数手册》中袋式除尘末端治理技术平均去除效率为99.7%。煤粉生产设备设置在封闭生产车间内，车间顶部设置喷雾降尘装置，参照《排放源统计调查产排污核算方法及系数手册》中《固体物料堆存颗粒物产排污核算系数手册》附录4粉尘控制措施控制效率表、附录5堆场类型控制效率，封闭厂房颗粒物控制效率为99%，喷雾降尘效率为74%，因此，煤粉生产过程中无组织逸散的粉尘绝大多数粉尘沉降在生产车间内。</w:t>
            </w:r>
          </w:p>
          <w:p w14:paraId="4A62FC51">
            <w:pPr>
              <w:autoSpaceDE w:val="0"/>
              <w:autoSpaceDN w:val="0"/>
              <w:spacing w:line="360" w:lineRule="auto"/>
              <w:ind w:firstLine="482" w:firstLineChars="200"/>
              <w:rPr>
                <w:rFonts w:hint="default" w:ascii="Times New Roman" w:hAnsi="Times New Roman" w:eastAsia="宋体" w:cs="Times New Roman"/>
                <w:b w:val="0"/>
                <w:bCs w:val="0"/>
                <w:color w:val="auto"/>
                <w:sz w:val="24"/>
                <w:lang w:val="en-US" w:eastAsia="zh-CN"/>
              </w:rPr>
            </w:pPr>
            <w:r>
              <w:rPr>
                <w:rFonts w:hint="eastAsia" w:ascii="Times New Roman" w:hAnsi="Times New Roman" w:eastAsia="宋体" w:cs="Times New Roman"/>
                <w:b/>
                <w:bCs/>
                <w:color w:val="auto"/>
                <w:sz w:val="24"/>
                <w:lang w:val="en-US" w:eastAsia="zh-CN"/>
              </w:rPr>
              <w:t>②成品煤粉仓储罐粉尘</w:t>
            </w:r>
          </w:p>
          <w:p w14:paraId="098D9CA2">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项目设有成品煤粉仓，筒仓顶部设有呼吸口，仓顶呼吸口处安装有布袋除尘器，粉尘经仓顶布袋除尘器处理后无组织排放。参考《3021水泥制品制造（含3022砼结构构件制造、3029其他水泥类似制品制造）行业系数手册》中袋式除尘末端治理技术平均去除效率为99.7%</w:t>
            </w:r>
            <w:r>
              <w:rPr>
                <w:rFonts w:hint="eastAsia" w:cs="Times New Roman"/>
                <w:b w:val="0"/>
                <w:bCs w:val="0"/>
                <w:color w:val="auto"/>
                <w:sz w:val="24"/>
                <w:lang w:val="en-US" w:eastAsia="zh-CN"/>
              </w:rPr>
              <w:t>，成品煤粉仓</w:t>
            </w:r>
            <w:r>
              <w:rPr>
                <w:rFonts w:hint="eastAsia" w:ascii="Times New Roman" w:hAnsi="Times New Roman" w:eastAsia="宋体" w:cs="Times New Roman"/>
                <w:b w:val="0"/>
                <w:bCs w:val="0"/>
                <w:color w:val="auto"/>
                <w:sz w:val="24"/>
                <w:lang w:val="en-US" w:eastAsia="zh-CN"/>
              </w:rPr>
              <w:t>设置在封闭生产车间内，车间顶部设置喷雾降尘装置，参照《排放源统计调查产排污核算方法及系数手册》中《固体物料堆存颗粒物产排污核算系数手册》附录4粉尘控制措施控制效率表、附录5堆场类型控制效率，封闭厂房颗粒物控制效率为99%，喷雾降尘效率为74%，因此，煤粉生产过程中无组织逸散的粉尘绝大多数粉尘沉降在生产车间内。</w:t>
            </w:r>
          </w:p>
          <w:p w14:paraId="63BC9CE1">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1.1.</w:t>
            </w:r>
            <w:r>
              <w:rPr>
                <w:rFonts w:hint="eastAsia" w:cs="Times New Roman"/>
                <w:b/>
                <w:bCs/>
                <w:color w:val="auto"/>
                <w:sz w:val="24"/>
                <w:lang w:val="en-US" w:eastAsia="zh-CN"/>
              </w:rPr>
              <w:t>3</w:t>
            </w:r>
            <w:r>
              <w:rPr>
                <w:rFonts w:hint="eastAsia" w:ascii="Times New Roman" w:hAnsi="Times New Roman" w:eastAsia="宋体" w:cs="Times New Roman"/>
                <w:b/>
                <w:bCs/>
                <w:color w:val="auto"/>
                <w:sz w:val="24"/>
                <w:lang w:val="en-US" w:eastAsia="zh-CN"/>
              </w:rPr>
              <w:t>再生料（废沥青混凝土层）预处理</w:t>
            </w:r>
          </w:p>
          <w:p w14:paraId="3CBDC361">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本项目再生料（废沥青混凝土层）预处理工段产生的废气主要有：投料粉尘、破碎粉尘、筛分粉尘，废气产生及治理情况如下：</w:t>
            </w:r>
          </w:p>
          <w:p w14:paraId="07C26F7C">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（1）产生情况</w:t>
            </w:r>
          </w:p>
          <w:p w14:paraId="71AA78CE">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①投料粉尘</w:t>
            </w:r>
          </w:p>
          <w:p w14:paraId="5FE84CCC">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项目采用装载机投料，将再生料（废沥青混凝土层）投入破碎机</w:t>
            </w:r>
            <w:r>
              <w:rPr>
                <w:rFonts w:hint="eastAsia" w:cs="Times New Roman"/>
                <w:b w:val="0"/>
                <w:bCs w:val="0"/>
                <w:color w:val="auto"/>
                <w:sz w:val="24"/>
                <w:lang w:val="en-US" w:eastAsia="zh-CN"/>
              </w:rPr>
              <w:t>进料口</w:t>
            </w:r>
            <w:r>
              <w:rPr>
                <w:rFonts w:hint="eastAsia" w:ascii="Times New Roman" w:hAnsi="Times New Roman" w:eastAsia="宋体" w:cs="Times New Roman"/>
                <w:b w:val="0"/>
                <w:bCs w:val="0"/>
                <w:color w:val="auto"/>
                <w:sz w:val="24"/>
                <w:lang w:val="en-US" w:eastAsia="zh-CN"/>
              </w:rPr>
              <w:t>，该工序会产生投料粉尘。参照中国环境科学出版社出版的《逸散性工业粉尘控制技术》中混凝土分批搅拌厂的逸散尘排放因子中“装水泥、砂和粒料入称量斗”排放因子为0.01kg/t-原料，</w:t>
            </w:r>
            <w:r>
              <w:rPr>
                <w:rFonts w:hint="eastAsia" w:ascii="Times New Roman" w:hAnsi="Times New Roman" w:eastAsia="宋体" w:cs="Times New Roman"/>
                <w:b w:val="0"/>
                <w:bCs w:val="0"/>
                <w:color w:val="auto"/>
                <w:sz w:val="24"/>
                <w:highlight w:val="none"/>
                <w:lang w:val="en-US" w:eastAsia="zh-CN"/>
              </w:rPr>
              <w:t>本项目再生料（废沥青混凝土层）投加量约33410t/a，则投料过程中颗粒物产生量为</w:t>
            </w:r>
            <w:r>
              <w:rPr>
                <w:rFonts w:hint="eastAsia" w:cs="Times New Roman"/>
                <w:b w:val="0"/>
                <w:bCs w:val="0"/>
                <w:color w:val="auto"/>
                <w:sz w:val="24"/>
                <w:highlight w:val="none"/>
                <w:lang w:val="en-US" w:eastAsia="zh-CN"/>
              </w:rPr>
              <w:t>0.3341</w:t>
            </w:r>
            <w:r>
              <w:rPr>
                <w:rFonts w:hint="eastAsia" w:ascii="Times New Roman" w:hAnsi="Times New Roman" w:eastAsia="宋体" w:cs="Times New Roman"/>
                <w:b w:val="0"/>
                <w:bCs w:val="0"/>
                <w:color w:val="auto"/>
                <w:sz w:val="24"/>
                <w:highlight w:val="none"/>
                <w:lang w:val="en-US" w:eastAsia="zh-CN"/>
              </w:rPr>
              <w:t>t/a。</w:t>
            </w:r>
          </w:p>
          <w:p w14:paraId="2D484459">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②破碎粉尘、筛分粉尘</w:t>
            </w:r>
          </w:p>
          <w:p w14:paraId="5A90F5DF">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本项目直接外购的骨料（碎石、机砂）无需破碎筛分，仅对再生料（废沥青混凝土层）进行破碎筛分，该过程会产生粉尘。</w:t>
            </w:r>
            <w:r>
              <w:rPr>
                <w:rFonts w:hint="eastAsia" w:ascii="Times New Roman" w:hAnsi="Times New Roman" w:eastAsia="宋体" w:cs="Times New Roman"/>
                <w:b w:val="0"/>
                <w:bCs w:val="0"/>
                <w:color w:val="auto"/>
                <w:sz w:val="24"/>
                <w:highlight w:val="none"/>
                <w:lang w:val="en-US" w:eastAsia="zh-CN"/>
              </w:rPr>
              <w:t>参考《排放源统计调查产排污核算方法及系数手册》3099其他非金属矿物制品制造行业，破碎工序颗粒物产污系数为1.13kg/t-产品，筛分工序颗粒物产污系数为1.13kg/t-产品。</w:t>
            </w:r>
            <w:r>
              <w:rPr>
                <w:rFonts w:hint="eastAsia" w:ascii="Times New Roman" w:hAnsi="Times New Roman" w:eastAsia="宋体" w:cs="Times New Roman"/>
                <w:b w:val="0"/>
                <w:bCs w:val="0"/>
                <w:color w:val="auto"/>
                <w:sz w:val="24"/>
                <w:lang w:val="en-US" w:eastAsia="zh-CN"/>
              </w:rPr>
              <w:t>本项目经预处理后的再生料（废沥青混凝土层）</w:t>
            </w:r>
            <w:r>
              <w:rPr>
                <w:rFonts w:hint="eastAsia" w:ascii="Times New Roman" w:hAnsi="Times New Roman" w:eastAsia="宋体" w:cs="Times New Roman"/>
                <w:b w:val="0"/>
                <w:bCs w:val="0"/>
                <w:color w:val="auto"/>
                <w:sz w:val="24"/>
                <w:highlight w:val="none"/>
                <w:lang w:val="en-US" w:eastAsia="zh-CN"/>
              </w:rPr>
              <w:t>约33410t/a，</w:t>
            </w:r>
            <w:r>
              <w:rPr>
                <w:rFonts w:hint="eastAsia" w:ascii="Times New Roman" w:hAnsi="Times New Roman" w:eastAsia="宋体" w:cs="Times New Roman"/>
                <w:b w:val="0"/>
                <w:bCs w:val="0"/>
                <w:color w:val="auto"/>
                <w:sz w:val="24"/>
                <w:lang w:val="en-US" w:eastAsia="zh-CN"/>
              </w:rPr>
              <w:t>则破碎工序颗粒物产生量</w:t>
            </w:r>
            <w:r>
              <w:rPr>
                <w:rFonts w:hint="eastAsia" w:ascii="Times New Roman" w:hAnsi="Times New Roman" w:eastAsia="宋体" w:cs="Times New Roman"/>
                <w:b w:val="0"/>
                <w:bCs w:val="0"/>
                <w:color w:val="auto"/>
                <w:sz w:val="24"/>
                <w:highlight w:val="none"/>
                <w:lang w:val="en-US" w:eastAsia="zh-CN"/>
              </w:rPr>
              <w:t>为37.7533t/a，筛分工序颗粒物产生量为37.7533t/a。</w:t>
            </w:r>
          </w:p>
          <w:p w14:paraId="64165279">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综上，再生料（废沥青混凝土层）预处理废气产生量见下表：</w:t>
            </w:r>
          </w:p>
          <w:p w14:paraId="296FA4AE">
            <w:pPr>
              <w:numPr>
                <w:ilvl w:val="0"/>
                <w:numId w:val="6"/>
              </w:numPr>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再生料（废沥青混凝土层）预处理废气产生量一览表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681"/>
              <w:gridCol w:w="2682"/>
              <w:gridCol w:w="2682"/>
            </w:tblGrid>
            <w:tr w14:paraId="26E645E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681" w:type="dxa"/>
                  <w:tcBorders>
                    <w:tl2br w:val="nil"/>
                    <w:tr2bl w:val="nil"/>
                  </w:tcBorders>
                  <w:vAlign w:val="center"/>
                </w:tcPr>
                <w:p w14:paraId="76A8820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污染物类型</w:t>
                  </w:r>
                </w:p>
              </w:tc>
              <w:tc>
                <w:tcPr>
                  <w:tcW w:w="2682" w:type="dxa"/>
                  <w:tcBorders>
                    <w:tl2br w:val="nil"/>
                    <w:tr2bl w:val="nil"/>
                  </w:tcBorders>
                  <w:vAlign w:val="center"/>
                </w:tcPr>
                <w:p w14:paraId="27F0B34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污染物种类</w:t>
                  </w:r>
                </w:p>
              </w:tc>
              <w:tc>
                <w:tcPr>
                  <w:tcW w:w="2682" w:type="dxa"/>
                  <w:tcBorders>
                    <w:tl2br w:val="nil"/>
                    <w:tr2bl w:val="nil"/>
                  </w:tcBorders>
                  <w:vAlign w:val="center"/>
                </w:tcPr>
                <w:p w14:paraId="64C7DCB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产生情况（t/a）</w:t>
                  </w:r>
                </w:p>
              </w:tc>
            </w:tr>
            <w:tr w14:paraId="5B38CAB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681" w:type="dxa"/>
                  <w:tcBorders>
                    <w:tl2br w:val="nil"/>
                    <w:tr2bl w:val="nil"/>
                  </w:tcBorders>
                  <w:vAlign w:val="center"/>
                </w:tcPr>
                <w:p w14:paraId="38E76D3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投料粉尘</w:t>
                  </w:r>
                </w:p>
              </w:tc>
              <w:tc>
                <w:tcPr>
                  <w:tcW w:w="2682" w:type="dxa"/>
                  <w:tcBorders>
                    <w:tl2br w:val="nil"/>
                    <w:tr2bl w:val="nil"/>
                  </w:tcBorders>
                  <w:vAlign w:val="center"/>
                </w:tcPr>
                <w:p w14:paraId="6A5AD4A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颗粒物</w:t>
                  </w:r>
                </w:p>
              </w:tc>
              <w:tc>
                <w:tcPr>
                  <w:tcW w:w="2682" w:type="dxa"/>
                  <w:tcBorders>
                    <w:tl2br w:val="nil"/>
                    <w:tr2bl w:val="nil"/>
                  </w:tcBorders>
                  <w:vAlign w:val="center"/>
                </w:tcPr>
                <w:p w14:paraId="4A53F8D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0.3341</w:t>
                  </w:r>
                </w:p>
              </w:tc>
            </w:tr>
            <w:tr w14:paraId="7E97B16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681" w:type="dxa"/>
                  <w:tcBorders>
                    <w:tl2br w:val="nil"/>
                    <w:tr2bl w:val="nil"/>
                  </w:tcBorders>
                  <w:vAlign w:val="center"/>
                </w:tcPr>
                <w:p w14:paraId="0625AFE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破碎粉尘</w:t>
                  </w:r>
                </w:p>
              </w:tc>
              <w:tc>
                <w:tcPr>
                  <w:tcW w:w="2682" w:type="dxa"/>
                  <w:tcBorders>
                    <w:tl2br w:val="nil"/>
                    <w:tr2bl w:val="nil"/>
                  </w:tcBorders>
                  <w:vAlign w:val="center"/>
                </w:tcPr>
                <w:p w14:paraId="4AC8DC3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颗粒物</w:t>
                  </w:r>
                </w:p>
              </w:tc>
              <w:tc>
                <w:tcPr>
                  <w:tcW w:w="2682" w:type="dxa"/>
                  <w:tcBorders>
                    <w:tl2br w:val="nil"/>
                    <w:tr2bl w:val="nil"/>
                  </w:tcBorders>
                  <w:vAlign w:val="center"/>
                </w:tcPr>
                <w:p w14:paraId="04F78A0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37.7533</w:t>
                  </w:r>
                </w:p>
              </w:tc>
            </w:tr>
            <w:tr w14:paraId="6CB12AF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681" w:type="dxa"/>
                  <w:tcBorders>
                    <w:tl2br w:val="nil"/>
                    <w:tr2bl w:val="nil"/>
                  </w:tcBorders>
                  <w:vAlign w:val="center"/>
                </w:tcPr>
                <w:p w14:paraId="17D1ADF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筛分粉尘</w:t>
                  </w:r>
                </w:p>
              </w:tc>
              <w:tc>
                <w:tcPr>
                  <w:tcW w:w="2682" w:type="dxa"/>
                  <w:tcBorders>
                    <w:tl2br w:val="nil"/>
                    <w:tr2bl w:val="nil"/>
                  </w:tcBorders>
                  <w:vAlign w:val="center"/>
                </w:tcPr>
                <w:p w14:paraId="7A67326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颗粒物</w:t>
                  </w:r>
                </w:p>
              </w:tc>
              <w:tc>
                <w:tcPr>
                  <w:tcW w:w="2682" w:type="dxa"/>
                  <w:tcBorders>
                    <w:tl2br w:val="nil"/>
                    <w:tr2bl w:val="nil"/>
                  </w:tcBorders>
                  <w:vAlign w:val="center"/>
                </w:tcPr>
                <w:p w14:paraId="01D7702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37.7533</w:t>
                  </w:r>
                </w:p>
              </w:tc>
            </w:tr>
          </w:tbl>
          <w:p w14:paraId="345AFA4F">
            <w:pPr>
              <w:autoSpaceDE w:val="0"/>
              <w:autoSpaceDN w:val="0"/>
              <w:spacing w:line="240" w:lineRule="auto"/>
              <w:ind w:firstLine="420" w:firstLineChars="200"/>
              <w:jc w:val="center"/>
              <w:rPr>
                <w:rFonts w:hint="eastAsia" w:ascii="Times New Roman" w:hAnsi="Times New Roman" w:eastAsia="宋体" w:cs="Times New Roman"/>
                <w:b w:val="0"/>
                <w:bCs w:val="0"/>
                <w:color w:val="auto"/>
                <w:sz w:val="21"/>
                <w:szCs w:val="21"/>
                <w:lang w:val="en-US" w:eastAsia="zh-CN"/>
              </w:rPr>
            </w:pPr>
          </w:p>
          <w:p w14:paraId="75973B92">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（2）收集治理措施</w:t>
            </w:r>
          </w:p>
          <w:p w14:paraId="0F475B9C">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项目破碎机、振动筛在破碎、筛分过程中为全密闭，且皮带运输机为密闭，仅物料在进出破碎机、振动筛时有粉尘逸散。本项目在破碎机、振动筛进出料口上方设置集气罩收集逸散的粉尘，粉尘收集至布袋除尘器（TA00</w:t>
            </w:r>
            <w:r>
              <w:rPr>
                <w:rFonts w:hint="eastAsia" w:cs="Times New Roman"/>
                <w:b w:val="0"/>
                <w:bCs w:val="0"/>
                <w:color w:val="auto"/>
                <w:sz w:val="24"/>
                <w:lang w:val="en-US" w:eastAsia="zh-CN"/>
              </w:rPr>
              <w:t>5</w:t>
            </w:r>
            <w:r>
              <w:rPr>
                <w:rFonts w:hint="eastAsia" w:ascii="Times New Roman" w:hAnsi="Times New Roman" w:eastAsia="宋体" w:cs="Times New Roman"/>
                <w:b w:val="0"/>
                <w:bCs w:val="0"/>
                <w:color w:val="auto"/>
                <w:sz w:val="24"/>
                <w:lang w:val="en-US" w:eastAsia="zh-CN"/>
              </w:rPr>
              <w:t>）处理，处理后通过15m高排气筒（DA00</w:t>
            </w:r>
            <w:r>
              <w:rPr>
                <w:rFonts w:hint="eastAsia" w:cs="Times New Roman"/>
                <w:b w:val="0"/>
                <w:bCs w:val="0"/>
                <w:color w:val="auto"/>
                <w:sz w:val="24"/>
                <w:lang w:val="en-US" w:eastAsia="zh-CN"/>
              </w:rPr>
              <w:t>5</w:t>
            </w:r>
            <w:r>
              <w:rPr>
                <w:rFonts w:hint="eastAsia" w:ascii="Times New Roman" w:hAnsi="Times New Roman" w:eastAsia="宋体" w:cs="Times New Roman"/>
                <w:b w:val="0"/>
                <w:bCs w:val="0"/>
                <w:color w:val="auto"/>
                <w:sz w:val="24"/>
                <w:lang w:val="en-US" w:eastAsia="zh-CN"/>
              </w:rPr>
              <w:t>）排放。收集效率90%，处理效率按99.7%计。此外，本项目</w:t>
            </w:r>
            <w:r>
              <w:rPr>
                <w:rFonts w:hint="eastAsia" w:cs="Times New Roman"/>
                <w:b w:val="0"/>
                <w:bCs w:val="0"/>
                <w:color w:val="auto"/>
                <w:sz w:val="24"/>
                <w:lang w:val="en-US" w:eastAsia="zh-CN"/>
              </w:rPr>
              <w:t>投料、</w:t>
            </w:r>
            <w:r>
              <w:rPr>
                <w:rFonts w:hint="eastAsia" w:ascii="Times New Roman" w:hAnsi="Times New Roman" w:eastAsia="宋体" w:cs="Times New Roman"/>
                <w:b w:val="0"/>
                <w:bCs w:val="0"/>
                <w:color w:val="auto"/>
                <w:sz w:val="24"/>
                <w:lang w:val="en-US" w:eastAsia="zh-CN"/>
              </w:rPr>
              <w:t>破碎</w:t>
            </w:r>
            <w:r>
              <w:rPr>
                <w:rFonts w:hint="eastAsia"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筛分</w:t>
            </w:r>
            <w:r>
              <w:rPr>
                <w:rFonts w:hint="eastAsia" w:cs="Times New Roman"/>
                <w:b w:val="0"/>
                <w:bCs w:val="0"/>
                <w:color w:val="auto"/>
                <w:sz w:val="24"/>
                <w:lang w:val="en-US" w:eastAsia="zh-CN"/>
              </w:rPr>
              <w:t>工序</w:t>
            </w:r>
            <w:r>
              <w:rPr>
                <w:rFonts w:hint="eastAsia" w:ascii="Times New Roman" w:hAnsi="Times New Roman" w:eastAsia="宋体" w:cs="Times New Roman"/>
                <w:b w:val="0"/>
                <w:bCs w:val="0"/>
                <w:color w:val="auto"/>
                <w:sz w:val="24"/>
                <w:lang w:val="en-US" w:eastAsia="zh-CN"/>
              </w:rPr>
              <w:t>位于厂房内</w:t>
            </w:r>
            <w:r>
              <w:rPr>
                <w:rFonts w:hint="eastAsia" w:cs="Times New Roman"/>
                <w:b w:val="0"/>
                <w:bCs w:val="0"/>
                <w:color w:val="auto"/>
                <w:sz w:val="24"/>
                <w:lang w:val="en-US" w:eastAsia="zh-CN"/>
              </w:rPr>
              <w:t>，且厂房顶部设置喷雾降尘装置</w:t>
            </w:r>
            <w:r>
              <w:rPr>
                <w:rFonts w:hint="eastAsia" w:ascii="Times New Roman" w:hAnsi="Times New Roman" w:eastAsia="宋体" w:cs="Times New Roman"/>
                <w:b w:val="0"/>
                <w:bCs w:val="0"/>
                <w:color w:val="auto"/>
                <w:sz w:val="24"/>
                <w:lang w:val="en-US" w:eastAsia="zh-CN"/>
              </w:rPr>
              <w:t>，参照《排放源统计调查产排污核算方法及系数手册》中</w:t>
            </w:r>
            <w:r>
              <w:rPr>
                <w:rFonts w:hint="eastAsia" w:ascii="Times New Roman" w:hAnsi="Times New Roman" w:eastAsia="宋体" w:cs="Times New Roman"/>
                <w:b w:val="0"/>
                <w:bCs w:val="0"/>
                <w:color w:val="auto"/>
                <w:sz w:val="24"/>
                <w:highlight w:val="none"/>
                <w:lang w:val="en-US" w:eastAsia="zh-CN"/>
              </w:rPr>
              <w:t>《固体物料堆存颗粒物产排污核算系数手册》附录4粉尘控制措施控制效率表、附录5堆场类型控制效率，封闭厂房颗粒物控制效率为99%，喷雾降尘效率为74%。</w:t>
            </w:r>
          </w:p>
          <w:p w14:paraId="445C3519">
            <w:pPr>
              <w:autoSpaceDE w:val="0"/>
              <w:autoSpaceDN w:val="0"/>
              <w:spacing w:line="360" w:lineRule="auto"/>
              <w:ind w:firstLine="482"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bCs/>
                <w:color w:val="auto"/>
                <w:sz w:val="24"/>
                <w:highlight w:val="none"/>
                <w:lang w:val="en-US" w:eastAsia="zh-CN"/>
              </w:rPr>
              <w:t>风量核算：</w:t>
            </w:r>
            <w:r>
              <w:rPr>
                <w:rFonts w:hint="eastAsia" w:ascii="Times New Roman" w:hAnsi="Times New Roman" w:eastAsia="宋体" w:cs="Times New Roman"/>
                <w:b w:val="0"/>
                <w:bCs w:val="0"/>
                <w:color w:val="auto"/>
                <w:sz w:val="24"/>
                <w:lang w:val="en-US" w:eastAsia="zh-CN"/>
              </w:rPr>
              <w:t>根据《环境工程设计手册》（2002年版），排风罩设置在污染源上方的排风量计算公式为：</w:t>
            </w:r>
          </w:p>
          <w:p w14:paraId="629BA887">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L=k*P*H*V</w:t>
            </w:r>
            <w:r>
              <w:rPr>
                <w:rFonts w:hint="eastAsia" w:ascii="Times New Roman" w:hAnsi="Times New Roman" w:eastAsia="宋体" w:cs="Times New Roman"/>
                <w:b w:val="0"/>
                <w:bCs w:val="0"/>
                <w:color w:val="auto"/>
                <w:sz w:val="24"/>
                <w:vertAlign w:val="subscript"/>
                <w:lang w:val="en-US" w:eastAsia="zh-CN"/>
              </w:rPr>
              <w:t>0</w:t>
            </w:r>
            <w:r>
              <w:rPr>
                <w:rFonts w:hint="eastAsia" w:ascii="Times New Roman" w:hAnsi="Times New Roman" w:eastAsia="宋体" w:cs="Times New Roman"/>
                <w:b w:val="0"/>
                <w:bCs w:val="0"/>
                <w:color w:val="auto"/>
                <w:sz w:val="24"/>
                <w:lang w:val="en-US" w:eastAsia="zh-CN"/>
              </w:rPr>
              <w:t>*3600</w:t>
            </w:r>
          </w:p>
          <w:p w14:paraId="21051D25">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式中：L—排风量，m</w:t>
            </w:r>
            <w:r>
              <w:rPr>
                <w:rFonts w:hint="eastAsia" w:ascii="Times New Roman" w:hAnsi="Times New Roman" w:eastAsia="宋体" w:cs="Times New Roman"/>
                <w:b w:val="0"/>
                <w:bCs w:val="0"/>
                <w:color w:val="auto"/>
                <w:sz w:val="24"/>
                <w:vertAlign w:val="superscript"/>
                <w:lang w:val="en-US" w:eastAsia="zh-CN"/>
              </w:rPr>
              <w:t>3</w:t>
            </w:r>
            <w:r>
              <w:rPr>
                <w:rFonts w:hint="eastAsia" w:ascii="Times New Roman" w:hAnsi="Times New Roman" w:eastAsia="宋体" w:cs="Times New Roman"/>
                <w:b w:val="0"/>
                <w:bCs w:val="0"/>
                <w:color w:val="auto"/>
                <w:sz w:val="24"/>
                <w:lang w:val="en-US" w:eastAsia="zh-CN"/>
              </w:rPr>
              <w:t>/h；</w:t>
            </w:r>
          </w:p>
          <w:p w14:paraId="12E417A5">
            <w:pPr>
              <w:autoSpaceDE w:val="0"/>
              <w:autoSpaceDN w:val="0"/>
              <w:spacing w:line="360" w:lineRule="auto"/>
              <w:ind w:firstLine="1200" w:firstLineChars="5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k—安全系数，一般取k=1.4；</w:t>
            </w:r>
          </w:p>
          <w:p w14:paraId="431B8536">
            <w:pPr>
              <w:autoSpaceDE w:val="0"/>
              <w:autoSpaceDN w:val="0"/>
              <w:spacing w:line="360" w:lineRule="auto"/>
              <w:ind w:firstLine="1200" w:firstLineChars="5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P—排风罩口敞开面的周长，m；</w:t>
            </w:r>
          </w:p>
          <w:p w14:paraId="167A122D">
            <w:pPr>
              <w:autoSpaceDE w:val="0"/>
              <w:autoSpaceDN w:val="0"/>
              <w:spacing w:line="360" w:lineRule="auto"/>
              <w:ind w:firstLine="1200" w:firstLineChars="5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H—罩口至污染源的距离，m，本次评价取0.3；</w:t>
            </w:r>
          </w:p>
          <w:p w14:paraId="3E4B0E05">
            <w:pPr>
              <w:autoSpaceDE w:val="0"/>
              <w:autoSpaceDN w:val="0"/>
              <w:spacing w:line="360" w:lineRule="auto"/>
              <w:ind w:firstLine="1200" w:firstLineChars="5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V</w:t>
            </w:r>
            <w:r>
              <w:rPr>
                <w:rFonts w:hint="eastAsia" w:ascii="Times New Roman" w:hAnsi="Times New Roman" w:eastAsia="宋体" w:cs="Times New Roman"/>
                <w:b w:val="0"/>
                <w:bCs w:val="0"/>
                <w:color w:val="auto"/>
                <w:sz w:val="24"/>
                <w:vertAlign w:val="subscript"/>
                <w:lang w:val="en-US" w:eastAsia="zh-CN"/>
              </w:rPr>
              <w:t>0</w:t>
            </w:r>
            <w:r>
              <w:rPr>
                <w:rFonts w:hint="eastAsia" w:ascii="Times New Roman" w:hAnsi="Times New Roman" w:eastAsia="宋体" w:cs="Times New Roman"/>
                <w:b w:val="0"/>
                <w:bCs w:val="0"/>
                <w:color w:val="auto"/>
                <w:sz w:val="24"/>
                <w:lang w:val="en-US" w:eastAsia="zh-CN"/>
              </w:rPr>
              <w:t>—污染源边缘控制风速，m/s（根据《环境工程设计手册》（2002 年版），在废气扩散速度较低、较稳定的状态下，控制风速取0.5~1.0m/s，本次评价取0.5）。</w:t>
            </w:r>
          </w:p>
          <w:p w14:paraId="56921EA4">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计算得各工序风量见下表</w:t>
            </w:r>
            <w:r>
              <w:rPr>
                <w:rFonts w:hint="eastAsia" w:cs="Times New Roman"/>
                <w:b w:val="0"/>
                <w:bCs w:val="0"/>
                <w:color w:val="auto"/>
                <w:sz w:val="24"/>
                <w:lang w:val="en-US" w:eastAsia="zh-CN"/>
              </w:rPr>
              <w:t>：</w:t>
            </w:r>
          </w:p>
          <w:p w14:paraId="71AAB044">
            <w:pPr>
              <w:numPr>
                <w:ilvl w:val="0"/>
                <w:numId w:val="6"/>
              </w:numPr>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各工序收集风量计算结果表</w:t>
            </w:r>
          </w:p>
          <w:tbl>
            <w:tblPr>
              <w:tblStyle w:val="27"/>
              <w:tblW w:w="8045"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609"/>
              <w:gridCol w:w="1609"/>
              <w:gridCol w:w="1609"/>
              <w:gridCol w:w="1609"/>
              <w:gridCol w:w="1609"/>
            </w:tblGrid>
            <w:tr w14:paraId="05B47AD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tcBorders>
                    <w:tl2br w:val="nil"/>
                    <w:tr2bl w:val="nil"/>
                  </w:tcBorders>
                  <w:vAlign w:val="center"/>
                </w:tcPr>
                <w:p w14:paraId="62D7E14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设备</w:t>
                  </w:r>
                </w:p>
              </w:tc>
              <w:tc>
                <w:tcPr>
                  <w:tcW w:w="1609" w:type="dxa"/>
                  <w:tcBorders>
                    <w:tl2br w:val="nil"/>
                    <w:tr2bl w:val="nil"/>
                  </w:tcBorders>
                  <w:vAlign w:val="center"/>
                </w:tcPr>
                <w:p w14:paraId="06BD80B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集气罩周长（m）</w:t>
                  </w:r>
                </w:p>
              </w:tc>
              <w:tc>
                <w:tcPr>
                  <w:tcW w:w="1609" w:type="dxa"/>
                  <w:tcBorders>
                    <w:tl2br w:val="nil"/>
                    <w:tr2bl w:val="nil"/>
                  </w:tcBorders>
                  <w:vAlign w:val="center"/>
                </w:tcPr>
                <w:p w14:paraId="21BB51F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集气罩个数（个）</w:t>
                  </w:r>
                </w:p>
              </w:tc>
              <w:tc>
                <w:tcPr>
                  <w:tcW w:w="1609" w:type="dxa"/>
                  <w:tcBorders>
                    <w:tl2br w:val="nil"/>
                    <w:tr2bl w:val="nil"/>
                  </w:tcBorders>
                  <w:vAlign w:val="center"/>
                </w:tcPr>
                <w:p w14:paraId="1418925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集气风速（m/s）</w:t>
                  </w:r>
                </w:p>
              </w:tc>
              <w:tc>
                <w:tcPr>
                  <w:tcW w:w="1609" w:type="dxa"/>
                  <w:tcBorders>
                    <w:tl2br w:val="nil"/>
                    <w:tr2bl w:val="nil"/>
                  </w:tcBorders>
                  <w:vAlign w:val="center"/>
                </w:tcPr>
                <w:p w14:paraId="08DA43C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风量（m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/h）</w:t>
                  </w:r>
                </w:p>
              </w:tc>
            </w:tr>
            <w:tr w14:paraId="15BBB35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609" w:type="dxa"/>
                  <w:tcBorders>
                    <w:tl2br w:val="nil"/>
                    <w:tr2bl w:val="nil"/>
                  </w:tcBorders>
                  <w:vAlign w:val="center"/>
                </w:tcPr>
                <w:p w14:paraId="0C1101B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鄂破机（1台）</w:t>
                  </w:r>
                </w:p>
              </w:tc>
              <w:tc>
                <w:tcPr>
                  <w:tcW w:w="1609" w:type="dxa"/>
                  <w:tcBorders>
                    <w:tl2br w:val="nil"/>
                    <w:tr2bl w:val="nil"/>
                  </w:tcBorders>
                  <w:vAlign w:val="center"/>
                </w:tcPr>
                <w:p w14:paraId="2915B90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w:t>
                  </w:r>
                </w:p>
              </w:tc>
              <w:tc>
                <w:tcPr>
                  <w:tcW w:w="1609" w:type="dxa"/>
                  <w:tcBorders>
                    <w:tl2br w:val="nil"/>
                    <w:tr2bl w:val="nil"/>
                  </w:tcBorders>
                  <w:vAlign w:val="center"/>
                </w:tcPr>
                <w:p w14:paraId="708ED15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w:t>
                  </w:r>
                </w:p>
              </w:tc>
              <w:tc>
                <w:tcPr>
                  <w:tcW w:w="1609" w:type="dxa"/>
                  <w:tcBorders>
                    <w:tl2br w:val="nil"/>
                    <w:tr2bl w:val="nil"/>
                  </w:tcBorders>
                  <w:vAlign w:val="center"/>
                </w:tcPr>
                <w:p w14:paraId="1D14D97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0.5</w:t>
                  </w:r>
                </w:p>
              </w:tc>
              <w:tc>
                <w:tcPr>
                  <w:tcW w:w="1609" w:type="dxa"/>
                  <w:tcBorders>
                    <w:tl2br w:val="nil"/>
                    <w:tr2bl w:val="nil"/>
                  </w:tcBorders>
                  <w:vAlign w:val="center"/>
                </w:tcPr>
                <w:p w14:paraId="1CC38BF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7560</w:t>
                  </w:r>
                </w:p>
              </w:tc>
            </w:tr>
            <w:tr w14:paraId="1AE9E5D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609" w:type="dxa"/>
                  <w:tcBorders>
                    <w:tl2br w:val="nil"/>
                    <w:tr2bl w:val="nil"/>
                  </w:tcBorders>
                  <w:vAlign w:val="center"/>
                </w:tcPr>
                <w:p w14:paraId="3B64BE5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振动筛（</w:t>
                  </w:r>
                  <w:r>
                    <w:rPr>
                      <w:rFonts w:hint="eastAsia" w:ascii="Times New Roman" w:hAnsi="Times New Roman" w:eastAsia="宋体" w:cs="Times New Roman"/>
                      <w:b w:val="0"/>
                      <w:bCs w:val="0"/>
                      <w:color w:val="auto"/>
                      <w:sz w:val="21"/>
                      <w:szCs w:val="21"/>
                      <w:vertAlign w:val="baseline"/>
                      <w:lang w:val="en-US" w:eastAsia="zh-CN"/>
                    </w:rPr>
                    <w:t>1</w:t>
                  </w:r>
                  <w:r>
                    <w:rPr>
                      <w:rFonts w:hint="default" w:ascii="Times New Roman" w:hAnsi="Times New Roman" w:eastAsia="宋体" w:cs="Times New Roman"/>
                      <w:b w:val="0"/>
                      <w:bCs w:val="0"/>
                      <w:color w:val="auto"/>
                      <w:sz w:val="21"/>
                      <w:szCs w:val="21"/>
                      <w:vertAlign w:val="baseline"/>
                      <w:lang w:val="en-US" w:eastAsia="zh-CN"/>
                    </w:rPr>
                    <w:t>台）</w:t>
                  </w:r>
                </w:p>
              </w:tc>
              <w:tc>
                <w:tcPr>
                  <w:tcW w:w="1609" w:type="dxa"/>
                  <w:tcBorders>
                    <w:tl2br w:val="nil"/>
                    <w:tr2bl w:val="nil"/>
                  </w:tcBorders>
                  <w:vAlign w:val="center"/>
                </w:tcPr>
                <w:p w14:paraId="491191C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w:t>
                  </w:r>
                </w:p>
              </w:tc>
              <w:tc>
                <w:tcPr>
                  <w:tcW w:w="1609" w:type="dxa"/>
                  <w:tcBorders>
                    <w:tl2br w:val="nil"/>
                    <w:tr2bl w:val="nil"/>
                  </w:tcBorders>
                  <w:vAlign w:val="center"/>
                </w:tcPr>
                <w:p w14:paraId="5C048E5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w:t>
                  </w:r>
                </w:p>
              </w:tc>
              <w:tc>
                <w:tcPr>
                  <w:tcW w:w="1609" w:type="dxa"/>
                  <w:tcBorders>
                    <w:tl2br w:val="nil"/>
                    <w:tr2bl w:val="nil"/>
                  </w:tcBorders>
                  <w:vAlign w:val="center"/>
                </w:tcPr>
                <w:p w14:paraId="50763FE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0.5</w:t>
                  </w:r>
                </w:p>
              </w:tc>
              <w:tc>
                <w:tcPr>
                  <w:tcW w:w="1609" w:type="dxa"/>
                  <w:tcBorders>
                    <w:tl2br w:val="nil"/>
                    <w:tr2bl w:val="nil"/>
                  </w:tcBorders>
                  <w:vAlign w:val="center"/>
                </w:tcPr>
                <w:p w14:paraId="13B4B7E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7560</w:t>
                  </w:r>
                </w:p>
              </w:tc>
            </w:tr>
            <w:tr w14:paraId="715576F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436" w:type="dxa"/>
                  <w:gridSpan w:val="4"/>
                  <w:tcBorders>
                    <w:tl2br w:val="nil"/>
                    <w:tr2bl w:val="nil"/>
                  </w:tcBorders>
                  <w:vAlign w:val="center"/>
                </w:tcPr>
                <w:p w14:paraId="6E9447D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合计总风量</w:t>
                  </w:r>
                </w:p>
              </w:tc>
              <w:tc>
                <w:tcPr>
                  <w:tcW w:w="1609" w:type="dxa"/>
                  <w:tcBorders>
                    <w:tl2br w:val="nil"/>
                    <w:tr2bl w:val="nil"/>
                  </w:tcBorders>
                  <w:vAlign w:val="center"/>
                </w:tcPr>
                <w:p w14:paraId="50B4EE1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15120</w:t>
                  </w:r>
                </w:p>
              </w:tc>
            </w:tr>
          </w:tbl>
          <w:p w14:paraId="130F9F8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p>
          <w:p w14:paraId="779D5280">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综上，再生料（废沥青混凝土层）预处理废气总收集风量至少为15120m</w:t>
            </w:r>
            <w:r>
              <w:rPr>
                <w:rFonts w:hint="eastAsia" w:ascii="Times New Roman" w:hAnsi="Times New Roman" w:eastAsia="宋体" w:cs="Times New Roman"/>
                <w:b w:val="0"/>
                <w:bCs w:val="0"/>
                <w:color w:val="auto"/>
                <w:sz w:val="24"/>
                <w:vertAlign w:val="superscript"/>
                <w:lang w:val="en-US" w:eastAsia="zh-CN"/>
              </w:rPr>
              <w:t>3</w:t>
            </w:r>
            <w:r>
              <w:rPr>
                <w:rFonts w:hint="eastAsia" w:ascii="Times New Roman" w:hAnsi="Times New Roman" w:eastAsia="宋体" w:cs="Times New Roman"/>
                <w:b w:val="0"/>
                <w:bCs w:val="0"/>
                <w:color w:val="auto"/>
                <w:sz w:val="24"/>
                <w:lang w:val="en-US" w:eastAsia="zh-CN"/>
              </w:rPr>
              <w:t>/h，考虑到风机损耗，本项目取</w:t>
            </w:r>
            <w:r>
              <w:rPr>
                <w:rFonts w:hint="eastAsia" w:cs="Times New Roman"/>
                <w:b w:val="0"/>
                <w:bCs w:val="0"/>
                <w:color w:val="auto"/>
                <w:sz w:val="24"/>
                <w:lang w:val="en-US" w:eastAsia="zh-CN"/>
              </w:rPr>
              <w:t>18</w:t>
            </w:r>
            <w:r>
              <w:rPr>
                <w:rFonts w:hint="eastAsia" w:ascii="Times New Roman" w:hAnsi="Times New Roman" w:eastAsia="宋体" w:cs="Times New Roman"/>
                <w:b w:val="0"/>
                <w:bCs w:val="0"/>
                <w:color w:val="auto"/>
                <w:sz w:val="24"/>
                <w:lang w:val="en-US" w:eastAsia="zh-CN"/>
              </w:rPr>
              <w:t>000m</w:t>
            </w:r>
            <w:r>
              <w:rPr>
                <w:rFonts w:hint="eastAsia" w:ascii="Times New Roman" w:hAnsi="Times New Roman" w:eastAsia="宋体" w:cs="Times New Roman"/>
                <w:b w:val="0"/>
                <w:bCs w:val="0"/>
                <w:strike w:val="0"/>
                <w:dstrike w:val="0"/>
                <w:color w:val="auto"/>
                <w:sz w:val="24"/>
                <w:u w:val="none"/>
                <w:vertAlign w:val="superscript"/>
                <w:lang w:val="en-US" w:eastAsia="zh-CN"/>
              </w:rPr>
              <w:t>3</w:t>
            </w:r>
            <w:r>
              <w:rPr>
                <w:rFonts w:hint="eastAsia" w:ascii="Times New Roman" w:hAnsi="Times New Roman" w:eastAsia="宋体" w:cs="Times New Roman"/>
                <w:b w:val="0"/>
                <w:bCs w:val="0"/>
                <w:color w:val="auto"/>
                <w:sz w:val="24"/>
                <w:lang w:val="en-US" w:eastAsia="zh-CN"/>
              </w:rPr>
              <w:t>/h。</w:t>
            </w:r>
          </w:p>
          <w:p w14:paraId="7EE6247B">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综上，再生料（废沥青混凝土层）预处理废气收集处理情况见下表：</w:t>
            </w:r>
          </w:p>
          <w:p w14:paraId="36CEEF5C">
            <w:pPr>
              <w:numPr>
                <w:ilvl w:val="0"/>
                <w:numId w:val="6"/>
              </w:numPr>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再生料（废沥青混凝土层）预处理废气收集处理情况一览表</w:t>
            </w:r>
          </w:p>
          <w:tbl>
            <w:tblPr>
              <w:tblStyle w:val="27"/>
              <w:tblW w:w="8045"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609"/>
              <w:gridCol w:w="1609"/>
              <w:gridCol w:w="1609"/>
              <w:gridCol w:w="1609"/>
              <w:gridCol w:w="1609"/>
            </w:tblGrid>
            <w:tr w14:paraId="015A621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609" w:type="dxa"/>
                  <w:tcBorders>
                    <w:tl2br w:val="nil"/>
                    <w:tr2bl w:val="nil"/>
                  </w:tcBorders>
                  <w:vAlign w:val="center"/>
                </w:tcPr>
                <w:p w14:paraId="21E8A8E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污染物种类</w:t>
                  </w:r>
                </w:p>
              </w:tc>
              <w:tc>
                <w:tcPr>
                  <w:tcW w:w="1609" w:type="dxa"/>
                  <w:tcBorders>
                    <w:tl2br w:val="nil"/>
                    <w:tr2bl w:val="nil"/>
                  </w:tcBorders>
                  <w:vAlign w:val="center"/>
                </w:tcPr>
                <w:p w14:paraId="18AFCBC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污染因子</w:t>
                  </w:r>
                </w:p>
              </w:tc>
              <w:tc>
                <w:tcPr>
                  <w:tcW w:w="1609" w:type="dxa"/>
                  <w:tcBorders>
                    <w:tl2br w:val="nil"/>
                    <w:tr2bl w:val="nil"/>
                  </w:tcBorders>
                  <w:vAlign w:val="center"/>
                </w:tcPr>
                <w:p w14:paraId="6022EA7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收集效率（%）</w:t>
                  </w:r>
                </w:p>
              </w:tc>
              <w:tc>
                <w:tcPr>
                  <w:tcW w:w="1609" w:type="dxa"/>
                  <w:tcBorders>
                    <w:tl2br w:val="nil"/>
                    <w:tr2bl w:val="nil"/>
                  </w:tcBorders>
                  <w:vAlign w:val="center"/>
                </w:tcPr>
                <w:p w14:paraId="2D39AD3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治理措施</w:t>
                  </w:r>
                </w:p>
              </w:tc>
              <w:tc>
                <w:tcPr>
                  <w:tcW w:w="1609" w:type="dxa"/>
                  <w:tcBorders>
                    <w:tl2br w:val="nil"/>
                    <w:tr2bl w:val="nil"/>
                  </w:tcBorders>
                  <w:vAlign w:val="center"/>
                </w:tcPr>
                <w:p w14:paraId="74DD747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处理效率（%）</w:t>
                  </w:r>
                </w:p>
              </w:tc>
            </w:tr>
            <w:tr w14:paraId="137DF00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tcBorders>
                    <w:tl2br w:val="nil"/>
                    <w:tr2bl w:val="nil"/>
                  </w:tcBorders>
                  <w:vAlign w:val="center"/>
                </w:tcPr>
                <w:p w14:paraId="7C7BCEA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投料粉尘、破碎粉尘、筛分粉尘</w:t>
                  </w:r>
                </w:p>
              </w:tc>
              <w:tc>
                <w:tcPr>
                  <w:tcW w:w="1609" w:type="dxa"/>
                  <w:tcBorders>
                    <w:tl2br w:val="nil"/>
                    <w:tr2bl w:val="nil"/>
                  </w:tcBorders>
                  <w:vAlign w:val="center"/>
                </w:tcPr>
                <w:p w14:paraId="59AB91A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颗粒物</w:t>
                  </w:r>
                </w:p>
              </w:tc>
              <w:tc>
                <w:tcPr>
                  <w:tcW w:w="1609" w:type="dxa"/>
                  <w:tcBorders>
                    <w:tl2br w:val="nil"/>
                    <w:tr2bl w:val="nil"/>
                  </w:tcBorders>
                  <w:vAlign w:val="center"/>
                </w:tcPr>
                <w:p w14:paraId="2B65B70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90</w:t>
                  </w:r>
                </w:p>
              </w:tc>
              <w:tc>
                <w:tcPr>
                  <w:tcW w:w="1609" w:type="dxa"/>
                  <w:tcBorders>
                    <w:tl2br w:val="nil"/>
                    <w:tr2bl w:val="nil"/>
                  </w:tcBorders>
                  <w:vAlign w:val="center"/>
                </w:tcPr>
                <w:p w14:paraId="2865755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集气罩+布袋除尘器（TA00</w:t>
                  </w:r>
                  <w:r>
                    <w:rPr>
                      <w:rFonts w:hint="eastAsia" w:ascii="Times New Roman" w:hAnsi="Times New Roman" w:eastAsia="宋体" w:cs="Times New Roman"/>
                      <w:b w:val="0"/>
                      <w:bCs w:val="0"/>
                      <w:color w:val="auto"/>
                      <w:sz w:val="21"/>
                      <w:szCs w:val="21"/>
                      <w:vertAlign w:val="baseline"/>
                      <w:lang w:val="en-US" w:eastAsia="zh-CN"/>
                    </w:rPr>
                    <w:t>5</w:t>
                  </w:r>
                  <w:r>
                    <w:rPr>
                      <w:rFonts w:hint="default" w:ascii="Times New Roman" w:hAnsi="Times New Roman" w:eastAsia="宋体" w:cs="Times New Roman"/>
                      <w:b w:val="0"/>
                      <w:bCs w:val="0"/>
                      <w:color w:val="auto"/>
                      <w:sz w:val="21"/>
                      <w:szCs w:val="21"/>
                      <w:vertAlign w:val="baseline"/>
                      <w:lang w:val="en-US" w:eastAsia="zh-CN"/>
                    </w:rPr>
                    <w:t>）</w:t>
                  </w:r>
                </w:p>
              </w:tc>
              <w:tc>
                <w:tcPr>
                  <w:tcW w:w="1609" w:type="dxa"/>
                  <w:tcBorders>
                    <w:tl2br w:val="nil"/>
                    <w:tr2bl w:val="nil"/>
                  </w:tcBorders>
                  <w:vAlign w:val="center"/>
                </w:tcPr>
                <w:p w14:paraId="7A03ACF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99.7</w:t>
                  </w:r>
                </w:p>
              </w:tc>
            </w:tr>
          </w:tbl>
          <w:p w14:paraId="5D97CB7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p>
          <w:p w14:paraId="394D3051">
            <w:pPr>
              <w:autoSpaceDE w:val="0"/>
              <w:autoSpaceDN w:val="0"/>
              <w:spacing w:line="360" w:lineRule="auto"/>
              <w:ind w:firstLine="482"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bCs/>
                <w:color w:val="auto"/>
                <w:sz w:val="24"/>
                <w:lang w:val="en-US" w:eastAsia="zh-CN"/>
              </w:rPr>
              <w:t>1.1.4导热油炉天然气燃烧废气</w:t>
            </w:r>
          </w:p>
          <w:p w14:paraId="67F189EA">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（1）产生情况</w:t>
            </w:r>
          </w:p>
          <w:p w14:paraId="54833B61">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项目沥青加热使用导热油炉，燃料使用天然气。根据</w:t>
            </w:r>
            <w:r>
              <w:rPr>
                <w:rFonts w:hint="eastAsia" w:cs="Times New Roman"/>
                <w:b w:val="0"/>
                <w:bCs w:val="0"/>
                <w:color w:val="auto"/>
                <w:sz w:val="24"/>
                <w:lang w:val="en-US" w:eastAsia="zh-CN"/>
              </w:rPr>
              <w:t>建设单位提供经验数据，</w:t>
            </w:r>
            <w:r>
              <w:rPr>
                <w:rFonts w:hint="eastAsia" w:ascii="Times New Roman" w:hAnsi="Times New Roman" w:eastAsia="宋体" w:cs="Times New Roman"/>
                <w:b w:val="0"/>
                <w:bCs w:val="0"/>
                <w:color w:val="auto"/>
                <w:sz w:val="24"/>
                <w:lang w:val="en-US" w:eastAsia="zh-CN"/>
              </w:rPr>
              <w:t>导热油炉天然气用量</w:t>
            </w:r>
            <w:r>
              <w:rPr>
                <w:rFonts w:hint="eastAsia" w:cs="Times New Roman"/>
                <w:b w:val="0"/>
                <w:bCs w:val="0"/>
                <w:color w:val="auto"/>
                <w:sz w:val="24"/>
                <w:lang w:val="en-US" w:eastAsia="zh-CN"/>
              </w:rPr>
              <w:t>约</w:t>
            </w:r>
            <w:r>
              <w:rPr>
                <w:rFonts w:hint="eastAsia" w:ascii="Times New Roman" w:hAnsi="Times New Roman" w:eastAsia="宋体" w:cs="Times New Roman"/>
                <w:b w:val="0"/>
                <w:bCs w:val="0"/>
                <w:color w:val="auto"/>
                <w:sz w:val="24"/>
                <w:lang w:val="en-US" w:eastAsia="zh-CN"/>
              </w:rPr>
              <w:t>为</w:t>
            </w:r>
            <w:r>
              <w:rPr>
                <w:rFonts w:hint="eastAsia" w:cs="Times New Roman"/>
                <w:b w:val="0"/>
                <w:bCs w:val="0"/>
                <w:color w:val="auto"/>
                <w:sz w:val="24"/>
                <w:lang w:val="en-US" w:eastAsia="zh-CN"/>
              </w:rPr>
              <w:t>24</w:t>
            </w:r>
            <w:r>
              <w:rPr>
                <w:rFonts w:hint="eastAsia" w:ascii="Times New Roman" w:hAnsi="Times New Roman" w:eastAsia="宋体" w:cs="Times New Roman"/>
                <w:b w:val="0"/>
                <w:bCs w:val="0"/>
                <w:color w:val="auto"/>
                <w:sz w:val="24"/>
                <w:lang w:val="en-US" w:eastAsia="zh-CN"/>
              </w:rPr>
              <w:t>万m</w:t>
            </w:r>
            <w:r>
              <w:rPr>
                <w:rFonts w:hint="eastAsia" w:ascii="Times New Roman" w:hAnsi="Times New Roman" w:eastAsia="宋体" w:cs="Times New Roman"/>
                <w:b w:val="0"/>
                <w:bCs w:val="0"/>
                <w:color w:val="auto"/>
                <w:sz w:val="24"/>
                <w:vertAlign w:val="superscript"/>
                <w:lang w:val="en-US" w:eastAsia="zh-CN"/>
              </w:rPr>
              <w:t>3</w:t>
            </w:r>
            <w:r>
              <w:rPr>
                <w:rFonts w:hint="eastAsia" w:ascii="Times New Roman" w:hAnsi="Times New Roman" w:eastAsia="宋体" w:cs="Times New Roman"/>
                <w:b w:val="0"/>
                <w:bCs w:val="0"/>
                <w:color w:val="auto"/>
                <w:sz w:val="24"/>
                <w:lang w:val="en-US" w:eastAsia="zh-CN"/>
              </w:rPr>
              <w:t>/a。</w:t>
            </w:r>
          </w:p>
          <w:p w14:paraId="66BB2FE8">
            <w:pPr>
              <w:autoSpaceDE w:val="0"/>
              <w:autoSpaceDN w:val="0"/>
              <w:spacing w:line="360" w:lineRule="auto"/>
              <w:ind w:firstLine="480" w:firstLineChars="200"/>
              <w:rPr>
                <w:sz w:val="24"/>
              </w:rPr>
            </w:pPr>
            <w:r>
              <w:rPr>
                <w:rFonts w:hint="eastAsia"/>
                <w:sz w:val="24"/>
              </w:rPr>
              <w:t>天然气燃烧产排污系数参照《排放源统计调查产排污核算方法和系数手册》（生态环境部公告 2021年第24号）中“4430工业锅炉行业系数手册-4430 工业锅炉（热力生产和供应行业）产污系数表-燃气工业锅炉”，行业系数详见下表：</w:t>
            </w:r>
          </w:p>
          <w:p w14:paraId="080ACD51">
            <w:pPr>
              <w:numPr>
                <w:ilvl w:val="0"/>
                <w:numId w:val="6"/>
              </w:numPr>
              <w:jc w:val="center"/>
              <w:rPr>
                <w:rFonts w:hint="eastAsia"/>
                <w:b/>
                <w:bCs/>
                <w:szCs w:val="21"/>
              </w:rPr>
            </w:pPr>
            <w:r>
              <w:rPr>
                <w:rFonts w:hint="eastAsia"/>
                <w:b/>
                <w:bCs/>
                <w:szCs w:val="21"/>
              </w:rPr>
              <w:t>4430 工业锅炉（热力生产和供应行业）产污系数表-燃气工业锅炉</w:t>
            </w:r>
          </w:p>
          <w:tbl>
            <w:tblPr>
              <w:tblStyle w:val="26"/>
              <w:tblW w:w="7956"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14"/>
              <w:gridCol w:w="702"/>
              <w:gridCol w:w="683"/>
              <w:gridCol w:w="655"/>
              <w:gridCol w:w="1376"/>
              <w:gridCol w:w="2261"/>
              <w:gridCol w:w="1565"/>
            </w:tblGrid>
            <w:tr w14:paraId="318ED59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714" w:type="dxa"/>
                  <w:noWrap w:val="0"/>
                  <w:vAlign w:val="center"/>
                </w:tcPr>
                <w:p w14:paraId="70F9EA8F">
                  <w:pPr>
                    <w:pStyle w:val="9"/>
                    <w:spacing w:line="240" w:lineRule="exact"/>
                    <w:ind w:firstLine="0" w:firstLineChars="0"/>
                    <w:jc w:val="center"/>
                    <w:rPr>
                      <w:rFonts w:hint="eastAsia"/>
                      <w:szCs w:val="21"/>
                    </w:rPr>
                  </w:pPr>
                  <w:r>
                    <w:rPr>
                      <w:rFonts w:hint="eastAsia"/>
                      <w:szCs w:val="21"/>
                    </w:rPr>
                    <w:t>产品名称</w:t>
                  </w:r>
                </w:p>
              </w:tc>
              <w:tc>
                <w:tcPr>
                  <w:tcW w:w="702" w:type="dxa"/>
                  <w:noWrap w:val="0"/>
                  <w:vAlign w:val="center"/>
                </w:tcPr>
                <w:p w14:paraId="2504D29D">
                  <w:pPr>
                    <w:pStyle w:val="9"/>
                    <w:spacing w:line="240" w:lineRule="exact"/>
                    <w:ind w:firstLine="0" w:firstLineChars="0"/>
                    <w:jc w:val="center"/>
                    <w:rPr>
                      <w:rFonts w:hint="eastAsia"/>
                      <w:szCs w:val="21"/>
                    </w:rPr>
                  </w:pPr>
                  <w:r>
                    <w:rPr>
                      <w:rFonts w:hint="eastAsia"/>
                      <w:szCs w:val="21"/>
                    </w:rPr>
                    <w:t>原料名称</w:t>
                  </w:r>
                </w:p>
              </w:tc>
              <w:tc>
                <w:tcPr>
                  <w:tcW w:w="683" w:type="dxa"/>
                  <w:noWrap w:val="0"/>
                  <w:vAlign w:val="center"/>
                </w:tcPr>
                <w:p w14:paraId="3BA7520D">
                  <w:pPr>
                    <w:pStyle w:val="9"/>
                    <w:spacing w:line="240" w:lineRule="exact"/>
                    <w:ind w:firstLine="0" w:firstLineChars="0"/>
                    <w:jc w:val="center"/>
                    <w:rPr>
                      <w:rFonts w:hint="eastAsia"/>
                      <w:szCs w:val="21"/>
                    </w:rPr>
                  </w:pPr>
                  <w:r>
                    <w:rPr>
                      <w:rFonts w:hint="eastAsia"/>
                      <w:szCs w:val="21"/>
                    </w:rPr>
                    <w:t>工艺名称</w:t>
                  </w:r>
                </w:p>
              </w:tc>
              <w:tc>
                <w:tcPr>
                  <w:tcW w:w="655" w:type="dxa"/>
                  <w:noWrap w:val="0"/>
                  <w:vAlign w:val="center"/>
                </w:tcPr>
                <w:p w14:paraId="396013D8">
                  <w:pPr>
                    <w:pStyle w:val="9"/>
                    <w:spacing w:line="240" w:lineRule="exact"/>
                    <w:ind w:firstLine="0" w:firstLineChars="0"/>
                    <w:jc w:val="center"/>
                    <w:rPr>
                      <w:rFonts w:hint="eastAsia"/>
                      <w:szCs w:val="21"/>
                    </w:rPr>
                  </w:pPr>
                  <w:r>
                    <w:rPr>
                      <w:rFonts w:hint="eastAsia"/>
                      <w:szCs w:val="21"/>
                    </w:rPr>
                    <w:t>规模等级</w:t>
                  </w:r>
                </w:p>
              </w:tc>
              <w:tc>
                <w:tcPr>
                  <w:tcW w:w="1376" w:type="dxa"/>
                  <w:noWrap w:val="0"/>
                  <w:vAlign w:val="center"/>
                </w:tcPr>
                <w:p w14:paraId="4B507396">
                  <w:pPr>
                    <w:pStyle w:val="9"/>
                    <w:spacing w:line="240" w:lineRule="exact"/>
                    <w:ind w:firstLine="0" w:firstLineChars="0"/>
                    <w:jc w:val="center"/>
                    <w:rPr>
                      <w:rFonts w:hint="eastAsia"/>
                      <w:szCs w:val="21"/>
                    </w:rPr>
                  </w:pPr>
                  <w:r>
                    <w:rPr>
                      <w:rFonts w:hint="eastAsia"/>
                      <w:szCs w:val="21"/>
                    </w:rPr>
                    <w:t>污染物指标</w:t>
                  </w:r>
                </w:p>
              </w:tc>
              <w:tc>
                <w:tcPr>
                  <w:tcW w:w="2261" w:type="dxa"/>
                  <w:noWrap w:val="0"/>
                  <w:vAlign w:val="center"/>
                </w:tcPr>
                <w:p w14:paraId="7B9B8FBD">
                  <w:pPr>
                    <w:pStyle w:val="9"/>
                    <w:spacing w:line="240" w:lineRule="exact"/>
                    <w:ind w:firstLine="0" w:firstLineChars="0"/>
                    <w:jc w:val="center"/>
                    <w:rPr>
                      <w:rFonts w:hint="eastAsia"/>
                      <w:szCs w:val="21"/>
                    </w:rPr>
                  </w:pPr>
                  <w:r>
                    <w:rPr>
                      <w:rFonts w:hint="eastAsia"/>
                      <w:szCs w:val="21"/>
                    </w:rPr>
                    <w:t>单位</w:t>
                  </w:r>
                </w:p>
              </w:tc>
              <w:tc>
                <w:tcPr>
                  <w:tcW w:w="1565" w:type="dxa"/>
                  <w:noWrap w:val="0"/>
                  <w:vAlign w:val="center"/>
                </w:tcPr>
                <w:p w14:paraId="4E5BB906">
                  <w:pPr>
                    <w:pStyle w:val="9"/>
                    <w:spacing w:line="240" w:lineRule="exact"/>
                    <w:ind w:firstLine="0" w:firstLineChars="0"/>
                    <w:jc w:val="center"/>
                    <w:rPr>
                      <w:rFonts w:hint="eastAsia"/>
                      <w:szCs w:val="21"/>
                    </w:rPr>
                  </w:pPr>
                  <w:r>
                    <w:rPr>
                      <w:rFonts w:hint="eastAsia"/>
                      <w:szCs w:val="21"/>
                    </w:rPr>
                    <w:t>产污系数</w:t>
                  </w:r>
                </w:p>
              </w:tc>
            </w:tr>
            <w:tr w14:paraId="47578F4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714" w:type="dxa"/>
                  <w:vMerge w:val="restart"/>
                  <w:noWrap w:val="0"/>
                  <w:vAlign w:val="center"/>
                </w:tcPr>
                <w:p w14:paraId="4D0C70A1">
                  <w:pPr>
                    <w:pStyle w:val="9"/>
                    <w:spacing w:line="240" w:lineRule="exact"/>
                    <w:ind w:firstLine="0" w:firstLineChars="0"/>
                    <w:jc w:val="center"/>
                    <w:rPr>
                      <w:rFonts w:hint="eastAsia"/>
                      <w:szCs w:val="21"/>
                    </w:rPr>
                  </w:pPr>
                  <w:r>
                    <w:rPr>
                      <w:rFonts w:hint="eastAsia"/>
                      <w:szCs w:val="21"/>
                    </w:rPr>
                    <w:t>蒸汽/热水/其它</w:t>
                  </w:r>
                </w:p>
              </w:tc>
              <w:tc>
                <w:tcPr>
                  <w:tcW w:w="702" w:type="dxa"/>
                  <w:vMerge w:val="restart"/>
                  <w:noWrap w:val="0"/>
                  <w:vAlign w:val="center"/>
                </w:tcPr>
                <w:p w14:paraId="31AC9DE5">
                  <w:pPr>
                    <w:pStyle w:val="9"/>
                    <w:spacing w:line="240" w:lineRule="exact"/>
                    <w:ind w:firstLine="0" w:firstLineChars="0"/>
                    <w:jc w:val="center"/>
                    <w:rPr>
                      <w:rFonts w:hint="eastAsia"/>
                      <w:szCs w:val="21"/>
                    </w:rPr>
                  </w:pPr>
                  <w:r>
                    <w:rPr>
                      <w:rFonts w:hint="eastAsia"/>
                      <w:szCs w:val="21"/>
                    </w:rPr>
                    <w:t>天然气</w:t>
                  </w:r>
                </w:p>
              </w:tc>
              <w:tc>
                <w:tcPr>
                  <w:tcW w:w="683" w:type="dxa"/>
                  <w:vMerge w:val="restart"/>
                  <w:noWrap w:val="0"/>
                  <w:vAlign w:val="center"/>
                </w:tcPr>
                <w:p w14:paraId="67837538">
                  <w:pPr>
                    <w:pStyle w:val="9"/>
                    <w:spacing w:line="240" w:lineRule="exact"/>
                    <w:ind w:firstLine="0" w:firstLineChars="0"/>
                    <w:jc w:val="center"/>
                    <w:rPr>
                      <w:rFonts w:hint="eastAsia"/>
                      <w:szCs w:val="21"/>
                    </w:rPr>
                  </w:pPr>
                  <w:r>
                    <w:rPr>
                      <w:rFonts w:hint="eastAsia"/>
                      <w:szCs w:val="21"/>
                    </w:rPr>
                    <w:t>室燃炉</w:t>
                  </w:r>
                </w:p>
              </w:tc>
              <w:tc>
                <w:tcPr>
                  <w:tcW w:w="655" w:type="dxa"/>
                  <w:vMerge w:val="restart"/>
                  <w:noWrap w:val="0"/>
                  <w:vAlign w:val="center"/>
                </w:tcPr>
                <w:p w14:paraId="00107438">
                  <w:pPr>
                    <w:pStyle w:val="9"/>
                    <w:spacing w:line="240" w:lineRule="exact"/>
                    <w:ind w:firstLine="0" w:firstLineChars="0"/>
                    <w:jc w:val="center"/>
                    <w:rPr>
                      <w:rFonts w:hint="eastAsia"/>
                      <w:szCs w:val="21"/>
                    </w:rPr>
                  </w:pPr>
                  <w:r>
                    <w:rPr>
                      <w:rFonts w:hint="eastAsia"/>
                      <w:szCs w:val="21"/>
                    </w:rPr>
                    <w:t>所有规模</w:t>
                  </w:r>
                </w:p>
              </w:tc>
              <w:tc>
                <w:tcPr>
                  <w:tcW w:w="1376" w:type="dxa"/>
                  <w:noWrap w:val="0"/>
                  <w:vAlign w:val="center"/>
                </w:tcPr>
                <w:p w14:paraId="411A0799">
                  <w:pPr>
                    <w:pStyle w:val="9"/>
                    <w:spacing w:line="240" w:lineRule="exact"/>
                    <w:ind w:firstLine="0" w:firstLineChars="0"/>
                    <w:jc w:val="center"/>
                    <w:rPr>
                      <w:rFonts w:hint="eastAsia"/>
                      <w:szCs w:val="21"/>
                    </w:rPr>
                  </w:pPr>
                  <w:r>
                    <w:rPr>
                      <w:rFonts w:hint="eastAsia"/>
                      <w:szCs w:val="21"/>
                    </w:rPr>
                    <w:t>工业废气量</w:t>
                  </w:r>
                </w:p>
              </w:tc>
              <w:tc>
                <w:tcPr>
                  <w:tcW w:w="2261" w:type="dxa"/>
                  <w:noWrap w:val="0"/>
                  <w:vAlign w:val="center"/>
                </w:tcPr>
                <w:p w14:paraId="79EDE272">
                  <w:pPr>
                    <w:pStyle w:val="9"/>
                    <w:spacing w:line="240" w:lineRule="exact"/>
                    <w:ind w:firstLine="0" w:firstLineChars="0"/>
                    <w:jc w:val="center"/>
                    <w:rPr>
                      <w:rFonts w:hint="eastAsia"/>
                      <w:szCs w:val="21"/>
                    </w:rPr>
                  </w:pPr>
                  <w:r>
                    <w:rPr>
                      <w:rFonts w:hint="eastAsia"/>
                      <w:szCs w:val="21"/>
                    </w:rPr>
                    <w:t>标立方米/万立方米-原料</w:t>
                  </w:r>
                </w:p>
              </w:tc>
              <w:tc>
                <w:tcPr>
                  <w:tcW w:w="1565" w:type="dxa"/>
                  <w:noWrap w:val="0"/>
                  <w:vAlign w:val="center"/>
                </w:tcPr>
                <w:p w14:paraId="33913A45">
                  <w:pPr>
                    <w:pStyle w:val="9"/>
                    <w:spacing w:line="240" w:lineRule="exact"/>
                    <w:ind w:firstLine="0" w:firstLineChars="0"/>
                    <w:jc w:val="center"/>
                    <w:rPr>
                      <w:szCs w:val="21"/>
                    </w:rPr>
                  </w:pPr>
                  <w:r>
                    <w:rPr>
                      <w:szCs w:val="21"/>
                    </w:rPr>
                    <w:t>107753</w:t>
                  </w:r>
                </w:p>
              </w:tc>
            </w:tr>
            <w:tr w14:paraId="557CBB6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714" w:type="dxa"/>
                  <w:vMerge w:val="continue"/>
                  <w:noWrap w:val="0"/>
                  <w:vAlign w:val="center"/>
                </w:tcPr>
                <w:p w14:paraId="1ABEB2E7">
                  <w:pPr>
                    <w:pStyle w:val="9"/>
                    <w:spacing w:line="240" w:lineRule="exact"/>
                    <w:ind w:firstLine="0" w:firstLineChars="0"/>
                    <w:jc w:val="center"/>
                    <w:rPr>
                      <w:rFonts w:hint="eastAsia"/>
                      <w:szCs w:val="21"/>
                    </w:rPr>
                  </w:pPr>
                </w:p>
              </w:tc>
              <w:tc>
                <w:tcPr>
                  <w:tcW w:w="702" w:type="dxa"/>
                  <w:vMerge w:val="continue"/>
                  <w:noWrap w:val="0"/>
                  <w:vAlign w:val="center"/>
                </w:tcPr>
                <w:p w14:paraId="0FD325EB">
                  <w:pPr>
                    <w:pStyle w:val="9"/>
                    <w:spacing w:line="240" w:lineRule="exact"/>
                    <w:ind w:firstLine="0" w:firstLineChars="0"/>
                    <w:jc w:val="center"/>
                    <w:rPr>
                      <w:rFonts w:hint="eastAsia"/>
                      <w:szCs w:val="21"/>
                    </w:rPr>
                  </w:pPr>
                </w:p>
              </w:tc>
              <w:tc>
                <w:tcPr>
                  <w:tcW w:w="683" w:type="dxa"/>
                  <w:vMerge w:val="continue"/>
                  <w:noWrap w:val="0"/>
                  <w:vAlign w:val="center"/>
                </w:tcPr>
                <w:p w14:paraId="52C82053">
                  <w:pPr>
                    <w:pStyle w:val="9"/>
                    <w:spacing w:line="240" w:lineRule="exact"/>
                    <w:ind w:firstLine="0" w:firstLineChars="0"/>
                    <w:jc w:val="center"/>
                    <w:rPr>
                      <w:rFonts w:hint="eastAsia"/>
                      <w:szCs w:val="21"/>
                    </w:rPr>
                  </w:pPr>
                </w:p>
              </w:tc>
              <w:tc>
                <w:tcPr>
                  <w:tcW w:w="655" w:type="dxa"/>
                  <w:vMerge w:val="continue"/>
                  <w:noWrap w:val="0"/>
                  <w:vAlign w:val="center"/>
                </w:tcPr>
                <w:p w14:paraId="3C05F0F0">
                  <w:pPr>
                    <w:pStyle w:val="9"/>
                    <w:spacing w:line="240" w:lineRule="exact"/>
                    <w:ind w:firstLine="0" w:firstLineChars="0"/>
                    <w:jc w:val="center"/>
                    <w:rPr>
                      <w:rFonts w:hint="eastAsia"/>
                      <w:szCs w:val="21"/>
                    </w:rPr>
                  </w:pPr>
                </w:p>
              </w:tc>
              <w:tc>
                <w:tcPr>
                  <w:tcW w:w="1376" w:type="dxa"/>
                  <w:noWrap w:val="0"/>
                  <w:vAlign w:val="center"/>
                </w:tcPr>
                <w:p w14:paraId="34A0EB05">
                  <w:pPr>
                    <w:pStyle w:val="9"/>
                    <w:spacing w:line="240" w:lineRule="exact"/>
                    <w:ind w:firstLine="0" w:firstLineChars="0"/>
                    <w:jc w:val="center"/>
                    <w:rPr>
                      <w:rFonts w:hint="eastAsia"/>
                      <w:szCs w:val="21"/>
                    </w:rPr>
                  </w:pPr>
                  <w:r>
                    <w:rPr>
                      <w:rFonts w:hint="eastAsia"/>
                      <w:szCs w:val="21"/>
                    </w:rPr>
                    <w:t>二氧化硫</w:t>
                  </w:r>
                </w:p>
              </w:tc>
              <w:tc>
                <w:tcPr>
                  <w:tcW w:w="2261" w:type="dxa"/>
                  <w:noWrap w:val="0"/>
                  <w:vAlign w:val="center"/>
                </w:tcPr>
                <w:p w14:paraId="03A3A9CC">
                  <w:pPr>
                    <w:pStyle w:val="9"/>
                    <w:spacing w:line="240" w:lineRule="exact"/>
                    <w:ind w:firstLine="0" w:firstLineChars="0"/>
                    <w:jc w:val="center"/>
                    <w:rPr>
                      <w:rFonts w:hint="eastAsia"/>
                      <w:szCs w:val="21"/>
                    </w:rPr>
                  </w:pPr>
                  <w:r>
                    <w:rPr>
                      <w:rFonts w:hint="eastAsia"/>
                      <w:szCs w:val="21"/>
                    </w:rPr>
                    <w:t>千克/万立方米-原料</w:t>
                  </w:r>
                </w:p>
              </w:tc>
              <w:tc>
                <w:tcPr>
                  <w:tcW w:w="1565" w:type="dxa"/>
                  <w:noWrap w:val="0"/>
                  <w:vAlign w:val="center"/>
                </w:tcPr>
                <w:p w14:paraId="7241D193">
                  <w:pPr>
                    <w:pStyle w:val="9"/>
                    <w:spacing w:line="240" w:lineRule="exact"/>
                    <w:ind w:firstLine="0" w:firstLineChars="0"/>
                    <w:jc w:val="center"/>
                    <w:rPr>
                      <w:szCs w:val="21"/>
                    </w:rPr>
                  </w:pPr>
                  <w:r>
                    <w:rPr>
                      <w:szCs w:val="21"/>
                    </w:rPr>
                    <w:t>0.02S</w:t>
                  </w:r>
                  <w:r>
                    <w:rPr>
                      <w:szCs w:val="21"/>
                      <w:vertAlign w:val="superscript"/>
                    </w:rPr>
                    <w:t>4</w:t>
                  </w:r>
                </w:p>
              </w:tc>
            </w:tr>
            <w:tr w14:paraId="1986C16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714" w:type="dxa"/>
                  <w:vMerge w:val="continue"/>
                  <w:noWrap w:val="0"/>
                  <w:vAlign w:val="center"/>
                </w:tcPr>
                <w:p w14:paraId="6DE593D9">
                  <w:pPr>
                    <w:pStyle w:val="9"/>
                    <w:spacing w:line="240" w:lineRule="exact"/>
                    <w:ind w:firstLine="0" w:firstLineChars="0"/>
                    <w:jc w:val="center"/>
                    <w:rPr>
                      <w:rFonts w:hint="eastAsia"/>
                      <w:szCs w:val="21"/>
                    </w:rPr>
                  </w:pPr>
                </w:p>
              </w:tc>
              <w:tc>
                <w:tcPr>
                  <w:tcW w:w="702" w:type="dxa"/>
                  <w:vMerge w:val="continue"/>
                  <w:noWrap w:val="0"/>
                  <w:vAlign w:val="center"/>
                </w:tcPr>
                <w:p w14:paraId="3CBD95FD">
                  <w:pPr>
                    <w:pStyle w:val="9"/>
                    <w:spacing w:line="240" w:lineRule="exact"/>
                    <w:ind w:firstLine="0" w:firstLineChars="0"/>
                    <w:jc w:val="center"/>
                    <w:rPr>
                      <w:rFonts w:hint="eastAsia"/>
                      <w:szCs w:val="21"/>
                    </w:rPr>
                  </w:pPr>
                </w:p>
              </w:tc>
              <w:tc>
                <w:tcPr>
                  <w:tcW w:w="683" w:type="dxa"/>
                  <w:vMerge w:val="continue"/>
                  <w:noWrap w:val="0"/>
                  <w:vAlign w:val="center"/>
                </w:tcPr>
                <w:p w14:paraId="44A50F8F">
                  <w:pPr>
                    <w:pStyle w:val="9"/>
                    <w:spacing w:line="240" w:lineRule="exact"/>
                    <w:ind w:firstLine="0" w:firstLineChars="0"/>
                    <w:jc w:val="center"/>
                    <w:rPr>
                      <w:rFonts w:hint="eastAsia"/>
                      <w:szCs w:val="21"/>
                    </w:rPr>
                  </w:pPr>
                </w:p>
              </w:tc>
              <w:tc>
                <w:tcPr>
                  <w:tcW w:w="655" w:type="dxa"/>
                  <w:vMerge w:val="continue"/>
                  <w:noWrap w:val="0"/>
                  <w:vAlign w:val="center"/>
                </w:tcPr>
                <w:p w14:paraId="59939DDA">
                  <w:pPr>
                    <w:pStyle w:val="9"/>
                    <w:spacing w:line="240" w:lineRule="exact"/>
                    <w:ind w:firstLine="0" w:firstLineChars="0"/>
                    <w:jc w:val="center"/>
                    <w:rPr>
                      <w:rFonts w:hint="eastAsia"/>
                      <w:szCs w:val="21"/>
                    </w:rPr>
                  </w:pPr>
                </w:p>
              </w:tc>
              <w:tc>
                <w:tcPr>
                  <w:tcW w:w="1376" w:type="dxa"/>
                  <w:noWrap w:val="0"/>
                  <w:vAlign w:val="center"/>
                </w:tcPr>
                <w:p w14:paraId="5813FB38">
                  <w:pPr>
                    <w:pStyle w:val="9"/>
                    <w:spacing w:line="240" w:lineRule="exact"/>
                    <w:ind w:firstLine="0" w:firstLineChars="0"/>
                    <w:jc w:val="center"/>
                    <w:rPr>
                      <w:szCs w:val="21"/>
                    </w:rPr>
                  </w:pPr>
                  <w:r>
                    <w:rPr>
                      <w:rFonts w:hint="eastAsia"/>
                      <w:szCs w:val="21"/>
                    </w:rPr>
                    <w:t>氮氧化物</w:t>
                  </w:r>
                </w:p>
              </w:tc>
              <w:tc>
                <w:tcPr>
                  <w:tcW w:w="2261" w:type="dxa"/>
                  <w:noWrap w:val="0"/>
                  <w:vAlign w:val="center"/>
                </w:tcPr>
                <w:p w14:paraId="40B64269">
                  <w:pPr>
                    <w:spacing w:line="240" w:lineRule="exact"/>
                    <w:jc w:val="center"/>
                    <w:rPr>
                      <w:rFonts w:hint="eastAsia"/>
                      <w:szCs w:val="21"/>
                    </w:rPr>
                  </w:pPr>
                  <w:r>
                    <w:rPr>
                      <w:rFonts w:hint="eastAsia"/>
                      <w:szCs w:val="21"/>
                    </w:rPr>
                    <w:t>千克/万立方米-原料</w:t>
                  </w:r>
                </w:p>
              </w:tc>
              <w:tc>
                <w:tcPr>
                  <w:tcW w:w="1565" w:type="dxa"/>
                  <w:noWrap w:val="0"/>
                  <w:vAlign w:val="center"/>
                </w:tcPr>
                <w:p w14:paraId="1787A820">
                  <w:pPr>
                    <w:pStyle w:val="9"/>
                    <w:spacing w:line="240" w:lineRule="exact"/>
                    <w:ind w:firstLine="0" w:firstLineChars="0"/>
                    <w:jc w:val="center"/>
                    <w:rPr>
                      <w:rFonts w:hint="eastAsia"/>
                      <w:szCs w:val="21"/>
                    </w:rPr>
                  </w:pPr>
                  <w:r>
                    <w:rPr>
                      <w:rFonts w:hint="eastAsia"/>
                      <w:szCs w:val="21"/>
                    </w:rPr>
                    <w:t>15.87(低氮燃烧-国内一般)</w:t>
                  </w:r>
                  <w:r>
                    <w:rPr>
                      <w:rFonts w:hint="eastAsia"/>
                      <w:szCs w:val="21"/>
                      <w:vertAlign w:val="superscript"/>
                    </w:rPr>
                    <w:t>3</w:t>
                  </w:r>
                </w:p>
              </w:tc>
            </w:tr>
            <w:tr w14:paraId="2F528E9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714" w:type="dxa"/>
                  <w:vMerge w:val="continue"/>
                  <w:noWrap w:val="0"/>
                  <w:vAlign w:val="center"/>
                </w:tcPr>
                <w:p w14:paraId="0F99F392">
                  <w:pPr>
                    <w:pStyle w:val="9"/>
                    <w:spacing w:line="240" w:lineRule="exact"/>
                    <w:ind w:firstLine="0" w:firstLineChars="0"/>
                    <w:jc w:val="center"/>
                    <w:rPr>
                      <w:rFonts w:hint="eastAsia"/>
                      <w:szCs w:val="21"/>
                    </w:rPr>
                  </w:pPr>
                </w:p>
              </w:tc>
              <w:tc>
                <w:tcPr>
                  <w:tcW w:w="702" w:type="dxa"/>
                  <w:vMerge w:val="continue"/>
                  <w:noWrap w:val="0"/>
                  <w:vAlign w:val="center"/>
                </w:tcPr>
                <w:p w14:paraId="2DC6E109">
                  <w:pPr>
                    <w:pStyle w:val="9"/>
                    <w:spacing w:line="240" w:lineRule="exact"/>
                    <w:ind w:firstLine="0" w:firstLineChars="0"/>
                    <w:jc w:val="center"/>
                    <w:rPr>
                      <w:rFonts w:hint="eastAsia"/>
                      <w:szCs w:val="21"/>
                    </w:rPr>
                  </w:pPr>
                </w:p>
              </w:tc>
              <w:tc>
                <w:tcPr>
                  <w:tcW w:w="683" w:type="dxa"/>
                  <w:vMerge w:val="continue"/>
                  <w:noWrap w:val="0"/>
                  <w:vAlign w:val="center"/>
                </w:tcPr>
                <w:p w14:paraId="59A5A047">
                  <w:pPr>
                    <w:pStyle w:val="9"/>
                    <w:spacing w:line="240" w:lineRule="exact"/>
                    <w:ind w:firstLine="0" w:firstLineChars="0"/>
                    <w:jc w:val="center"/>
                    <w:rPr>
                      <w:rFonts w:hint="eastAsia"/>
                      <w:szCs w:val="21"/>
                    </w:rPr>
                  </w:pPr>
                </w:p>
              </w:tc>
              <w:tc>
                <w:tcPr>
                  <w:tcW w:w="655" w:type="dxa"/>
                  <w:vMerge w:val="continue"/>
                  <w:noWrap w:val="0"/>
                  <w:vAlign w:val="center"/>
                </w:tcPr>
                <w:p w14:paraId="1C8AAA14">
                  <w:pPr>
                    <w:pStyle w:val="9"/>
                    <w:spacing w:line="240" w:lineRule="exact"/>
                    <w:ind w:firstLine="0" w:firstLineChars="0"/>
                    <w:jc w:val="center"/>
                    <w:rPr>
                      <w:rFonts w:hint="eastAsia"/>
                      <w:szCs w:val="21"/>
                    </w:rPr>
                  </w:pPr>
                </w:p>
              </w:tc>
              <w:tc>
                <w:tcPr>
                  <w:tcW w:w="1376" w:type="dxa"/>
                  <w:noWrap w:val="0"/>
                  <w:vAlign w:val="center"/>
                </w:tcPr>
                <w:p w14:paraId="52EC0AE8">
                  <w:pPr>
                    <w:spacing w:line="240" w:lineRule="exact"/>
                    <w:jc w:val="center"/>
                    <w:rPr>
                      <w:rFonts w:hint="eastAsia"/>
                      <w:szCs w:val="21"/>
                    </w:rPr>
                  </w:pPr>
                  <w:r>
                    <w:rPr>
                      <w:rFonts w:hint="eastAsia"/>
                      <w:szCs w:val="21"/>
                    </w:rPr>
                    <w:t>氮氧化物</w:t>
                  </w:r>
                </w:p>
              </w:tc>
              <w:tc>
                <w:tcPr>
                  <w:tcW w:w="2261" w:type="dxa"/>
                  <w:noWrap w:val="0"/>
                  <w:vAlign w:val="center"/>
                </w:tcPr>
                <w:p w14:paraId="562F0BA9">
                  <w:pPr>
                    <w:spacing w:line="240" w:lineRule="exact"/>
                    <w:jc w:val="center"/>
                    <w:rPr>
                      <w:rFonts w:hint="eastAsia"/>
                      <w:szCs w:val="21"/>
                    </w:rPr>
                  </w:pPr>
                  <w:r>
                    <w:rPr>
                      <w:rFonts w:hint="eastAsia"/>
                      <w:szCs w:val="21"/>
                    </w:rPr>
                    <w:t>千克/万立方米-原料</w:t>
                  </w:r>
                </w:p>
              </w:tc>
              <w:tc>
                <w:tcPr>
                  <w:tcW w:w="1565" w:type="dxa"/>
                  <w:noWrap w:val="0"/>
                  <w:vAlign w:val="center"/>
                </w:tcPr>
                <w:p w14:paraId="790C33C2">
                  <w:pPr>
                    <w:pStyle w:val="9"/>
                    <w:spacing w:line="240" w:lineRule="exact"/>
                    <w:ind w:firstLine="0" w:firstLineChars="0"/>
                    <w:jc w:val="center"/>
                    <w:rPr>
                      <w:rFonts w:hint="eastAsia"/>
                      <w:szCs w:val="21"/>
                    </w:rPr>
                  </w:pPr>
                  <w:r>
                    <w:rPr>
                      <w:rFonts w:hint="eastAsia"/>
                      <w:szCs w:val="21"/>
                    </w:rPr>
                    <w:t>6.97(低氮燃烧-国内领先)</w:t>
                  </w:r>
                  <w:r>
                    <w:rPr>
                      <w:rFonts w:hint="eastAsia"/>
                      <w:szCs w:val="21"/>
                      <w:vertAlign w:val="superscript"/>
                    </w:rPr>
                    <w:t>3</w:t>
                  </w:r>
                </w:p>
              </w:tc>
            </w:tr>
            <w:tr w14:paraId="0AFC7C1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714" w:type="dxa"/>
                  <w:vMerge w:val="continue"/>
                  <w:noWrap w:val="0"/>
                  <w:vAlign w:val="center"/>
                </w:tcPr>
                <w:p w14:paraId="32729EB9">
                  <w:pPr>
                    <w:pStyle w:val="9"/>
                    <w:spacing w:line="240" w:lineRule="exact"/>
                    <w:ind w:firstLine="0" w:firstLineChars="0"/>
                    <w:jc w:val="center"/>
                    <w:rPr>
                      <w:rFonts w:hint="eastAsia"/>
                      <w:szCs w:val="21"/>
                    </w:rPr>
                  </w:pPr>
                </w:p>
              </w:tc>
              <w:tc>
                <w:tcPr>
                  <w:tcW w:w="702" w:type="dxa"/>
                  <w:vMerge w:val="continue"/>
                  <w:noWrap w:val="0"/>
                  <w:vAlign w:val="center"/>
                </w:tcPr>
                <w:p w14:paraId="52FF1B8F">
                  <w:pPr>
                    <w:pStyle w:val="9"/>
                    <w:spacing w:line="240" w:lineRule="exact"/>
                    <w:ind w:firstLine="0" w:firstLineChars="0"/>
                    <w:jc w:val="center"/>
                    <w:rPr>
                      <w:rFonts w:hint="eastAsia"/>
                      <w:szCs w:val="21"/>
                    </w:rPr>
                  </w:pPr>
                </w:p>
              </w:tc>
              <w:tc>
                <w:tcPr>
                  <w:tcW w:w="683" w:type="dxa"/>
                  <w:vMerge w:val="continue"/>
                  <w:noWrap w:val="0"/>
                  <w:vAlign w:val="center"/>
                </w:tcPr>
                <w:p w14:paraId="32BB8490">
                  <w:pPr>
                    <w:pStyle w:val="9"/>
                    <w:spacing w:line="240" w:lineRule="exact"/>
                    <w:ind w:firstLine="0" w:firstLineChars="0"/>
                    <w:jc w:val="center"/>
                    <w:rPr>
                      <w:rFonts w:hint="eastAsia"/>
                      <w:szCs w:val="21"/>
                    </w:rPr>
                  </w:pPr>
                </w:p>
              </w:tc>
              <w:tc>
                <w:tcPr>
                  <w:tcW w:w="655" w:type="dxa"/>
                  <w:vMerge w:val="continue"/>
                  <w:noWrap w:val="0"/>
                  <w:vAlign w:val="center"/>
                </w:tcPr>
                <w:p w14:paraId="479CCA11">
                  <w:pPr>
                    <w:pStyle w:val="9"/>
                    <w:spacing w:line="240" w:lineRule="exact"/>
                    <w:ind w:firstLine="0" w:firstLineChars="0"/>
                    <w:jc w:val="center"/>
                    <w:rPr>
                      <w:rFonts w:hint="eastAsia"/>
                      <w:szCs w:val="21"/>
                    </w:rPr>
                  </w:pPr>
                </w:p>
              </w:tc>
              <w:tc>
                <w:tcPr>
                  <w:tcW w:w="1376" w:type="dxa"/>
                  <w:noWrap w:val="0"/>
                  <w:vAlign w:val="center"/>
                </w:tcPr>
                <w:p w14:paraId="19F72363">
                  <w:pPr>
                    <w:spacing w:line="240" w:lineRule="exact"/>
                    <w:jc w:val="center"/>
                    <w:rPr>
                      <w:rFonts w:hint="eastAsia"/>
                      <w:szCs w:val="21"/>
                    </w:rPr>
                  </w:pPr>
                  <w:r>
                    <w:rPr>
                      <w:rFonts w:hint="eastAsia"/>
                      <w:szCs w:val="21"/>
                    </w:rPr>
                    <w:t>氮氧化物</w:t>
                  </w:r>
                </w:p>
              </w:tc>
              <w:tc>
                <w:tcPr>
                  <w:tcW w:w="2261" w:type="dxa"/>
                  <w:noWrap w:val="0"/>
                  <w:vAlign w:val="center"/>
                </w:tcPr>
                <w:p w14:paraId="0DDA8393">
                  <w:pPr>
                    <w:spacing w:line="240" w:lineRule="exact"/>
                    <w:jc w:val="center"/>
                    <w:rPr>
                      <w:rFonts w:hint="eastAsia"/>
                      <w:szCs w:val="21"/>
                    </w:rPr>
                  </w:pPr>
                  <w:r>
                    <w:rPr>
                      <w:rFonts w:hint="eastAsia"/>
                      <w:szCs w:val="21"/>
                    </w:rPr>
                    <w:t>千克/万立方米-原料</w:t>
                  </w:r>
                </w:p>
              </w:tc>
              <w:tc>
                <w:tcPr>
                  <w:tcW w:w="1565" w:type="dxa"/>
                  <w:noWrap w:val="0"/>
                  <w:vAlign w:val="center"/>
                </w:tcPr>
                <w:p w14:paraId="025213A5">
                  <w:pPr>
                    <w:pStyle w:val="9"/>
                    <w:spacing w:line="240" w:lineRule="exact"/>
                    <w:ind w:firstLine="0" w:firstLineChars="0"/>
                    <w:jc w:val="center"/>
                    <w:rPr>
                      <w:rFonts w:hint="eastAsia"/>
                      <w:szCs w:val="21"/>
                    </w:rPr>
                  </w:pPr>
                  <w:r>
                    <w:rPr>
                      <w:rFonts w:hint="eastAsia"/>
                      <w:szCs w:val="21"/>
                    </w:rPr>
                    <w:t>3.03(低氮燃烧-国际领先)</w:t>
                  </w:r>
                  <w:r>
                    <w:rPr>
                      <w:rFonts w:hint="eastAsia"/>
                      <w:szCs w:val="21"/>
                      <w:vertAlign w:val="superscript"/>
                    </w:rPr>
                    <w:t>3</w:t>
                  </w:r>
                </w:p>
              </w:tc>
            </w:tr>
            <w:tr w14:paraId="07D350F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7956" w:type="dxa"/>
                  <w:gridSpan w:val="7"/>
                  <w:noWrap w:val="0"/>
                  <w:vAlign w:val="center"/>
                </w:tcPr>
                <w:p w14:paraId="28ECAE6A">
                  <w:pPr>
                    <w:pStyle w:val="9"/>
                    <w:spacing w:line="240" w:lineRule="exact"/>
                    <w:ind w:firstLine="0" w:firstLineChars="0"/>
                    <w:jc w:val="center"/>
                    <w:rPr>
                      <w:rFonts w:hint="eastAsia"/>
                      <w:szCs w:val="21"/>
                    </w:rPr>
                  </w:pPr>
                  <w:r>
                    <w:rPr>
                      <w:rFonts w:hint="eastAsia"/>
                      <w:szCs w:val="21"/>
                    </w:rPr>
                    <w:t>注：3、低氮燃烧-国际领先技术的天然气锅炉设计NOx排放控制要求一般小于60mg/m</w:t>
                  </w:r>
                  <w:r>
                    <w:rPr>
                      <w:rFonts w:hint="eastAsia"/>
                      <w:szCs w:val="21"/>
                      <w:vertAlign w:val="superscript"/>
                    </w:rPr>
                    <w:t>3</w:t>
                  </w:r>
                  <w:r>
                    <w:rPr>
                      <w:rFonts w:hint="eastAsia"/>
                      <w:szCs w:val="21"/>
                    </w:rPr>
                    <w:t>（@3.5%O</w:t>
                  </w:r>
                  <w:r>
                    <w:rPr>
                      <w:rFonts w:hint="eastAsia"/>
                      <w:szCs w:val="21"/>
                      <w:vertAlign w:val="subscript"/>
                    </w:rPr>
                    <w:t>2</w:t>
                  </w:r>
                  <w:r>
                    <w:rPr>
                      <w:rFonts w:hint="eastAsia"/>
                      <w:szCs w:val="21"/>
                    </w:rPr>
                    <w:t>）；低氮燃烧-国内领先技术的天然气锅炉设计NOx排放控制要求一般介于60mg/m</w:t>
                  </w:r>
                  <w:r>
                    <w:rPr>
                      <w:rFonts w:hint="eastAsia"/>
                      <w:szCs w:val="21"/>
                      <w:vertAlign w:val="superscript"/>
                    </w:rPr>
                    <w:t>3</w:t>
                  </w:r>
                  <w:r>
                    <w:rPr>
                      <w:rFonts w:hint="eastAsia"/>
                      <w:szCs w:val="21"/>
                    </w:rPr>
                    <w:t>（@3.5%O</w:t>
                  </w:r>
                  <w:r>
                    <w:rPr>
                      <w:rFonts w:hint="eastAsia"/>
                      <w:szCs w:val="21"/>
                      <w:vertAlign w:val="subscript"/>
                    </w:rPr>
                    <w:t>2</w:t>
                  </w:r>
                  <w:r>
                    <w:rPr>
                      <w:rFonts w:hint="eastAsia"/>
                      <w:szCs w:val="21"/>
                    </w:rPr>
                    <w:t>）~100mg/m</w:t>
                  </w:r>
                  <w:r>
                    <w:rPr>
                      <w:rFonts w:hint="eastAsia"/>
                      <w:szCs w:val="21"/>
                      <w:vertAlign w:val="superscript"/>
                    </w:rPr>
                    <w:t>3</w:t>
                  </w:r>
                  <w:r>
                    <w:rPr>
                      <w:rFonts w:hint="eastAsia"/>
                      <w:szCs w:val="21"/>
                    </w:rPr>
                    <w:t>（@3.5%O</w:t>
                  </w:r>
                  <w:r>
                    <w:rPr>
                      <w:rFonts w:hint="eastAsia"/>
                      <w:szCs w:val="21"/>
                      <w:vertAlign w:val="subscript"/>
                    </w:rPr>
                    <w:t>2</w:t>
                  </w:r>
                  <w:r>
                    <w:rPr>
                      <w:rFonts w:hint="eastAsia"/>
                      <w:szCs w:val="21"/>
                    </w:rPr>
                    <w:t>）；低氮燃烧-国内一般技术的天然气锅炉设计NO</w:t>
                  </w:r>
                  <w:r>
                    <w:rPr>
                      <w:rFonts w:hint="eastAsia"/>
                      <w:szCs w:val="21"/>
                      <w:vertAlign w:val="subscript"/>
                    </w:rPr>
                    <w:t>x</w:t>
                  </w:r>
                  <w:r>
                    <w:rPr>
                      <w:rFonts w:hint="eastAsia"/>
                      <w:szCs w:val="21"/>
                    </w:rPr>
                    <w:t>排放控制要求一般介于100mg/m</w:t>
                  </w:r>
                  <w:r>
                    <w:rPr>
                      <w:rFonts w:hint="eastAsia"/>
                      <w:szCs w:val="21"/>
                      <w:vertAlign w:val="superscript"/>
                    </w:rPr>
                    <w:t>3</w:t>
                  </w:r>
                  <w:r>
                    <w:rPr>
                      <w:rFonts w:hint="eastAsia"/>
                      <w:szCs w:val="21"/>
                    </w:rPr>
                    <w:t>（@3.5%O2）~200mg/m</w:t>
                  </w:r>
                  <w:r>
                    <w:rPr>
                      <w:rFonts w:hint="eastAsia"/>
                      <w:szCs w:val="21"/>
                      <w:vertAlign w:val="superscript"/>
                    </w:rPr>
                    <w:t>3</w:t>
                  </w:r>
                  <w:r>
                    <w:rPr>
                      <w:rFonts w:hint="eastAsia"/>
                      <w:szCs w:val="21"/>
                    </w:rPr>
                    <w:t>（@3.5%O</w:t>
                  </w:r>
                  <w:r>
                    <w:rPr>
                      <w:rFonts w:hint="eastAsia"/>
                      <w:szCs w:val="21"/>
                      <w:vertAlign w:val="subscript"/>
                    </w:rPr>
                    <w:t>2</w:t>
                  </w:r>
                  <w:r>
                    <w:rPr>
                      <w:rFonts w:hint="eastAsia"/>
                      <w:szCs w:val="21"/>
                    </w:rPr>
                    <w:t>）。</w:t>
                  </w:r>
                </w:p>
                <w:p w14:paraId="53A8B60C">
                  <w:pPr>
                    <w:pStyle w:val="9"/>
                    <w:spacing w:line="240" w:lineRule="exact"/>
                    <w:ind w:firstLine="0" w:firstLineChars="0"/>
                    <w:jc w:val="center"/>
                    <w:rPr>
                      <w:rFonts w:hint="eastAsia"/>
                      <w:szCs w:val="21"/>
                    </w:rPr>
                  </w:pPr>
                  <w:r>
                    <w:rPr>
                      <w:rFonts w:hint="eastAsia"/>
                      <w:szCs w:val="21"/>
                    </w:rPr>
                    <w:t>4、产污系数表中气体燃料的二氧化硫的产污系数是以含硫量（S）的形式表示的，其中含硫量（S）是指气体燃料中的硫含量，单位为毫克/立方米。例如燃料中含硫量（S）为200毫克/立方米，则S=200。</w:t>
                  </w:r>
                </w:p>
              </w:tc>
            </w:tr>
          </w:tbl>
          <w:p w14:paraId="69A9EE21">
            <w:pPr>
              <w:pStyle w:val="9"/>
              <w:ind w:firstLine="0" w:firstLineChars="0"/>
              <w:jc w:val="center"/>
              <w:rPr>
                <w:rFonts w:hint="eastAsia"/>
                <w:szCs w:val="21"/>
              </w:rPr>
            </w:pPr>
          </w:p>
          <w:p w14:paraId="447C4A59">
            <w:pPr>
              <w:autoSpaceDE w:val="0"/>
              <w:autoSpaceDN w:val="0"/>
              <w:spacing w:line="360" w:lineRule="auto"/>
              <w:ind w:firstLine="480" w:firstLineChars="200"/>
              <w:rPr>
                <w:sz w:val="24"/>
              </w:rPr>
            </w:pPr>
            <w:r>
              <w:rPr>
                <w:rFonts w:hint="eastAsia"/>
                <w:sz w:val="24"/>
              </w:rPr>
              <w:t>根据调查，本项目</w:t>
            </w:r>
            <w:r>
              <w:rPr>
                <w:rFonts w:hint="eastAsia"/>
                <w:sz w:val="24"/>
                <w:lang w:val="en-US" w:eastAsia="zh-CN"/>
              </w:rPr>
              <w:t>导热油炉使用</w:t>
            </w:r>
            <w:r>
              <w:rPr>
                <w:rFonts w:hint="eastAsia"/>
                <w:sz w:val="24"/>
              </w:rPr>
              <w:t>天然气为一类用气，根据国家标准《天然气》（GB17820-2018），一类用气中含硫量（S）为20毫克/立方米，本项目</w:t>
            </w:r>
            <w:r>
              <w:rPr>
                <w:rFonts w:hint="eastAsia"/>
                <w:sz w:val="24"/>
                <w:lang w:val="en-US" w:eastAsia="zh-CN"/>
              </w:rPr>
              <w:t>导热油炉</w:t>
            </w:r>
            <w:r>
              <w:rPr>
                <w:rFonts w:hint="eastAsia"/>
                <w:sz w:val="24"/>
              </w:rPr>
              <w:t>天然气燃烧废气排放标准需满足《四川省大气污染物工程减量指导意见（2023-2025年）》（川污防攻坚办【2023】15号）中燃气锅炉排放限值（氮氧化物排放限值不高于50毫克/立方米），</w:t>
            </w:r>
            <w:r>
              <w:rPr>
                <w:rFonts w:hint="eastAsia"/>
                <w:sz w:val="24"/>
                <w:lang w:val="en-US" w:eastAsia="zh-CN"/>
              </w:rPr>
              <w:t>导热油炉</w:t>
            </w:r>
            <w:r>
              <w:rPr>
                <w:rFonts w:hint="eastAsia"/>
                <w:sz w:val="24"/>
              </w:rPr>
              <w:t>低氮燃烧应按照国际领先技术的天然气锅炉设计。</w:t>
            </w:r>
          </w:p>
          <w:p w14:paraId="17C7C2D7">
            <w:pPr>
              <w:autoSpaceDE w:val="0"/>
              <w:autoSpaceDN w:val="0"/>
              <w:spacing w:line="360" w:lineRule="auto"/>
              <w:ind w:firstLine="480" w:firstLineChars="200"/>
              <w:rPr>
                <w:sz w:val="24"/>
              </w:rPr>
            </w:pPr>
            <w:r>
              <w:rPr>
                <w:rFonts w:hint="eastAsia"/>
                <w:sz w:val="24"/>
              </w:rPr>
              <w:t>“4430工业锅炉行业系数手册-4430 工业锅炉（热力生产和供应行业）产污系数表-燃气工业锅炉”中未介绍颗粒物的产污系数，本次评价颗粒物及CO的产污系数参照《污染源源强核算技术指南 锅炉》（HJ991-2018）以及《排污许可证申请与核发技术规范 锅炉》（HJ953-2018）推荐公式示进行核算，具体公式如下：</w:t>
            </w:r>
          </w:p>
          <w:p w14:paraId="3A66C44F">
            <w:pPr>
              <w:autoSpaceDE w:val="0"/>
              <w:autoSpaceDN w:val="0"/>
              <w:spacing w:line="360" w:lineRule="auto"/>
              <w:ind w:firstLine="482" w:firstLineChars="200"/>
              <w:rPr>
                <w:rFonts w:hint="eastAsia"/>
                <w:sz w:val="24"/>
              </w:rPr>
            </w:pPr>
            <w:r>
              <w:rPr>
                <w:rFonts w:hint="eastAsia"/>
                <w:b/>
                <w:bCs/>
                <w:sz w:val="24"/>
              </w:rPr>
              <w:t>颗粒物：</w:t>
            </w:r>
          </w:p>
          <w:p w14:paraId="23B6BFA9">
            <w:pPr>
              <w:autoSpaceDE w:val="0"/>
              <w:autoSpaceDN w:val="0"/>
              <w:jc w:val="center"/>
              <w:rPr>
                <w:rFonts w:hint="eastAsia"/>
                <w:szCs w:val="21"/>
              </w:rPr>
            </w:pPr>
            <w:r>
              <w:rPr>
                <w:rFonts w:hint="eastAsia"/>
                <w:szCs w:val="21"/>
              </w:rPr>
              <w:drawing>
                <wp:inline distT="0" distB="0" distL="114300" distR="114300">
                  <wp:extent cx="1654175" cy="411480"/>
                  <wp:effectExtent l="0" t="0" r="3175" b="7620"/>
                  <wp:docPr id="1" name="图片 1" descr="QQ20241014-09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20241014-092341"/>
                          <pic:cNvPicPr>
                            <a:picLocks noChangeAspect="1"/>
                          </pic:cNvPicPr>
                        </pic:nvPicPr>
                        <pic:blipFill>
                          <a:blip r:embed="rId16"/>
                          <a:stretch>
                            <a:fillRect/>
                          </a:stretch>
                        </pic:blipFill>
                        <pic:spPr>
                          <a:xfrm>
                            <a:off x="0" y="0"/>
                            <a:ext cx="1654175" cy="411480"/>
                          </a:xfrm>
                          <a:prstGeom prst="rect">
                            <a:avLst/>
                          </a:prstGeom>
                          <a:noFill/>
                          <a:ln>
                            <a:noFill/>
                          </a:ln>
                        </pic:spPr>
                      </pic:pic>
                    </a:graphicData>
                  </a:graphic>
                </wp:inline>
              </w:drawing>
            </w:r>
          </w:p>
          <w:p w14:paraId="6F1FE64D">
            <w:pPr>
              <w:autoSpaceDE w:val="0"/>
              <w:autoSpaceDN w:val="0"/>
              <w:spacing w:line="360" w:lineRule="auto"/>
              <w:ind w:firstLine="480" w:firstLineChars="200"/>
              <w:rPr>
                <w:rFonts w:hint="eastAsia"/>
                <w:sz w:val="24"/>
              </w:rPr>
            </w:pPr>
            <w:r>
              <w:rPr>
                <w:rFonts w:hint="eastAsia"/>
                <w:sz w:val="24"/>
              </w:rPr>
              <w:t>式中：Ej--核算时段第j种污染物排放量，t；</w:t>
            </w:r>
          </w:p>
          <w:p w14:paraId="024BD8EF">
            <w:pPr>
              <w:autoSpaceDE w:val="0"/>
              <w:autoSpaceDN w:val="0"/>
              <w:spacing w:line="360" w:lineRule="auto"/>
              <w:ind w:firstLine="1200" w:firstLineChars="500"/>
              <w:rPr>
                <w:rFonts w:hint="eastAsia"/>
                <w:sz w:val="24"/>
              </w:rPr>
            </w:pPr>
            <w:r>
              <w:rPr>
                <w:rFonts w:hint="eastAsia"/>
                <w:sz w:val="24"/>
              </w:rPr>
              <w:t>R-一核算时段燃料耗量，t或万m</w:t>
            </w:r>
            <w:r>
              <w:rPr>
                <w:rFonts w:hint="eastAsia"/>
                <w:sz w:val="24"/>
                <w:vertAlign w:val="superscript"/>
              </w:rPr>
              <w:t>3</w:t>
            </w:r>
            <w:r>
              <w:rPr>
                <w:rFonts w:hint="eastAsia"/>
                <w:sz w:val="24"/>
              </w:rPr>
              <w:t>；</w:t>
            </w:r>
          </w:p>
          <w:p w14:paraId="4E574978">
            <w:pPr>
              <w:autoSpaceDE w:val="0"/>
              <w:autoSpaceDN w:val="0"/>
              <w:spacing w:line="360" w:lineRule="auto"/>
              <w:ind w:firstLine="1200" w:firstLineChars="500"/>
              <w:rPr>
                <w:rFonts w:hint="eastAsia"/>
                <w:sz w:val="24"/>
              </w:rPr>
            </w:pPr>
            <w:r>
              <w:rPr>
                <w:rFonts w:hint="eastAsia"/>
                <w:sz w:val="24"/>
              </w:rPr>
              <w:t>β---产污系数，kg/t或kg万m</w:t>
            </w:r>
            <w:r>
              <w:rPr>
                <w:rFonts w:hint="eastAsia"/>
                <w:sz w:val="24"/>
                <w:vertAlign w:val="superscript"/>
              </w:rPr>
              <w:t>3</w:t>
            </w:r>
            <w:r>
              <w:rPr>
                <w:rFonts w:hint="eastAsia"/>
                <w:sz w:val="24"/>
              </w:rPr>
              <w:t>，根据《环境保护实用数据手册》，颗粒物取0.8kg/万m</w:t>
            </w:r>
            <w:r>
              <w:rPr>
                <w:rFonts w:hint="eastAsia"/>
                <w:sz w:val="24"/>
                <w:vertAlign w:val="superscript"/>
              </w:rPr>
              <w:t>3</w:t>
            </w:r>
            <w:r>
              <w:rPr>
                <w:rFonts w:hint="eastAsia"/>
                <w:sz w:val="24"/>
              </w:rPr>
              <w:t>；</w:t>
            </w:r>
          </w:p>
          <w:p w14:paraId="050001DE">
            <w:pPr>
              <w:autoSpaceDE w:val="0"/>
              <w:autoSpaceDN w:val="0"/>
              <w:spacing w:line="360" w:lineRule="auto"/>
              <w:ind w:firstLine="1200" w:firstLineChars="500"/>
              <w:rPr>
                <w:rFonts w:hint="eastAsia"/>
                <w:sz w:val="24"/>
              </w:rPr>
            </w:pPr>
            <w:r>
              <w:rPr>
                <w:rFonts w:hint="eastAsia"/>
                <w:sz w:val="24"/>
              </w:rPr>
              <w:t>η---除尘效率，%，本次不设除尘设备，取0。</w:t>
            </w:r>
          </w:p>
          <w:p w14:paraId="6BCA49F7">
            <w:pPr>
              <w:autoSpaceDE w:val="0"/>
              <w:autoSpaceDN w:val="0"/>
              <w:spacing w:line="360" w:lineRule="auto"/>
              <w:ind w:firstLine="480" w:firstLineChars="200"/>
              <w:rPr>
                <w:rFonts w:hint="eastAsia"/>
                <w:sz w:val="24"/>
              </w:rPr>
            </w:pPr>
            <w:r>
              <w:rPr>
                <w:rFonts w:hint="eastAsia"/>
                <w:sz w:val="24"/>
              </w:rPr>
              <w:t>综上，根据上表产污系数，计算本项目</w:t>
            </w:r>
            <w:r>
              <w:rPr>
                <w:rFonts w:hint="eastAsia"/>
                <w:sz w:val="24"/>
                <w:lang w:val="en-US" w:eastAsia="zh-CN"/>
              </w:rPr>
              <w:t>导热油炉</w:t>
            </w:r>
            <w:r>
              <w:rPr>
                <w:rFonts w:hint="eastAsia"/>
                <w:sz w:val="24"/>
              </w:rPr>
              <w:t>天然气燃烧产污情况如下：</w:t>
            </w:r>
          </w:p>
          <w:p w14:paraId="19F30CC9">
            <w:pPr>
              <w:numPr>
                <w:ilvl w:val="0"/>
                <w:numId w:val="6"/>
              </w:numPr>
              <w:jc w:val="center"/>
              <w:rPr>
                <w:rFonts w:hint="eastAsia"/>
                <w:b/>
                <w:bCs/>
                <w:szCs w:val="21"/>
              </w:rPr>
            </w:pPr>
            <w:r>
              <w:rPr>
                <w:rFonts w:hint="eastAsia"/>
                <w:b/>
                <w:bCs/>
                <w:szCs w:val="21"/>
              </w:rPr>
              <w:t>本项目</w:t>
            </w:r>
            <w:r>
              <w:rPr>
                <w:rFonts w:hint="eastAsia"/>
                <w:b/>
                <w:bCs/>
                <w:szCs w:val="21"/>
                <w:lang w:val="en-US" w:eastAsia="zh-CN"/>
              </w:rPr>
              <w:t>导热油炉</w:t>
            </w:r>
            <w:r>
              <w:rPr>
                <w:rFonts w:hint="eastAsia"/>
                <w:b/>
                <w:bCs/>
                <w:szCs w:val="21"/>
              </w:rPr>
              <w:t>天然气燃烧废气产污情况</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00"/>
              <w:gridCol w:w="797"/>
              <w:gridCol w:w="819"/>
              <w:gridCol w:w="634"/>
              <w:gridCol w:w="658"/>
              <w:gridCol w:w="739"/>
              <w:gridCol w:w="576"/>
              <w:gridCol w:w="600"/>
              <w:gridCol w:w="676"/>
              <w:gridCol w:w="548"/>
              <w:gridCol w:w="565"/>
              <w:gridCol w:w="715"/>
            </w:tblGrid>
            <w:tr w14:paraId="127DF41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700" w:type="dxa"/>
                  <w:vMerge w:val="restart"/>
                  <w:noWrap w:val="0"/>
                  <w:vAlign w:val="center"/>
                </w:tcPr>
                <w:p w14:paraId="4416EEDE">
                  <w:pPr>
                    <w:autoSpaceDE w:val="0"/>
                    <w:autoSpaceDN w:val="0"/>
                    <w:spacing w:line="240" w:lineRule="exact"/>
                    <w:jc w:val="center"/>
                    <w:rPr>
                      <w:sz w:val="18"/>
                      <w:szCs w:val="18"/>
                    </w:rPr>
                  </w:pPr>
                  <w:r>
                    <w:rPr>
                      <w:sz w:val="18"/>
                      <w:szCs w:val="18"/>
                    </w:rPr>
                    <w:t>类别</w:t>
                  </w:r>
                </w:p>
              </w:tc>
              <w:tc>
                <w:tcPr>
                  <w:tcW w:w="1616" w:type="dxa"/>
                  <w:gridSpan w:val="2"/>
                  <w:noWrap w:val="0"/>
                  <w:vAlign w:val="center"/>
                </w:tcPr>
                <w:p w14:paraId="2887DB59">
                  <w:pPr>
                    <w:autoSpaceDE w:val="0"/>
                    <w:autoSpaceDN w:val="0"/>
                    <w:spacing w:line="240" w:lineRule="exact"/>
                    <w:jc w:val="center"/>
                    <w:rPr>
                      <w:sz w:val="18"/>
                      <w:szCs w:val="18"/>
                    </w:rPr>
                  </w:pPr>
                  <w:r>
                    <w:rPr>
                      <w:sz w:val="18"/>
                      <w:szCs w:val="18"/>
                    </w:rPr>
                    <w:t>工业废气量</w:t>
                  </w:r>
                </w:p>
              </w:tc>
              <w:tc>
                <w:tcPr>
                  <w:tcW w:w="2031" w:type="dxa"/>
                  <w:gridSpan w:val="3"/>
                  <w:noWrap w:val="0"/>
                  <w:vAlign w:val="center"/>
                </w:tcPr>
                <w:p w14:paraId="140886AD">
                  <w:pPr>
                    <w:autoSpaceDE w:val="0"/>
                    <w:autoSpaceDN w:val="0"/>
                    <w:spacing w:line="240" w:lineRule="exact"/>
                    <w:jc w:val="center"/>
                    <w:rPr>
                      <w:sz w:val="18"/>
                      <w:szCs w:val="18"/>
                    </w:rPr>
                  </w:pPr>
                  <w:r>
                    <w:rPr>
                      <w:sz w:val="18"/>
                      <w:szCs w:val="18"/>
                    </w:rPr>
                    <w:t>氮氧化物量及浓度</w:t>
                  </w:r>
                </w:p>
              </w:tc>
              <w:tc>
                <w:tcPr>
                  <w:tcW w:w="1852" w:type="dxa"/>
                  <w:gridSpan w:val="3"/>
                  <w:noWrap w:val="0"/>
                  <w:vAlign w:val="center"/>
                </w:tcPr>
                <w:p w14:paraId="0156C739">
                  <w:pPr>
                    <w:autoSpaceDE w:val="0"/>
                    <w:autoSpaceDN w:val="0"/>
                    <w:spacing w:line="240" w:lineRule="exact"/>
                    <w:jc w:val="center"/>
                    <w:rPr>
                      <w:sz w:val="18"/>
                      <w:szCs w:val="18"/>
                    </w:rPr>
                  </w:pPr>
                  <w:r>
                    <w:rPr>
                      <w:sz w:val="18"/>
                      <w:szCs w:val="18"/>
                    </w:rPr>
                    <w:t>二氧化硫量及浓度</w:t>
                  </w:r>
                </w:p>
              </w:tc>
              <w:tc>
                <w:tcPr>
                  <w:tcW w:w="1828" w:type="dxa"/>
                  <w:gridSpan w:val="3"/>
                  <w:noWrap w:val="0"/>
                  <w:vAlign w:val="center"/>
                </w:tcPr>
                <w:p w14:paraId="0122208B">
                  <w:pPr>
                    <w:autoSpaceDE w:val="0"/>
                    <w:autoSpaceDN w:val="0"/>
                    <w:spacing w:line="240" w:lineRule="exact"/>
                    <w:jc w:val="center"/>
                    <w:rPr>
                      <w:sz w:val="18"/>
                      <w:szCs w:val="18"/>
                    </w:rPr>
                  </w:pPr>
                  <w:r>
                    <w:rPr>
                      <w:sz w:val="18"/>
                      <w:szCs w:val="18"/>
                    </w:rPr>
                    <w:t>颗粒物量及浓度</w:t>
                  </w:r>
                </w:p>
              </w:tc>
            </w:tr>
            <w:tr w14:paraId="2792A10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700" w:type="dxa"/>
                  <w:vMerge w:val="continue"/>
                  <w:noWrap w:val="0"/>
                  <w:vAlign w:val="center"/>
                </w:tcPr>
                <w:p w14:paraId="38CCC22B">
                  <w:pPr>
                    <w:autoSpaceDE w:val="0"/>
                    <w:autoSpaceDN w:val="0"/>
                    <w:spacing w:line="240" w:lineRule="exact"/>
                    <w:jc w:val="center"/>
                    <w:rPr>
                      <w:sz w:val="18"/>
                      <w:szCs w:val="18"/>
                    </w:rPr>
                  </w:pPr>
                </w:p>
              </w:tc>
              <w:tc>
                <w:tcPr>
                  <w:tcW w:w="797" w:type="dxa"/>
                  <w:noWrap w:val="0"/>
                  <w:vAlign w:val="center"/>
                </w:tcPr>
                <w:p w14:paraId="6CD7456B">
                  <w:pPr>
                    <w:autoSpaceDE w:val="0"/>
                    <w:autoSpaceDN w:val="0"/>
                    <w:spacing w:line="240" w:lineRule="exact"/>
                    <w:jc w:val="center"/>
                    <w:rPr>
                      <w:sz w:val="18"/>
                      <w:szCs w:val="18"/>
                    </w:rPr>
                  </w:pPr>
                  <w:r>
                    <w:rPr>
                      <w:sz w:val="18"/>
                      <w:szCs w:val="18"/>
                    </w:rPr>
                    <w:t>10</w:t>
                  </w:r>
                  <w:r>
                    <w:rPr>
                      <w:sz w:val="18"/>
                      <w:szCs w:val="18"/>
                      <w:vertAlign w:val="superscript"/>
                    </w:rPr>
                    <w:t>4</w:t>
                  </w:r>
                  <w:r>
                    <w:rPr>
                      <w:sz w:val="18"/>
                      <w:szCs w:val="18"/>
                    </w:rPr>
                    <w:t>Nm</w:t>
                  </w:r>
                  <w:r>
                    <w:rPr>
                      <w:sz w:val="18"/>
                      <w:szCs w:val="18"/>
                      <w:vertAlign w:val="superscript"/>
                    </w:rPr>
                    <w:t>3</w:t>
                  </w:r>
                  <w:r>
                    <w:rPr>
                      <w:sz w:val="18"/>
                      <w:szCs w:val="18"/>
                    </w:rPr>
                    <w:t>/h</w:t>
                  </w:r>
                </w:p>
              </w:tc>
              <w:tc>
                <w:tcPr>
                  <w:tcW w:w="819" w:type="dxa"/>
                  <w:noWrap w:val="0"/>
                  <w:vAlign w:val="center"/>
                </w:tcPr>
                <w:p w14:paraId="3DF2A8B7">
                  <w:pPr>
                    <w:autoSpaceDE w:val="0"/>
                    <w:autoSpaceDN w:val="0"/>
                    <w:spacing w:line="240" w:lineRule="exact"/>
                    <w:jc w:val="center"/>
                    <w:rPr>
                      <w:sz w:val="18"/>
                      <w:szCs w:val="18"/>
                    </w:rPr>
                  </w:pPr>
                  <w:r>
                    <w:rPr>
                      <w:sz w:val="18"/>
                      <w:szCs w:val="18"/>
                    </w:rPr>
                    <w:t>10</w:t>
                  </w:r>
                  <w:r>
                    <w:rPr>
                      <w:sz w:val="18"/>
                      <w:szCs w:val="18"/>
                      <w:vertAlign w:val="superscript"/>
                    </w:rPr>
                    <w:t>4</w:t>
                  </w:r>
                  <w:r>
                    <w:rPr>
                      <w:sz w:val="18"/>
                      <w:szCs w:val="18"/>
                    </w:rPr>
                    <w:t>Nm</w:t>
                  </w:r>
                  <w:r>
                    <w:rPr>
                      <w:sz w:val="18"/>
                      <w:szCs w:val="18"/>
                      <w:vertAlign w:val="superscript"/>
                    </w:rPr>
                    <w:t>3</w:t>
                  </w:r>
                  <w:r>
                    <w:rPr>
                      <w:sz w:val="18"/>
                      <w:szCs w:val="18"/>
                    </w:rPr>
                    <w:t>/a</w:t>
                  </w:r>
                </w:p>
              </w:tc>
              <w:tc>
                <w:tcPr>
                  <w:tcW w:w="634" w:type="dxa"/>
                  <w:noWrap w:val="0"/>
                  <w:vAlign w:val="center"/>
                </w:tcPr>
                <w:p w14:paraId="505BEA6A">
                  <w:pPr>
                    <w:autoSpaceDE w:val="0"/>
                    <w:autoSpaceDN w:val="0"/>
                    <w:spacing w:line="240" w:lineRule="exact"/>
                    <w:jc w:val="center"/>
                    <w:rPr>
                      <w:sz w:val="18"/>
                      <w:szCs w:val="18"/>
                    </w:rPr>
                  </w:pPr>
                  <w:r>
                    <w:rPr>
                      <w:sz w:val="18"/>
                      <w:szCs w:val="18"/>
                    </w:rPr>
                    <w:t>t/a</w:t>
                  </w:r>
                </w:p>
              </w:tc>
              <w:tc>
                <w:tcPr>
                  <w:tcW w:w="658" w:type="dxa"/>
                  <w:noWrap w:val="0"/>
                  <w:vAlign w:val="center"/>
                </w:tcPr>
                <w:p w14:paraId="2046154E">
                  <w:pPr>
                    <w:autoSpaceDE w:val="0"/>
                    <w:autoSpaceDN w:val="0"/>
                    <w:spacing w:line="240" w:lineRule="exact"/>
                    <w:jc w:val="center"/>
                    <w:rPr>
                      <w:sz w:val="18"/>
                      <w:szCs w:val="18"/>
                    </w:rPr>
                  </w:pPr>
                  <w:r>
                    <w:rPr>
                      <w:sz w:val="18"/>
                      <w:szCs w:val="18"/>
                    </w:rPr>
                    <w:t>kg/h</w:t>
                  </w:r>
                </w:p>
              </w:tc>
              <w:tc>
                <w:tcPr>
                  <w:tcW w:w="739" w:type="dxa"/>
                  <w:noWrap w:val="0"/>
                  <w:vAlign w:val="center"/>
                </w:tcPr>
                <w:p w14:paraId="215EF3CE">
                  <w:pPr>
                    <w:autoSpaceDE w:val="0"/>
                    <w:autoSpaceDN w:val="0"/>
                    <w:spacing w:line="240" w:lineRule="exact"/>
                    <w:jc w:val="center"/>
                    <w:rPr>
                      <w:sz w:val="18"/>
                      <w:szCs w:val="18"/>
                    </w:rPr>
                  </w:pPr>
                  <w:r>
                    <w:rPr>
                      <w:sz w:val="18"/>
                      <w:szCs w:val="18"/>
                    </w:rPr>
                    <w:t>mg/m</w:t>
                  </w:r>
                  <w:r>
                    <w:rPr>
                      <w:sz w:val="18"/>
                      <w:szCs w:val="18"/>
                      <w:vertAlign w:val="superscript"/>
                    </w:rPr>
                    <w:t>3</w:t>
                  </w:r>
                </w:p>
              </w:tc>
              <w:tc>
                <w:tcPr>
                  <w:tcW w:w="576" w:type="dxa"/>
                  <w:noWrap w:val="0"/>
                  <w:vAlign w:val="center"/>
                </w:tcPr>
                <w:p w14:paraId="1A4025E6">
                  <w:pPr>
                    <w:autoSpaceDE w:val="0"/>
                    <w:autoSpaceDN w:val="0"/>
                    <w:spacing w:line="240" w:lineRule="exact"/>
                    <w:jc w:val="center"/>
                    <w:rPr>
                      <w:sz w:val="18"/>
                      <w:szCs w:val="18"/>
                    </w:rPr>
                  </w:pPr>
                  <w:r>
                    <w:rPr>
                      <w:sz w:val="18"/>
                      <w:szCs w:val="18"/>
                    </w:rPr>
                    <w:t>t/a</w:t>
                  </w:r>
                </w:p>
              </w:tc>
              <w:tc>
                <w:tcPr>
                  <w:tcW w:w="600" w:type="dxa"/>
                  <w:noWrap w:val="0"/>
                  <w:vAlign w:val="center"/>
                </w:tcPr>
                <w:p w14:paraId="7E8922A9">
                  <w:pPr>
                    <w:autoSpaceDE w:val="0"/>
                    <w:autoSpaceDN w:val="0"/>
                    <w:spacing w:line="240" w:lineRule="exact"/>
                    <w:jc w:val="center"/>
                    <w:rPr>
                      <w:sz w:val="18"/>
                      <w:szCs w:val="18"/>
                    </w:rPr>
                  </w:pPr>
                  <w:r>
                    <w:rPr>
                      <w:sz w:val="18"/>
                      <w:szCs w:val="18"/>
                    </w:rPr>
                    <w:t>kg/h</w:t>
                  </w:r>
                </w:p>
              </w:tc>
              <w:tc>
                <w:tcPr>
                  <w:tcW w:w="676" w:type="dxa"/>
                  <w:noWrap w:val="0"/>
                  <w:vAlign w:val="center"/>
                </w:tcPr>
                <w:p w14:paraId="6718BF2B">
                  <w:pPr>
                    <w:autoSpaceDE w:val="0"/>
                    <w:autoSpaceDN w:val="0"/>
                    <w:spacing w:line="240" w:lineRule="exact"/>
                    <w:jc w:val="center"/>
                    <w:rPr>
                      <w:sz w:val="18"/>
                      <w:szCs w:val="18"/>
                    </w:rPr>
                  </w:pPr>
                  <w:r>
                    <w:rPr>
                      <w:sz w:val="18"/>
                      <w:szCs w:val="18"/>
                    </w:rPr>
                    <w:t>mg/m</w:t>
                  </w:r>
                  <w:r>
                    <w:rPr>
                      <w:sz w:val="18"/>
                      <w:szCs w:val="18"/>
                      <w:vertAlign w:val="superscript"/>
                    </w:rPr>
                    <w:t>3</w:t>
                  </w:r>
                </w:p>
              </w:tc>
              <w:tc>
                <w:tcPr>
                  <w:tcW w:w="548" w:type="dxa"/>
                  <w:noWrap w:val="0"/>
                  <w:vAlign w:val="center"/>
                </w:tcPr>
                <w:p w14:paraId="1BE6AC8D">
                  <w:pPr>
                    <w:autoSpaceDE w:val="0"/>
                    <w:autoSpaceDN w:val="0"/>
                    <w:spacing w:line="240" w:lineRule="exact"/>
                    <w:jc w:val="center"/>
                    <w:rPr>
                      <w:sz w:val="18"/>
                      <w:szCs w:val="18"/>
                    </w:rPr>
                  </w:pPr>
                  <w:r>
                    <w:rPr>
                      <w:sz w:val="18"/>
                      <w:szCs w:val="18"/>
                    </w:rPr>
                    <w:t>t/a</w:t>
                  </w:r>
                </w:p>
              </w:tc>
              <w:tc>
                <w:tcPr>
                  <w:tcW w:w="565" w:type="dxa"/>
                  <w:noWrap w:val="0"/>
                  <w:vAlign w:val="center"/>
                </w:tcPr>
                <w:p w14:paraId="3FB09E3C">
                  <w:pPr>
                    <w:autoSpaceDE w:val="0"/>
                    <w:autoSpaceDN w:val="0"/>
                    <w:spacing w:line="240" w:lineRule="exact"/>
                    <w:jc w:val="center"/>
                    <w:rPr>
                      <w:sz w:val="18"/>
                      <w:szCs w:val="18"/>
                    </w:rPr>
                  </w:pPr>
                  <w:r>
                    <w:rPr>
                      <w:sz w:val="18"/>
                      <w:szCs w:val="18"/>
                    </w:rPr>
                    <w:t>kg/h</w:t>
                  </w:r>
                </w:p>
              </w:tc>
              <w:tc>
                <w:tcPr>
                  <w:tcW w:w="715" w:type="dxa"/>
                  <w:noWrap w:val="0"/>
                  <w:vAlign w:val="center"/>
                </w:tcPr>
                <w:p w14:paraId="1A661F93">
                  <w:pPr>
                    <w:autoSpaceDE w:val="0"/>
                    <w:autoSpaceDN w:val="0"/>
                    <w:spacing w:line="240" w:lineRule="exact"/>
                    <w:jc w:val="center"/>
                    <w:rPr>
                      <w:sz w:val="18"/>
                      <w:szCs w:val="18"/>
                    </w:rPr>
                  </w:pPr>
                  <w:r>
                    <w:rPr>
                      <w:sz w:val="18"/>
                      <w:szCs w:val="18"/>
                    </w:rPr>
                    <w:t>mg/m</w:t>
                  </w:r>
                  <w:r>
                    <w:rPr>
                      <w:sz w:val="18"/>
                      <w:szCs w:val="18"/>
                      <w:vertAlign w:val="superscript"/>
                    </w:rPr>
                    <w:t>3</w:t>
                  </w:r>
                </w:p>
              </w:tc>
            </w:tr>
            <w:tr w14:paraId="2B1880B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700" w:type="dxa"/>
                  <w:noWrap w:val="0"/>
                  <w:vAlign w:val="center"/>
                </w:tcPr>
                <w:p w14:paraId="16559C03">
                  <w:pPr>
                    <w:autoSpaceDE w:val="0"/>
                    <w:autoSpaceDN w:val="0"/>
                    <w:spacing w:line="240" w:lineRule="exact"/>
                    <w:jc w:val="center"/>
                    <w:rPr>
                      <w:sz w:val="18"/>
                      <w:szCs w:val="18"/>
                    </w:rPr>
                  </w:pPr>
                  <w:r>
                    <w:rPr>
                      <w:sz w:val="18"/>
                      <w:szCs w:val="18"/>
                    </w:rPr>
                    <w:t>产生量</w:t>
                  </w:r>
                </w:p>
              </w:tc>
              <w:tc>
                <w:tcPr>
                  <w:tcW w:w="797" w:type="dxa"/>
                  <w:noWrap w:val="0"/>
                  <w:vAlign w:val="center"/>
                </w:tcPr>
                <w:p w14:paraId="49C2D762">
                  <w:pPr>
                    <w:autoSpaceDE w:val="0"/>
                    <w:autoSpaceDN w:val="0"/>
                    <w:spacing w:line="240" w:lineRule="exact"/>
                    <w:jc w:val="center"/>
                    <w:rPr>
                      <w:rFonts w:hint="eastAsia" w:eastAsia="宋体"/>
                      <w:sz w:val="18"/>
                      <w:szCs w:val="18"/>
                      <w:lang w:eastAsia="zh-CN"/>
                    </w:rPr>
                  </w:pPr>
                  <w:r>
                    <w:rPr>
                      <w:rFonts w:hint="eastAsia"/>
                      <w:sz w:val="18"/>
                      <w:szCs w:val="18"/>
                    </w:rPr>
                    <w:t>0.078</w:t>
                  </w:r>
                  <w:r>
                    <w:rPr>
                      <w:rFonts w:hint="eastAsia"/>
                      <w:sz w:val="18"/>
                      <w:szCs w:val="18"/>
                      <w:lang w:val="en-US" w:eastAsia="zh-CN"/>
                    </w:rPr>
                    <w:t>4</w:t>
                  </w:r>
                </w:p>
              </w:tc>
              <w:tc>
                <w:tcPr>
                  <w:tcW w:w="819" w:type="dxa"/>
                  <w:noWrap w:val="0"/>
                  <w:vAlign w:val="center"/>
                </w:tcPr>
                <w:p w14:paraId="280C5597">
                  <w:pPr>
                    <w:autoSpaceDE w:val="0"/>
                    <w:autoSpaceDN w:val="0"/>
                    <w:spacing w:line="240" w:lineRule="exact"/>
                    <w:jc w:val="center"/>
                    <w:rPr>
                      <w:sz w:val="18"/>
                      <w:szCs w:val="18"/>
                    </w:rPr>
                  </w:pPr>
                  <w:r>
                    <w:rPr>
                      <w:rFonts w:hint="eastAsia"/>
                      <w:sz w:val="18"/>
                      <w:szCs w:val="18"/>
                    </w:rPr>
                    <w:t>258.6072</w:t>
                  </w:r>
                </w:p>
              </w:tc>
              <w:tc>
                <w:tcPr>
                  <w:tcW w:w="634" w:type="dxa"/>
                  <w:noWrap w:val="0"/>
                  <w:vAlign w:val="center"/>
                </w:tcPr>
                <w:p w14:paraId="4EC08826">
                  <w:pPr>
                    <w:autoSpaceDE w:val="0"/>
                    <w:autoSpaceDN w:val="0"/>
                    <w:spacing w:line="240" w:lineRule="exact"/>
                    <w:jc w:val="center"/>
                    <w:rPr>
                      <w:sz w:val="18"/>
                      <w:szCs w:val="18"/>
                    </w:rPr>
                  </w:pPr>
                  <w:r>
                    <w:rPr>
                      <w:rFonts w:hint="eastAsia"/>
                      <w:sz w:val="18"/>
                      <w:szCs w:val="18"/>
                    </w:rPr>
                    <w:t>0.0727</w:t>
                  </w:r>
                </w:p>
              </w:tc>
              <w:tc>
                <w:tcPr>
                  <w:tcW w:w="658" w:type="dxa"/>
                  <w:noWrap w:val="0"/>
                  <w:vAlign w:val="center"/>
                </w:tcPr>
                <w:p w14:paraId="458486CE">
                  <w:pPr>
                    <w:autoSpaceDE w:val="0"/>
                    <w:autoSpaceDN w:val="0"/>
                    <w:spacing w:line="240" w:lineRule="exact"/>
                    <w:jc w:val="center"/>
                    <w:rPr>
                      <w:sz w:val="18"/>
                      <w:szCs w:val="18"/>
                    </w:rPr>
                  </w:pPr>
                  <w:r>
                    <w:rPr>
                      <w:rFonts w:hint="eastAsia"/>
                      <w:sz w:val="18"/>
                      <w:szCs w:val="18"/>
                    </w:rPr>
                    <w:t>0.022</w:t>
                  </w:r>
                </w:p>
              </w:tc>
              <w:tc>
                <w:tcPr>
                  <w:tcW w:w="739" w:type="dxa"/>
                  <w:noWrap w:val="0"/>
                  <w:vAlign w:val="center"/>
                </w:tcPr>
                <w:p w14:paraId="257DD2D0">
                  <w:pPr>
                    <w:autoSpaceDE w:val="0"/>
                    <w:autoSpaceDN w:val="0"/>
                    <w:spacing w:line="240" w:lineRule="exact"/>
                    <w:jc w:val="center"/>
                    <w:rPr>
                      <w:sz w:val="18"/>
                      <w:szCs w:val="18"/>
                    </w:rPr>
                  </w:pPr>
                  <w:r>
                    <w:rPr>
                      <w:rFonts w:hint="eastAsia"/>
                      <w:sz w:val="18"/>
                      <w:szCs w:val="18"/>
                    </w:rPr>
                    <w:t>28.1076</w:t>
                  </w:r>
                </w:p>
              </w:tc>
              <w:tc>
                <w:tcPr>
                  <w:tcW w:w="576" w:type="dxa"/>
                  <w:noWrap w:val="0"/>
                  <w:vAlign w:val="center"/>
                </w:tcPr>
                <w:p w14:paraId="40F87F62">
                  <w:pPr>
                    <w:autoSpaceDE w:val="0"/>
                    <w:autoSpaceDN w:val="0"/>
                    <w:spacing w:line="240" w:lineRule="exact"/>
                    <w:jc w:val="center"/>
                    <w:rPr>
                      <w:rFonts w:hint="default" w:eastAsia="宋体"/>
                      <w:sz w:val="18"/>
                      <w:szCs w:val="18"/>
                      <w:lang w:val="en-US" w:eastAsia="zh-CN"/>
                    </w:rPr>
                  </w:pPr>
                  <w:r>
                    <w:rPr>
                      <w:rFonts w:hint="eastAsia"/>
                      <w:sz w:val="18"/>
                      <w:szCs w:val="18"/>
                      <w:lang w:val="en-US" w:eastAsia="zh-CN"/>
                    </w:rPr>
                    <w:t>0.0096</w:t>
                  </w:r>
                </w:p>
              </w:tc>
              <w:tc>
                <w:tcPr>
                  <w:tcW w:w="600" w:type="dxa"/>
                  <w:noWrap w:val="0"/>
                  <w:vAlign w:val="center"/>
                </w:tcPr>
                <w:p w14:paraId="78A1738E">
                  <w:pPr>
                    <w:autoSpaceDE w:val="0"/>
                    <w:autoSpaceDN w:val="0"/>
                    <w:spacing w:line="240" w:lineRule="exact"/>
                    <w:jc w:val="center"/>
                    <w:rPr>
                      <w:rFonts w:hint="default" w:eastAsia="宋体"/>
                      <w:sz w:val="18"/>
                      <w:szCs w:val="18"/>
                      <w:lang w:val="en-US" w:eastAsia="zh-CN"/>
                    </w:rPr>
                  </w:pPr>
                  <w:r>
                    <w:rPr>
                      <w:rFonts w:hint="eastAsia"/>
                      <w:sz w:val="18"/>
                      <w:szCs w:val="18"/>
                      <w:lang w:val="en-US" w:eastAsia="zh-CN"/>
                    </w:rPr>
                    <w:t>0.0029</w:t>
                  </w:r>
                </w:p>
              </w:tc>
              <w:tc>
                <w:tcPr>
                  <w:tcW w:w="676" w:type="dxa"/>
                  <w:noWrap w:val="0"/>
                  <w:vAlign w:val="center"/>
                </w:tcPr>
                <w:p w14:paraId="1D04448F">
                  <w:pPr>
                    <w:autoSpaceDE w:val="0"/>
                    <w:autoSpaceDN w:val="0"/>
                    <w:spacing w:line="240" w:lineRule="exact"/>
                    <w:jc w:val="center"/>
                    <w:rPr>
                      <w:rFonts w:hint="eastAsia" w:eastAsia="宋体"/>
                      <w:sz w:val="18"/>
                      <w:szCs w:val="18"/>
                      <w:lang w:eastAsia="zh-CN"/>
                    </w:rPr>
                  </w:pPr>
                  <w:r>
                    <w:rPr>
                      <w:rFonts w:hint="eastAsia"/>
                      <w:sz w:val="18"/>
                      <w:szCs w:val="18"/>
                    </w:rPr>
                    <w:t>3.710</w:t>
                  </w:r>
                  <w:r>
                    <w:rPr>
                      <w:rFonts w:hint="eastAsia"/>
                      <w:sz w:val="18"/>
                      <w:szCs w:val="18"/>
                      <w:lang w:val="en-US" w:eastAsia="zh-CN"/>
                    </w:rPr>
                    <w:t>6</w:t>
                  </w:r>
                </w:p>
              </w:tc>
              <w:tc>
                <w:tcPr>
                  <w:tcW w:w="548" w:type="dxa"/>
                  <w:noWrap w:val="0"/>
                  <w:vAlign w:val="center"/>
                </w:tcPr>
                <w:p w14:paraId="0EE63DC9">
                  <w:pPr>
                    <w:autoSpaceDE w:val="0"/>
                    <w:autoSpaceDN w:val="0"/>
                    <w:spacing w:line="240" w:lineRule="exact"/>
                    <w:jc w:val="center"/>
                    <w:rPr>
                      <w:rFonts w:hint="default" w:eastAsia="宋体"/>
                      <w:sz w:val="18"/>
                      <w:szCs w:val="18"/>
                      <w:lang w:val="en-US" w:eastAsia="zh-CN"/>
                    </w:rPr>
                  </w:pPr>
                  <w:r>
                    <w:rPr>
                      <w:rFonts w:hint="eastAsia"/>
                      <w:sz w:val="18"/>
                      <w:szCs w:val="18"/>
                      <w:lang w:val="en-US" w:eastAsia="zh-CN"/>
                    </w:rPr>
                    <w:t>0.0192</w:t>
                  </w:r>
                </w:p>
              </w:tc>
              <w:tc>
                <w:tcPr>
                  <w:tcW w:w="565" w:type="dxa"/>
                  <w:noWrap w:val="0"/>
                  <w:vAlign w:val="center"/>
                </w:tcPr>
                <w:p w14:paraId="65303D1B">
                  <w:pPr>
                    <w:autoSpaceDE w:val="0"/>
                    <w:autoSpaceDN w:val="0"/>
                    <w:spacing w:line="240" w:lineRule="exact"/>
                    <w:jc w:val="center"/>
                    <w:rPr>
                      <w:rFonts w:hint="default" w:eastAsia="宋体"/>
                      <w:sz w:val="18"/>
                      <w:szCs w:val="18"/>
                      <w:lang w:val="en-US" w:eastAsia="zh-CN"/>
                    </w:rPr>
                  </w:pPr>
                  <w:r>
                    <w:rPr>
                      <w:rFonts w:hint="eastAsia"/>
                      <w:sz w:val="18"/>
                      <w:szCs w:val="18"/>
                      <w:lang w:val="en-US" w:eastAsia="zh-CN"/>
                    </w:rPr>
                    <w:t>0.0058</w:t>
                  </w:r>
                </w:p>
              </w:tc>
              <w:tc>
                <w:tcPr>
                  <w:tcW w:w="715" w:type="dxa"/>
                  <w:noWrap w:val="0"/>
                  <w:vAlign w:val="center"/>
                </w:tcPr>
                <w:p w14:paraId="47DBE0D3">
                  <w:pPr>
                    <w:autoSpaceDE w:val="0"/>
                    <w:autoSpaceDN w:val="0"/>
                    <w:spacing w:line="240" w:lineRule="exact"/>
                    <w:jc w:val="center"/>
                    <w:rPr>
                      <w:rFonts w:hint="eastAsia" w:eastAsia="宋体"/>
                      <w:sz w:val="18"/>
                      <w:szCs w:val="18"/>
                      <w:lang w:eastAsia="zh-CN"/>
                    </w:rPr>
                  </w:pPr>
                  <w:r>
                    <w:rPr>
                      <w:rFonts w:hint="eastAsia"/>
                      <w:sz w:val="18"/>
                      <w:szCs w:val="18"/>
                    </w:rPr>
                    <w:t>7.421</w:t>
                  </w:r>
                  <w:r>
                    <w:rPr>
                      <w:rFonts w:hint="eastAsia"/>
                      <w:sz w:val="18"/>
                      <w:szCs w:val="18"/>
                      <w:lang w:val="en-US" w:eastAsia="zh-CN"/>
                    </w:rPr>
                    <w:t>2</w:t>
                  </w:r>
                </w:p>
              </w:tc>
            </w:tr>
          </w:tbl>
          <w:p w14:paraId="3D83AC85">
            <w:pPr>
              <w:autoSpaceDE w:val="0"/>
              <w:autoSpaceDN w:val="0"/>
              <w:jc w:val="center"/>
              <w:rPr>
                <w:rFonts w:hint="eastAsia"/>
                <w:b/>
                <w:bCs/>
                <w:szCs w:val="21"/>
              </w:rPr>
            </w:pPr>
          </w:p>
          <w:p w14:paraId="0F9B87F8">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（2）收集治理措施</w:t>
            </w:r>
          </w:p>
          <w:p w14:paraId="49D76527">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本项目导热油炉配备低氮燃烧器，天然气燃烧废气</w:t>
            </w:r>
            <w:r>
              <w:rPr>
                <w:rFonts w:hint="eastAsia" w:cs="Times New Roman"/>
                <w:b w:val="0"/>
                <w:bCs w:val="0"/>
                <w:color w:val="auto"/>
                <w:sz w:val="24"/>
                <w:lang w:val="en-US" w:eastAsia="zh-CN"/>
              </w:rPr>
              <w:t>经低氮燃烧装置（TA003）处理后由</w:t>
            </w:r>
            <w:r>
              <w:rPr>
                <w:rFonts w:hint="eastAsia" w:ascii="Times New Roman" w:hAnsi="Times New Roman" w:eastAsia="宋体" w:cs="Times New Roman"/>
                <w:b w:val="0"/>
                <w:bCs w:val="0"/>
                <w:color w:val="auto"/>
                <w:sz w:val="24"/>
                <w:lang w:val="en-US" w:eastAsia="zh-CN"/>
              </w:rPr>
              <w:t>1</w:t>
            </w:r>
            <w:r>
              <w:rPr>
                <w:rFonts w:hint="eastAsia" w:cs="Times New Roman"/>
                <w:b w:val="0"/>
                <w:bCs w:val="0"/>
                <w:color w:val="auto"/>
                <w:sz w:val="24"/>
                <w:lang w:val="en-US" w:eastAsia="zh-CN"/>
              </w:rPr>
              <w:t>3</w:t>
            </w:r>
            <w:r>
              <w:rPr>
                <w:rFonts w:hint="eastAsia" w:ascii="Times New Roman" w:hAnsi="Times New Roman" w:eastAsia="宋体" w:cs="Times New Roman"/>
                <w:b w:val="0"/>
                <w:bCs w:val="0"/>
                <w:color w:val="auto"/>
                <w:sz w:val="24"/>
                <w:lang w:val="en-US" w:eastAsia="zh-CN"/>
              </w:rPr>
              <w:t>m高排气筒（DA00</w:t>
            </w:r>
            <w:r>
              <w:rPr>
                <w:rFonts w:hint="eastAsia" w:cs="Times New Roman"/>
                <w:b w:val="0"/>
                <w:bCs w:val="0"/>
                <w:color w:val="auto"/>
                <w:sz w:val="24"/>
                <w:lang w:val="en-US" w:eastAsia="zh-CN"/>
              </w:rPr>
              <w:t>3</w:t>
            </w:r>
            <w:r>
              <w:rPr>
                <w:rFonts w:hint="eastAsia" w:ascii="Times New Roman" w:hAnsi="Times New Roman" w:eastAsia="宋体" w:cs="Times New Roman"/>
                <w:b w:val="0"/>
                <w:bCs w:val="0"/>
                <w:color w:val="auto"/>
                <w:sz w:val="24"/>
                <w:lang w:val="en-US" w:eastAsia="zh-CN"/>
              </w:rPr>
              <w:t>）排放。</w:t>
            </w:r>
          </w:p>
          <w:p w14:paraId="105922C9">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cs="Times New Roman"/>
                <w:b/>
                <w:bCs/>
                <w:color w:val="auto"/>
                <w:sz w:val="24"/>
                <w:lang w:val="en-US" w:eastAsia="zh-CN"/>
              </w:rPr>
              <w:t>1.1.5</w:t>
            </w:r>
            <w:r>
              <w:rPr>
                <w:rFonts w:hint="eastAsia" w:ascii="Times New Roman" w:hAnsi="Times New Roman" w:eastAsia="宋体" w:cs="Times New Roman"/>
                <w:b/>
                <w:bCs/>
                <w:color w:val="auto"/>
                <w:sz w:val="24"/>
                <w:lang w:val="en-US" w:eastAsia="zh-CN"/>
              </w:rPr>
              <w:t>原料堆存（装卸扬尘、堆场扬尘）</w:t>
            </w:r>
          </w:p>
          <w:p w14:paraId="593B18D2">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（1）产生情况</w:t>
            </w:r>
          </w:p>
          <w:p w14:paraId="58FD5BBD">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本项目装卸扬尘、堆场扬尘主要为</w:t>
            </w:r>
            <w:r>
              <w:rPr>
                <w:rFonts w:hint="eastAsia" w:cs="Times New Roman"/>
                <w:b w:val="0"/>
                <w:bCs w:val="0"/>
                <w:color w:val="auto"/>
                <w:sz w:val="24"/>
                <w:lang w:val="en-US" w:eastAsia="zh-CN"/>
              </w:rPr>
              <w:t>中煤料仓</w:t>
            </w:r>
            <w:r>
              <w:rPr>
                <w:rFonts w:hint="eastAsia" w:ascii="Times New Roman" w:hAnsi="Times New Roman" w:eastAsia="宋体" w:cs="Times New Roman"/>
                <w:b w:val="0"/>
                <w:bCs w:val="0"/>
                <w:color w:val="auto"/>
                <w:sz w:val="24"/>
                <w:lang w:val="en-US" w:eastAsia="zh-CN"/>
              </w:rPr>
              <w:t>、</w:t>
            </w:r>
            <w:r>
              <w:rPr>
                <w:rFonts w:hint="eastAsia" w:cs="Times New Roman"/>
                <w:b w:val="0"/>
                <w:bCs w:val="0"/>
                <w:color w:val="auto"/>
                <w:sz w:val="24"/>
                <w:lang w:val="en-US" w:eastAsia="zh-CN"/>
              </w:rPr>
              <w:t>砂石骨料仓</w:t>
            </w:r>
            <w:r>
              <w:rPr>
                <w:rFonts w:hint="eastAsia" w:ascii="Times New Roman" w:hAnsi="Times New Roman" w:eastAsia="宋体" w:cs="Times New Roman"/>
                <w:b w:val="0"/>
                <w:bCs w:val="0"/>
                <w:color w:val="auto"/>
                <w:sz w:val="24"/>
                <w:lang w:val="en-US" w:eastAsia="zh-CN"/>
              </w:rPr>
              <w:t>、</w:t>
            </w:r>
            <w:r>
              <w:rPr>
                <w:rFonts w:hint="eastAsia" w:cs="Times New Roman"/>
                <w:b w:val="0"/>
                <w:bCs w:val="0"/>
                <w:color w:val="auto"/>
                <w:sz w:val="24"/>
                <w:lang w:val="en-US" w:eastAsia="zh-CN"/>
              </w:rPr>
              <w:t>再生料仓储存中煤、砂石骨料、再生料</w:t>
            </w:r>
            <w:r>
              <w:rPr>
                <w:rFonts w:hint="eastAsia" w:ascii="Times New Roman" w:hAnsi="Times New Roman" w:eastAsia="宋体" w:cs="Times New Roman"/>
                <w:b w:val="0"/>
                <w:bCs w:val="0"/>
                <w:color w:val="auto"/>
                <w:sz w:val="24"/>
                <w:lang w:val="en-US" w:eastAsia="zh-CN"/>
              </w:rPr>
              <w:t>装卸、堆存产生的粉尘。本项目需要装卸的中煤、砂石骨料、再生料</w:t>
            </w:r>
            <w:r>
              <w:rPr>
                <w:rFonts w:hint="eastAsia" w:ascii="Times New Roman" w:hAnsi="Times New Roman" w:eastAsia="宋体" w:cs="Times New Roman"/>
                <w:b w:val="0"/>
                <w:bCs w:val="0"/>
                <w:color w:val="auto"/>
                <w:sz w:val="24"/>
                <w:highlight w:val="none"/>
                <w:lang w:val="en-US" w:eastAsia="zh-CN"/>
              </w:rPr>
              <w:t>约</w:t>
            </w:r>
            <w:r>
              <w:rPr>
                <w:rFonts w:hint="eastAsia" w:cs="Times New Roman"/>
                <w:b w:val="0"/>
                <w:bCs w:val="0"/>
                <w:color w:val="auto"/>
                <w:sz w:val="24"/>
                <w:highlight w:val="none"/>
                <w:lang w:val="en-US" w:eastAsia="zh-CN"/>
              </w:rPr>
              <w:t>470365</w:t>
            </w:r>
            <w:r>
              <w:rPr>
                <w:rFonts w:hint="eastAsia" w:ascii="Times New Roman" w:hAnsi="Times New Roman" w:eastAsia="宋体" w:cs="Times New Roman"/>
                <w:b w:val="0"/>
                <w:bCs w:val="0"/>
                <w:color w:val="auto"/>
                <w:sz w:val="24"/>
                <w:highlight w:val="none"/>
                <w:lang w:val="en-US" w:eastAsia="zh-CN"/>
              </w:rPr>
              <w:t>t/a，</w:t>
            </w:r>
            <w:r>
              <w:rPr>
                <w:rFonts w:hint="eastAsia" w:ascii="Times New Roman" w:hAnsi="Times New Roman" w:eastAsia="宋体" w:cs="Times New Roman"/>
                <w:b w:val="0"/>
                <w:bCs w:val="0"/>
                <w:color w:val="auto"/>
                <w:sz w:val="24"/>
                <w:lang w:val="en-US" w:eastAsia="zh-CN"/>
              </w:rPr>
              <w:t>参照《排放源统计调查产排污核算方法及系数手册》中《固体物料堆存颗粒物产排污核算系数手册》颗粒物产生量核算公式如下：</w:t>
            </w:r>
          </w:p>
          <w:p w14:paraId="1AF58B48">
            <w:pPr>
              <w:autoSpaceDE w:val="0"/>
              <w:autoSpaceDN w:val="0"/>
              <w:spacing w:line="360" w:lineRule="auto"/>
              <w:jc w:val="center"/>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drawing>
                <wp:inline distT="0" distB="0" distL="114300" distR="114300">
                  <wp:extent cx="2975610" cy="236855"/>
                  <wp:effectExtent l="0" t="0" r="15240" b="10795"/>
                  <wp:docPr id="2" name="图片 2" descr="QQ20250407-18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20250407-182852"/>
                          <pic:cNvPicPr>
                            <a:picLocks noChangeAspect="1"/>
                          </pic:cNvPicPr>
                        </pic:nvPicPr>
                        <pic:blipFill>
                          <a:blip r:embed="rId17"/>
                          <a:stretch>
                            <a:fillRect/>
                          </a:stretch>
                        </pic:blipFill>
                        <pic:spPr>
                          <a:xfrm>
                            <a:off x="0" y="0"/>
                            <a:ext cx="2975610" cy="236855"/>
                          </a:xfrm>
                          <a:prstGeom prst="rect">
                            <a:avLst/>
                          </a:prstGeom>
                        </pic:spPr>
                      </pic:pic>
                    </a:graphicData>
                  </a:graphic>
                </wp:inline>
              </w:drawing>
            </w:r>
          </w:p>
          <w:p w14:paraId="444010A2">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式中：P</w:t>
            </w:r>
            <w:r>
              <w:rPr>
                <w:rFonts w:hint="eastAsia"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颗粒物产生量，t；</w:t>
            </w:r>
          </w:p>
          <w:p w14:paraId="33A879D6">
            <w:pPr>
              <w:autoSpaceDE w:val="0"/>
              <w:autoSpaceDN w:val="0"/>
              <w:spacing w:line="360" w:lineRule="auto"/>
              <w:ind w:firstLine="1200" w:firstLineChars="5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ZC</w:t>
            </w:r>
            <w:r>
              <w:rPr>
                <w:rFonts w:hint="eastAsia" w:ascii="Times New Roman" w:hAnsi="Times New Roman" w:eastAsia="宋体" w:cs="Times New Roman"/>
                <w:b w:val="0"/>
                <w:bCs w:val="0"/>
                <w:color w:val="auto"/>
                <w:sz w:val="24"/>
                <w:vertAlign w:val="subscript"/>
                <w:lang w:val="en-US" w:eastAsia="zh-CN"/>
              </w:rPr>
              <w:t>y</w:t>
            </w:r>
            <w:r>
              <w:rPr>
                <w:rFonts w:hint="eastAsia"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装卸扬尘产生量，t；</w:t>
            </w:r>
          </w:p>
          <w:p w14:paraId="2F08CD38">
            <w:pPr>
              <w:autoSpaceDE w:val="0"/>
              <w:autoSpaceDN w:val="0"/>
              <w:spacing w:line="360" w:lineRule="auto"/>
              <w:ind w:firstLine="1200" w:firstLineChars="5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FC</w:t>
            </w:r>
            <w:r>
              <w:rPr>
                <w:rFonts w:hint="eastAsia" w:ascii="Times New Roman" w:hAnsi="Times New Roman" w:eastAsia="宋体" w:cs="Times New Roman"/>
                <w:b w:val="0"/>
                <w:bCs w:val="0"/>
                <w:color w:val="auto"/>
                <w:sz w:val="24"/>
                <w:vertAlign w:val="subscript"/>
                <w:lang w:val="en-US" w:eastAsia="zh-CN"/>
              </w:rPr>
              <w:t>y</w:t>
            </w:r>
            <w:r>
              <w:rPr>
                <w:rFonts w:hint="eastAsia"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风蚀扬尘产生量，t；</w:t>
            </w:r>
          </w:p>
          <w:p w14:paraId="4F0A51C5">
            <w:pPr>
              <w:autoSpaceDE w:val="0"/>
              <w:autoSpaceDN w:val="0"/>
              <w:spacing w:line="360" w:lineRule="auto"/>
              <w:ind w:firstLine="1200" w:firstLineChars="5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N</w:t>
            </w:r>
            <w:r>
              <w:rPr>
                <w:rFonts w:hint="eastAsia" w:ascii="Times New Roman" w:hAnsi="Times New Roman" w:eastAsia="宋体" w:cs="Times New Roman"/>
                <w:b w:val="0"/>
                <w:bCs w:val="0"/>
                <w:color w:val="auto"/>
                <w:sz w:val="24"/>
                <w:vertAlign w:val="subscript"/>
                <w:lang w:val="en-US" w:eastAsia="zh-CN"/>
              </w:rPr>
              <w:t>c</w:t>
            </w:r>
            <w:r>
              <w:rPr>
                <w:rFonts w:hint="eastAsia"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年物料运载车次，车，</w:t>
            </w:r>
            <w:r>
              <w:rPr>
                <w:rFonts w:hint="eastAsia" w:ascii="Times New Roman" w:hAnsi="Times New Roman" w:eastAsia="宋体" w:cs="Times New Roman"/>
                <w:b w:val="0"/>
                <w:bCs w:val="0"/>
                <w:color w:val="auto"/>
                <w:sz w:val="24"/>
                <w:highlight w:val="none"/>
                <w:lang w:val="en-US" w:eastAsia="zh-CN"/>
              </w:rPr>
              <w:t>本项目取</w:t>
            </w:r>
            <w:r>
              <w:rPr>
                <w:rFonts w:hint="eastAsia" w:cs="Times New Roman"/>
                <w:b w:val="0"/>
                <w:bCs w:val="0"/>
                <w:color w:val="auto"/>
                <w:sz w:val="24"/>
                <w:highlight w:val="none"/>
                <w:lang w:val="en-US" w:eastAsia="zh-CN"/>
              </w:rPr>
              <w:t>15679</w:t>
            </w:r>
            <w:r>
              <w:rPr>
                <w:rFonts w:hint="eastAsia" w:ascii="Times New Roman" w:hAnsi="Times New Roman" w:eastAsia="宋体" w:cs="Times New Roman"/>
                <w:b w:val="0"/>
                <w:bCs w:val="0"/>
                <w:color w:val="auto"/>
                <w:sz w:val="24"/>
                <w:highlight w:val="none"/>
                <w:lang w:val="en-US" w:eastAsia="zh-CN"/>
              </w:rPr>
              <w:t>车/年；</w:t>
            </w:r>
          </w:p>
          <w:p w14:paraId="1BF23F2C">
            <w:pPr>
              <w:autoSpaceDE w:val="0"/>
              <w:autoSpaceDN w:val="0"/>
              <w:spacing w:line="360" w:lineRule="auto"/>
              <w:ind w:firstLine="1200" w:firstLineChars="5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D</w:t>
            </w:r>
            <w:r>
              <w:rPr>
                <w:rFonts w:hint="eastAsia"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单车平均运载量，吨/车，本项目取</w:t>
            </w:r>
            <w:r>
              <w:rPr>
                <w:rFonts w:hint="eastAsia" w:cs="Times New Roman"/>
                <w:b w:val="0"/>
                <w:bCs w:val="0"/>
                <w:color w:val="auto"/>
                <w:sz w:val="24"/>
                <w:lang w:val="en-US" w:eastAsia="zh-CN"/>
              </w:rPr>
              <w:t>30</w:t>
            </w:r>
            <w:r>
              <w:rPr>
                <w:rFonts w:hint="eastAsia" w:ascii="Times New Roman" w:hAnsi="Times New Roman" w:eastAsia="宋体" w:cs="Times New Roman"/>
                <w:b w:val="0"/>
                <w:bCs w:val="0"/>
                <w:color w:val="auto"/>
                <w:sz w:val="24"/>
                <w:lang w:val="en-US" w:eastAsia="zh-CN"/>
              </w:rPr>
              <w:t>吨/车；</w:t>
            </w:r>
          </w:p>
          <w:p w14:paraId="0C7DD39E">
            <w:pPr>
              <w:autoSpaceDE w:val="0"/>
              <w:autoSpaceDN w:val="0"/>
              <w:spacing w:line="360" w:lineRule="auto"/>
              <w:ind w:firstLine="1200" w:firstLineChars="5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(a/b)</w:t>
            </w:r>
            <w:r>
              <w:rPr>
                <w:rFonts w:hint="eastAsia"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装卸扬尘概化系数，kg/t；</w:t>
            </w:r>
          </w:p>
          <w:p w14:paraId="294CD256">
            <w:pPr>
              <w:autoSpaceDE w:val="0"/>
              <w:autoSpaceDN w:val="0"/>
              <w:spacing w:line="360" w:lineRule="auto"/>
              <w:ind w:firstLine="1200" w:firstLineChars="5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a</w:t>
            </w:r>
            <w:r>
              <w:rPr>
                <w:rFonts w:hint="eastAsia"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各省风速概化系数，四川省取值0.0006；</w:t>
            </w:r>
          </w:p>
          <w:p w14:paraId="46835E30">
            <w:pPr>
              <w:autoSpaceDE w:val="0"/>
              <w:autoSpaceDN w:val="0"/>
              <w:spacing w:line="360" w:lineRule="auto"/>
              <w:ind w:firstLine="1200" w:firstLineChars="5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b</w:t>
            </w:r>
            <w:r>
              <w:rPr>
                <w:rFonts w:hint="eastAsia"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物料含水率概化系数，根据物料含水率，本项目取值0.0084；</w:t>
            </w:r>
          </w:p>
          <w:p w14:paraId="50EE3E32">
            <w:pPr>
              <w:autoSpaceDE w:val="0"/>
              <w:autoSpaceDN w:val="0"/>
              <w:spacing w:line="360" w:lineRule="auto"/>
              <w:ind w:firstLine="1200" w:firstLineChars="5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E</w:t>
            </w:r>
            <w:r>
              <w:rPr>
                <w:rFonts w:hint="eastAsia" w:ascii="Times New Roman" w:hAnsi="Times New Roman" w:eastAsia="宋体" w:cs="Times New Roman"/>
                <w:b w:val="0"/>
                <w:bCs w:val="0"/>
                <w:color w:val="auto"/>
                <w:sz w:val="24"/>
                <w:vertAlign w:val="subscript"/>
                <w:lang w:val="en-US" w:eastAsia="zh-CN"/>
              </w:rPr>
              <w:t>f</w:t>
            </w:r>
            <w:r>
              <w:rPr>
                <w:rFonts w:hint="eastAsia"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堆场风蚀扬尘概化系数，本项目取值3.6062kg/m</w:t>
            </w:r>
            <w:r>
              <w:rPr>
                <w:rFonts w:hint="eastAsia" w:ascii="Times New Roman" w:hAnsi="Times New Roman" w:eastAsia="宋体" w:cs="Times New Roman"/>
                <w:b w:val="0"/>
                <w:bCs w:val="0"/>
                <w:color w:val="auto"/>
                <w:sz w:val="24"/>
                <w:vertAlign w:val="superscript"/>
                <w:lang w:val="en-US" w:eastAsia="zh-CN"/>
              </w:rPr>
              <w:t>2</w:t>
            </w:r>
            <w:r>
              <w:rPr>
                <w:rFonts w:hint="eastAsia" w:ascii="Times New Roman" w:hAnsi="Times New Roman" w:eastAsia="宋体" w:cs="Times New Roman"/>
                <w:b w:val="0"/>
                <w:bCs w:val="0"/>
                <w:color w:val="auto"/>
                <w:sz w:val="24"/>
                <w:lang w:val="en-US" w:eastAsia="zh-CN"/>
              </w:rPr>
              <w:t>；</w:t>
            </w:r>
          </w:p>
          <w:p w14:paraId="0E8458EC">
            <w:pPr>
              <w:autoSpaceDE w:val="0"/>
              <w:autoSpaceDN w:val="0"/>
              <w:spacing w:line="360" w:lineRule="auto"/>
              <w:ind w:firstLine="1200" w:firstLineChars="5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S</w:t>
            </w:r>
            <w:r>
              <w:rPr>
                <w:rFonts w:hint="eastAsia"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堆场占地面积，m</w:t>
            </w:r>
            <w:r>
              <w:rPr>
                <w:rFonts w:hint="eastAsia" w:ascii="Times New Roman" w:hAnsi="Times New Roman" w:eastAsia="宋体" w:cs="Times New Roman"/>
                <w:b w:val="0"/>
                <w:bCs w:val="0"/>
                <w:color w:val="auto"/>
                <w:sz w:val="24"/>
                <w:vertAlign w:val="superscript"/>
                <w:lang w:val="en-US" w:eastAsia="zh-CN"/>
              </w:rPr>
              <w:t>2</w:t>
            </w:r>
            <w:r>
              <w:rPr>
                <w:rFonts w:hint="eastAsia" w:ascii="Times New Roman" w:hAnsi="Times New Roman" w:eastAsia="宋体" w:cs="Times New Roman"/>
                <w:b w:val="0"/>
                <w:bCs w:val="0"/>
                <w:color w:val="auto"/>
                <w:sz w:val="24"/>
                <w:lang w:val="en-US" w:eastAsia="zh-CN"/>
              </w:rPr>
              <w:t>，</w:t>
            </w:r>
            <w:r>
              <w:rPr>
                <w:rFonts w:hint="eastAsia" w:ascii="Times New Roman" w:hAnsi="Times New Roman" w:eastAsia="宋体" w:cs="Times New Roman"/>
                <w:b w:val="0"/>
                <w:bCs w:val="0"/>
                <w:color w:val="auto"/>
                <w:sz w:val="24"/>
                <w:highlight w:val="none"/>
                <w:lang w:val="en-US" w:eastAsia="zh-CN"/>
              </w:rPr>
              <w:t>本项目堆场面积约</w:t>
            </w:r>
            <w:r>
              <w:rPr>
                <w:rFonts w:hint="eastAsia" w:cs="Times New Roman"/>
                <w:b w:val="0"/>
                <w:bCs w:val="0"/>
                <w:color w:val="auto"/>
                <w:sz w:val="24"/>
                <w:highlight w:val="none"/>
                <w:lang w:val="en-US" w:eastAsia="zh-CN"/>
              </w:rPr>
              <w:t>3900</w:t>
            </w:r>
            <w:r>
              <w:rPr>
                <w:rFonts w:hint="eastAsia" w:ascii="Times New Roman" w:hAnsi="Times New Roman" w:eastAsia="宋体" w:cs="Times New Roman"/>
                <w:b w:val="0"/>
                <w:bCs w:val="0"/>
                <w:color w:val="auto"/>
                <w:sz w:val="24"/>
                <w:highlight w:val="none"/>
                <w:lang w:val="en-US" w:eastAsia="zh-CN"/>
              </w:rPr>
              <w:t>m</w:t>
            </w:r>
            <w:r>
              <w:rPr>
                <w:rFonts w:hint="eastAsia" w:ascii="Times New Roman" w:hAnsi="Times New Roman" w:eastAsia="宋体" w:cs="Times New Roman"/>
                <w:b w:val="0"/>
                <w:bCs w:val="0"/>
                <w:color w:val="auto"/>
                <w:sz w:val="24"/>
                <w:highlight w:val="none"/>
                <w:vertAlign w:val="superscript"/>
                <w:lang w:val="en-US" w:eastAsia="zh-CN"/>
              </w:rPr>
              <w:t>2</w:t>
            </w:r>
            <w:r>
              <w:rPr>
                <w:rFonts w:hint="eastAsia" w:ascii="Times New Roman" w:hAnsi="Times New Roman" w:eastAsia="宋体" w:cs="Times New Roman"/>
                <w:b w:val="0"/>
                <w:bCs w:val="0"/>
                <w:color w:val="auto"/>
                <w:sz w:val="24"/>
                <w:highlight w:val="none"/>
                <w:lang w:val="en-US" w:eastAsia="zh-CN"/>
              </w:rPr>
              <w:t>。</w:t>
            </w:r>
          </w:p>
          <w:p w14:paraId="34A2C2D2">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根据项目实际情况核算可知本项目堆场扬尘、</w:t>
            </w:r>
            <w:r>
              <w:rPr>
                <w:rFonts w:hint="eastAsia" w:ascii="Times New Roman" w:hAnsi="Times New Roman" w:eastAsia="宋体" w:cs="Times New Roman"/>
                <w:b w:val="0"/>
                <w:bCs w:val="0"/>
                <w:color w:val="auto"/>
                <w:sz w:val="24"/>
                <w:highlight w:val="none"/>
                <w:lang w:val="en-US" w:eastAsia="zh-CN"/>
              </w:rPr>
              <w:t>装卸扬尘产生量为61.725</w:t>
            </w:r>
            <w:r>
              <w:rPr>
                <w:rFonts w:hint="eastAsia" w:cs="Times New Roman"/>
                <w:b w:val="0"/>
                <w:bCs w:val="0"/>
                <w:color w:val="auto"/>
                <w:sz w:val="24"/>
                <w:highlight w:val="none"/>
                <w:lang w:val="en-US" w:eastAsia="zh-CN"/>
              </w:rPr>
              <w:t>9</w:t>
            </w:r>
            <w:r>
              <w:rPr>
                <w:rFonts w:hint="eastAsia" w:ascii="Times New Roman" w:hAnsi="Times New Roman" w:eastAsia="宋体" w:cs="Times New Roman"/>
                <w:b w:val="0"/>
                <w:bCs w:val="0"/>
                <w:color w:val="auto"/>
                <w:sz w:val="24"/>
                <w:highlight w:val="none"/>
                <w:lang w:val="en-US" w:eastAsia="zh-CN"/>
              </w:rPr>
              <w:t>t/a。</w:t>
            </w:r>
          </w:p>
          <w:p w14:paraId="39CD6CAF">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（2）收集治理措施</w:t>
            </w:r>
          </w:p>
          <w:p w14:paraId="11DC3DC8">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本项目采取封闭式中煤料仓、砂石骨料仓、再生料仓堆存物料、地面硬化、</w:t>
            </w:r>
            <w:r>
              <w:rPr>
                <w:rFonts w:hint="eastAsia" w:cs="Times New Roman"/>
                <w:b w:val="0"/>
                <w:bCs w:val="0"/>
                <w:color w:val="auto"/>
                <w:sz w:val="24"/>
                <w:lang w:val="en-US" w:eastAsia="zh-CN"/>
              </w:rPr>
              <w:t>料仓顶部</w:t>
            </w:r>
            <w:r>
              <w:rPr>
                <w:rFonts w:hint="eastAsia" w:ascii="Times New Roman" w:hAnsi="Times New Roman" w:eastAsia="宋体" w:cs="Times New Roman"/>
                <w:b w:val="0"/>
                <w:bCs w:val="0"/>
                <w:color w:val="auto"/>
                <w:sz w:val="24"/>
                <w:lang w:val="en-US" w:eastAsia="zh-CN"/>
              </w:rPr>
              <w:t>设置喷雾抑尘等措施降低扬尘影响。参照《排放源统计调查产排污核算方法及系数手册》中《固体物料堆存颗粒物产排污核算系数手册》附录4粉尘控制措施控制效率表、附录5堆场类型控制效率，封闭厂房颗粒物控制措施控制效率为99%，喷雾降尘为74%。</w:t>
            </w:r>
          </w:p>
          <w:p w14:paraId="0FF9A42D">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1.1.6厂区道路扬尘、汽车尾气</w:t>
            </w:r>
          </w:p>
          <w:p w14:paraId="0F226160">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（1）厂区道路扬尘</w:t>
            </w:r>
          </w:p>
          <w:p w14:paraId="0CAB1EA6">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①产生情况</w:t>
            </w:r>
          </w:p>
          <w:p w14:paraId="58C1D078">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本项目汽车运输过程中地面扬尘产生量与地面清洁度有较大的关系，车辆行驶产生的扬在道路完全干燥的情况下，按下列经验公式计算：</w:t>
            </w:r>
          </w:p>
          <w:p w14:paraId="0C8B4EFC">
            <w:pPr>
              <w:autoSpaceDE w:val="0"/>
              <w:autoSpaceDN w:val="0"/>
              <w:spacing w:line="360" w:lineRule="auto"/>
              <w:jc w:val="center"/>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drawing>
                <wp:inline distT="0" distB="0" distL="114300" distR="114300">
                  <wp:extent cx="2933700" cy="285750"/>
                  <wp:effectExtent l="0" t="0" r="0" b="0"/>
                  <wp:docPr id="3" name="图片 3" descr="QQ20250407-18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20250407-183416"/>
                          <pic:cNvPicPr>
                            <a:picLocks noChangeAspect="1"/>
                          </pic:cNvPicPr>
                        </pic:nvPicPr>
                        <pic:blipFill>
                          <a:blip r:embed="rId18"/>
                          <a:stretch>
                            <a:fillRect/>
                          </a:stretch>
                        </pic:blipFill>
                        <pic:spPr>
                          <a:xfrm>
                            <a:off x="0" y="0"/>
                            <a:ext cx="2933700" cy="285750"/>
                          </a:xfrm>
                          <a:prstGeom prst="rect">
                            <a:avLst/>
                          </a:prstGeom>
                        </pic:spPr>
                      </pic:pic>
                    </a:graphicData>
                  </a:graphic>
                </wp:inline>
              </w:drawing>
            </w:r>
          </w:p>
          <w:p w14:paraId="55F8AF83">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式中：Q</w:t>
            </w:r>
            <w:r>
              <w:rPr>
                <w:rFonts w:hint="eastAsia" w:ascii="Times New Roman" w:hAnsi="Times New Roman" w:eastAsia="宋体" w:cs="Times New Roman"/>
                <w:b w:val="0"/>
                <w:bCs w:val="0"/>
                <w:color w:val="auto"/>
                <w:sz w:val="24"/>
                <w:vertAlign w:val="subscript"/>
                <w:lang w:val="en-US" w:eastAsia="zh-CN"/>
              </w:rPr>
              <w:t>3</w:t>
            </w:r>
            <w:r>
              <w:rPr>
                <w:rFonts w:hint="eastAsia" w:ascii="Times New Roman" w:hAnsi="Times New Roman" w:eastAsia="宋体" w:cs="Times New Roman"/>
                <w:b w:val="0"/>
                <w:bCs w:val="0"/>
                <w:color w:val="auto"/>
                <w:sz w:val="24"/>
                <w:lang w:val="en-US" w:eastAsia="zh-CN"/>
              </w:rPr>
              <w:t>——运输车辆行驶时的扬尘，kg/km·辆；</w:t>
            </w:r>
          </w:p>
          <w:p w14:paraId="61118097">
            <w:pPr>
              <w:autoSpaceDE w:val="0"/>
              <w:autoSpaceDN w:val="0"/>
              <w:spacing w:line="360" w:lineRule="auto"/>
              <w:ind w:firstLine="1200" w:firstLineChars="5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V——车辆行驶速度，km/h；</w:t>
            </w:r>
          </w:p>
          <w:p w14:paraId="2B772F32">
            <w:pPr>
              <w:autoSpaceDE w:val="0"/>
              <w:autoSpaceDN w:val="0"/>
              <w:spacing w:line="360" w:lineRule="auto"/>
              <w:ind w:firstLine="1200" w:firstLineChars="5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W——汽车载重量，t/辆。</w:t>
            </w:r>
          </w:p>
          <w:p w14:paraId="432BC39F">
            <w:pPr>
              <w:autoSpaceDE w:val="0"/>
              <w:autoSpaceDN w:val="0"/>
              <w:spacing w:line="360" w:lineRule="auto"/>
              <w:ind w:firstLine="1200" w:firstLineChars="5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P——路面状况，以每平方米路面灰尘覆盖率表示，kg/m</w:t>
            </w:r>
            <w:r>
              <w:rPr>
                <w:rFonts w:hint="eastAsia" w:ascii="Times New Roman" w:hAnsi="Times New Roman" w:eastAsia="宋体" w:cs="Times New Roman"/>
                <w:b w:val="0"/>
                <w:bCs w:val="0"/>
                <w:color w:val="auto"/>
                <w:sz w:val="24"/>
                <w:vertAlign w:val="superscript"/>
                <w:lang w:val="en-US" w:eastAsia="zh-CN"/>
              </w:rPr>
              <w:t>2</w:t>
            </w:r>
            <w:r>
              <w:rPr>
                <w:rFonts w:hint="eastAsia" w:ascii="Times New Roman" w:hAnsi="Times New Roman" w:eastAsia="宋体" w:cs="Times New Roman"/>
                <w:b w:val="0"/>
                <w:bCs w:val="0"/>
                <w:color w:val="auto"/>
                <w:sz w:val="24"/>
                <w:lang w:val="en-US" w:eastAsia="zh-CN"/>
              </w:rPr>
              <w:t>；</w:t>
            </w:r>
          </w:p>
          <w:p w14:paraId="0EB4D650">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项目车辆在厂区内行驶距离按100m计，</w:t>
            </w:r>
            <w:r>
              <w:rPr>
                <w:rFonts w:hint="eastAsia" w:ascii="Times New Roman" w:hAnsi="Times New Roman" w:eastAsia="宋体" w:cs="Times New Roman"/>
                <w:b w:val="0"/>
                <w:bCs w:val="0"/>
                <w:color w:val="auto"/>
                <w:sz w:val="24"/>
                <w:highlight w:val="none"/>
                <w:lang w:val="en-US" w:eastAsia="zh-CN"/>
              </w:rPr>
              <w:t>年运输约</w:t>
            </w:r>
            <w:r>
              <w:rPr>
                <w:rFonts w:hint="eastAsia" w:cs="Times New Roman"/>
                <w:b w:val="0"/>
                <w:bCs w:val="0"/>
                <w:color w:val="auto"/>
                <w:sz w:val="24"/>
                <w:highlight w:val="none"/>
                <w:lang w:val="en-US" w:eastAsia="zh-CN"/>
              </w:rPr>
              <w:t>20240</w:t>
            </w:r>
            <w:r>
              <w:rPr>
                <w:rFonts w:hint="eastAsia" w:ascii="Times New Roman" w:hAnsi="Times New Roman" w:eastAsia="宋体" w:cs="Times New Roman"/>
                <w:b w:val="0"/>
                <w:bCs w:val="0"/>
                <w:color w:val="auto"/>
                <w:sz w:val="24"/>
                <w:highlight w:val="none"/>
                <w:lang w:val="en-US" w:eastAsia="zh-CN"/>
              </w:rPr>
              <w:t>次，</w:t>
            </w:r>
            <w:r>
              <w:rPr>
                <w:rFonts w:hint="eastAsia" w:ascii="Times New Roman" w:hAnsi="Times New Roman" w:eastAsia="宋体" w:cs="Times New Roman"/>
                <w:b w:val="0"/>
                <w:bCs w:val="0"/>
                <w:color w:val="auto"/>
                <w:sz w:val="24"/>
                <w:lang w:val="en-US" w:eastAsia="zh-CN"/>
              </w:rPr>
              <w:t>空车重约5t，重车重约30t。以速度10km/h行驶，在不同的路面清洁度下的扬尘如下：</w:t>
            </w:r>
          </w:p>
          <w:p w14:paraId="39782CE0">
            <w:pPr>
              <w:numPr>
                <w:ilvl w:val="0"/>
                <w:numId w:val="6"/>
              </w:numPr>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不同路况扬尘产生量      单位：kg/km·辆</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49"/>
              <w:gridCol w:w="1149"/>
              <w:gridCol w:w="1149"/>
              <w:gridCol w:w="1149"/>
              <w:gridCol w:w="1149"/>
              <w:gridCol w:w="1150"/>
              <w:gridCol w:w="1150"/>
            </w:tblGrid>
            <w:tr w14:paraId="1B2F5F3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49" w:type="dxa"/>
                  <w:tcBorders>
                    <w:tl2br w:val="nil"/>
                    <w:tr2bl w:val="nil"/>
                  </w:tcBorders>
                  <w:vAlign w:val="center"/>
                </w:tcPr>
                <w:p w14:paraId="4E7AB82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 xml:space="preserve">    </w:t>
                  </w:r>
                  <w:r>
                    <w:rPr>
                      <w:rFonts w:hint="eastAsia" w:ascii="Times New Roman" w:hAnsi="Times New Roman" w:eastAsia="宋体" w:cs="Times New Roman"/>
                      <w:b w:val="0"/>
                      <w:bCs w:val="0"/>
                      <w:color w:val="auto"/>
                      <w:sz w:val="21"/>
                      <w:szCs w:val="21"/>
                      <w:vertAlign w:val="baseline"/>
                      <w:lang w:val="en-US" w:eastAsia="zh-CN"/>
                    </w:rPr>
                    <w:t>路况</w:t>
                  </w:r>
                </w:p>
                <w:p w14:paraId="5729997A">
                  <w:pPr>
                    <w:keepNext w:val="0"/>
                    <w:keepLines w:val="0"/>
                    <w:pageBreakBefore w:val="0"/>
                    <w:widowControl w:val="0"/>
                    <w:kinsoku/>
                    <w:wordWrap/>
                    <w:overflowPunct/>
                    <w:topLinePunct w:val="0"/>
                    <w:autoSpaceDE w:val="0"/>
                    <w:autoSpaceDN w:val="0"/>
                    <w:bidi w:val="0"/>
                    <w:adjustRightInd/>
                    <w:snapToGrid/>
                    <w:spacing w:line="240" w:lineRule="exact"/>
                    <w:jc w:val="both"/>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车况</w:t>
                  </w:r>
                </w:p>
              </w:tc>
              <w:tc>
                <w:tcPr>
                  <w:tcW w:w="1149" w:type="dxa"/>
                  <w:tcBorders>
                    <w:tl2br w:val="nil"/>
                    <w:tr2bl w:val="nil"/>
                  </w:tcBorders>
                  <w:vAlign w:val="center"/>
                </w:tcPr>
                <w:p w14:paraId="5C99ECE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0.1（kg/m</w:t>
                  </w:r>
                  <w:r>
                    <w:rPr>
                      <w:rFonts w:hint="eastAsia" w:ascii="Times New Roman" w:hAnsi="Times New Roman" w:eastAsia="宋体" w:cs="Times New Roman"/>
                      <w:b w:val="0"/>
                      <w:bCs w:val="0"/>
                      <w:color w:val="auto"/>
                      <w:sz w:val="21"/>
                      <w:szCs w:val="21"/>
                      <w:vertAlign w:val="superscript"/>
                      <w:lang w:val="en-US" w:eastAsia="zh-CN"/>
                    </w:rPr>
                    <w:t>2</w:t>
                  </w:r>
                  <w:r>
                    <w:rPr>
                      <w:rFonts w:hint="eastAsia" w:ascii="Times New Roman" w:hAnsi="Times New Roman" w:eastAsia="宋体" w:cs="Times New Roman"/>
                      <w:b w:val="0"/>
                      <w:bCs w:val="0"/>
                      <w:color w:val="auto"/>
                      <w:sz w:val="21"/>
                      <w:szCs w:val="21"/>
                      <w:vertAlign w:val="baseline"/>
                      <w:lang w:val="en-US" w:eastAsia="zh-CN"/>
                    </w:rPr>
                    <w:t>）</w:t>
                  </w:r>
                </w:p>
              </w:tc>
              <w:tc>
                <w:tcPr>
                  <w:tcW w:w="1149" w:type="dxa"/>
                  <w:tcBorders>
                    <w:tl2br w:val="nil"/>
                    <w:tr2bl w:val="nil"/>
                  </w:tcBorders>
                  <w:vAlign w:val="center"/>
                </w:tcPr>
                <w:p w14:paraId="47A46DA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0.2（kg/m</w:t>
                  </w:r>
                  <w:r>
                    <w:rPr>
                      <w:rFonts w:hint="eastAsia" w:ascii="Times New Roman" w:hAnsi="Times New Roman" w:eastAsia="宋体" w:cs="Times New Roman"/>
                      <w:b w:val="0"/>
                      <w:bCs w:val="0"/>
                      <w:color w:val="auto"/>
                      <w:sz w:val="21"/>
                      <w:szCs w:val="21"/>
                      <w:vertAlign w:val="superscript"/>
                      <w:lang w:val="en-US" w:eastAsia="zh-CN"/>
                    </w:rPr>
                    <w:t>2</w:t>
                  </w:r>
                  <w:r>
                    <w:rPr>
                      <w:rFonts w:hint="eastAsia" w:ascii="Times New Roman" w:hAnsi="Times New Roman" w:eastAsia="宋体" w:cs="Times New Roman"/>
                      <w:b w:val="0"/>
                      <w:bCs w:val="0"/>
                      <w:color w:val="auto"/>
                      <w:sz w:val="21"/>
                      <w:szCs w:val="21"/>
                      <w:vertAlign w:val="baseline"/>
                      <w:lang w:val="en-US" w:eastAsia="zh-CN"/>
                    </w:rPr>
                    <w:t>）</w:t>
                  </w:r>
                </w:p>
              </w:tc>
              <w:tc>
                <w:tcPr>
                  <w:tcW w:w="1149" w:type="dxa"/>
                  <w:tcBorders>
                    <w:tl2br w:val="nil"/>
                    <w:tr2bl w:val="nil"/>
                  </w:tcBorders>
                  <w:vAlign w:val="center"/>
                </w:tcPr>
                <w:p w14:paraId="579D5DC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0.3（kg/m</w:t>
                  </w:r>
                  <w:r>
                    <w:rPr>
                      <w:rFonts w:hint="eastAsia" w:ascii="Times New Roman" w:hAnsi="Times New Roman" w:eastAsia="宋体" w:cs="Times New Roman"/>
                      <w:b w:val="0"/>
                      <w:bCs w:val="0"/>
                      <w:color w:val="auto"/>
                      <w:sz w:val="21"/>
                      <w:szCs w:val="21"/>
                      <w:vertAlign w:val="superscript"/>
                      <w:lang w:val="en-US" w:eastAsia="zh-CN"/>
                    </w:rPr>
                    <w:t>2</w:t>
                  </w:r>
                  <w:r>
                    <w:rPr>
                      <w:rFonts w:hint="eastAsia" w:ascii="Times New Roman" w:hAnsi="Times New Roman" w:eastAsia="宋体" w:cs="Times New Roman"/>
                      <w:b w:val="0"/>
                      <w:bCs w:val="0"/>
                      <w:color w:val="auto"/>
                      <w:sz w:val="21"/>
                      <w:szCs w:val="21"/>
                      <w:vertAlign w:val="baseline"/>
                      <w:lang w:val="en-US" w:eastAsia="zh-CN"/>
                    </w:rPr>
                    <w:t>）</w:t>
                  </w:r>
                </w:p>
              </w:tc>
              <w:tc>
                <w:tcPr>
                  <w:tcW w:w="1149" w:type="dxa"/>
                  <w:tcBorders>
                    <w:tl2br w:val="nil"/>
                    <w:tr2bl w:val="nil"/>
                  </w:tcBorders>
                  <w:vAlign w:val="center"/>
                </w:tcPr>
                <w:p w14:paraId="0633167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0.4（kg/m</w:t>
                  </w:r>
                  <w:r>
                    <w:rPr>
                      <w:rFonts w:hint="eastAsia" w:ascii="Times New Roman" w:hAnsi="Times New Roman" w:eastAsia="宋体" w:cs="Times New Roman"/>
                      <w:b w:val="0"/>
                      <w:bCs w:val="0"/>
                      <w:color w:val="auto"/>
                      <w:sz w:val="21"/>
                      <w:szCs w:val="21"/>
                      <w:vertAlign w:val="superscript"/>
                      <w:lang w:val="en-US" w:eastAsia="zh-CN"/>
                    </w:rPr>
                    <w:t>2</w:t>
                  </w:r>
                  <w:r>
                    <w:rPr>
                      <w:rFonts w:hint="eastAsia" w:ascii="Times New Roman" w:hAnsi="Times New Roman" w:eastAsia="宋体" w:cs="Times New Roman"/>
                      <w:b w:val="0"/>
                      <w:bCs w:val="0"/>
                      <w:color w:val="auto"/>
                      <w:sz w:val="21"/>
                      <w:szCs w:val="21"/>
                      <w:vertAlign w:val="baseline"/>
                      <w:lang w:val="en-US" w:eastAsia="zh-CN"/>
                    </w:rPr>
                    <w:t>）</w:t>
                  </w:r>
                </w:p>
              </w:tc>
              <w:tc>
                <w:tcPr>
                  <w:tcW w:w="1150" w:type="dxa"/>
                  <w:tcBorders>
                    <w:tl2br w:val="nil"/>
                    <w:tr2bl w:val="nil"/>
                  </w:tcBorders>
                  <w:vAlign w:val="center"/>
                </w:tcPr>
                <w:p w14:paraId="4AE08EC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0.5（kg/m</w:t>
                  </w:r>
                  <w:r>
                    <w:rPr>
                      <w:rFonts w:hint="eastAsia" w:ascii="Times New Roman" w:hAnsi="Times New Roman" w:eastAsia="宋体" w:cs="Times New Roman"/>
                      <w:b w:val="0"/>
                      <w:bCs w:val="0"/>
                      <w:color w:val="auto"/>
                      <w:sz w:val="21"/>
                      <w:szCs w:val="21"/>
                      <w:vertAlign w:val="superscript"/>
                      <w:lang w:val="en-US" w:eastAsia="zh-CN"/>
                    </w:rPr>
                    <w:t>2</w:t>
                  </w:r>
                  <w:r>
                    <w:rPr>
                      <w:rFonts w:hint="eastAsia" w:ascii="Times New Roman" w:hAnsi="Times New Roman" w:eastAsia="宋体" w:cs="Times New Roman"/>
                      <w:b w:val="0"/>
                      <w:bCs w:val="0"/>
                      <w:color w:val="auto"/>
                      <w:sz w:val="21"/>
                      <w:szCs w:val="21"/>
                      <w:vertAlign w:val="baseline"/>
                      <w:lang w:val="en-US" w:eastAsia="zh-CN"/>
                    </w:rPr>
                    <w:t>）</w:t>
                  </w:r>
                </w:p>
              </w:tc>
              <w:tc>
                <w:tcPr>
                  <w:tcW w:w="1150" w:type="dxa"/>
                  <w:tcBorders>
                    <w:tl2br w:val="nil"/>
                    <w:tr2bl w:val="nil"/>
                  </w:tcBorders>
                  <w:vAlign w:val="center"/>
                </w:tcPr>
                <w:p w14:paraId="2374492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0.6（kg/m</w:t>
                  </w:r>
                  <w:r>
                    <w:rPr>
                      <w:rFonts w:hint="eastAsia" w:ascii="Times New Roman" w:hAnsi="Times New Roman" w:eastAsia="宋体" w:cs="Times New Roman"/>
                      <w:b w:val="0"/>
                      <w:bCs w:val="0"/>
                      <w:color w:val="auto"/>
                      <w:sz w:val="21"/>
                      <w:szCs w:val="21"/>
                      <w:vertAlign w:val="superscript"/>
                      <w:lang w:val="en-US" w:eastAsia="zh-CN"/>
                    </w:rPr>
                    <w:t>2</w:t>
                  </w:r>
                  <w:r>
                    <w:rPr>
                      <w:rFonts w:hint="eastAsia" w:ascii="Times New Roman" w:hAnsi="Times New Roman" w:eastAsia="宋体" w:cs="Times New Roman"/>
                      <w:b w:val="0"/>
                      <w:bCs w:val="0"/>
                      <w:color w:val="auto"/>
                      <w:sz w:val="21"/>
                      <w:szCs w:val="21"/>
                      <w:vertAlign w:val="baseline"/>
                      <w:lang w:val="en-US" w:eastAsia="zh-CN"/>
                    </w:rPr>
                    <w:t>）</w:t>
                  </w:r>
                </w:p>
              </w:tc>
            </w:tr>
            <w:tr w14:paraId="4A2FE50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49" w:type="dxa"/>
                  <w:tcBorders>
                    <w:tl2br w:val="nil"/>
                    <w:tr2bl w:val="nil"/>
                  </w:tcBorders>
                  <w:vAlign w:val="center"/>
                </w:tcPr>
                <w:p w14:paraId="32E2A2F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空车</w:t>
                  </w:r>
                </w:p>
              </w:tc>
              <w:tc>
                <w:tcPr>
                  <w:tcW w:w="1149" w:type="dxa"/>
                  <w:tcBorders>
                    <w:tl2br w:val="nil"/>
                    <w:tr2bl w:val="nil"/>
                  </w:tcBorders>
                  <w:vAlign w:val="center"/>
                </w:tcPr>
                <w:p w14:paraId="171F885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0.057</w:t>
                  </w:r>
                </w:p>
              </w:tc>
              <w:tc>
                <w:tcPr>
                  <w:tcW w:w="1149" w:type="dxa"/>
                  <w:tcBorders>
                    <w:tl2br w:val="nil"/>
                    <w:tr2bl w:val="nil"/>
                  </w:tcBorders>
                  <w:vAlign w:val="center"/>
                </w:tcPr>
                <w:p w14:paraId="0D4248E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0.095</w:t>
                  </w:r>
                </w:p>
              </w:tc>
              <w:tc>
                <w:tcPr>
                  <w:tcW w:w="1149" w:type="dxa"/>
                  <w:tcBorders>
                    <w:tl2br w:val="nil"/>
                    <w:tr2bl w:val="nil"/>
                  </w:tcBorders>
                  <w:vAlign w:val="center"/>
                </w:tcPr>
                <w:p w14:paraId="44682C0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0.129</w:t>
                  </w:r>
                </w:p>
              </w:tc>
              <w:tc>
                <w:tcPr>
                  <w:tcW w:w="1149" w:type="dxa"/>
                  <w:tcBorders>
                    <w:tl2br w:val="nil"/>
                    <w:tr2bl w:val="nil"/>
                  </w:tcBorders>
                  <w:vAlign w:val="center"/>
                </w:tcPr>
                <w:p w14:paraId="1F38519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0.160</w:t>
                  </w:r>
                </w:p>
              </w:tc>
              <w:tc>
                <w:tcPr>
                  <w:tcW w:w="1150" w:type="dxa"/>
                  <w:tcBorders>
                    <w:tl2br w:val="nil"/>
                    <w:tr2bl w:val="nil"/>
                  </w:tcBorders>
                  <w:vAlign w:val="center"/>
                </w:tcPr>
                <w:p w14:paraId="52263EE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0.189</w:t>
                  </w:r>
                </w:p>
              </w:tc>
              <w:tc>
                <w:tcPr>
                  <w:tcW w:w="1150" w:type="dxa"/>
                  <w:tcBorders>
                    <w:tl2br w:val="nil"/>
                    <w:tr2bl w:val="nil"/>
                  </w:tcBorders>
                  <w:vAlign w:val="center"/>
                </w:tcPr>
                <w:p w14:paraId="39F5549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0.217</w:t>
                  </w:r>
                </w:p>
              </w:tc>
            </w:tr>
            <w:tr w14:paraId="209F8B3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49" w:type="dxa"/>
                  <w:tcBorders>
                    <w:tl2br w:val="nil"/>
                    <w:tr2bl w:val="nil"/>
                  </w:tcBorders>
                  <w:vAlign w:val="center"/>
                </w:tcPr>
                <w:p w14:paraId="58D9C48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重车</w:t>
                  </w:r>
                </w:p>
              </w:tc>
              <w:tc>
                <w:tcPr>
                  <w:tcW w:w="1149" w:type="dxa"/>
                  <w:tcBorders>
                    <w:tl2br w:val="nil"/>
                    <w:tr2bl w:val="nil"/>
                  </w:tcBorders>
                  <w:vAlign w:val="center"/>
                </w:tcPr>
                <w:p w14:paraId="1E191B5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0.296</w:t>
                  </w:r>
                </w:p>
              </w:tc>
              <w:tc>
                <w:tcPr>
                  <w:tcW w:w="1149" w:type="dxa"/>
                  <w:tcBorders>
                    <w:tl2br w:val="nil"/>
                    <w:tr2bl w:val="nil"/>
                  </w:tcBorders>
                  <w:vAlign w:val="center"/>
                </w:tcPr>
                <w:p w14:paraId="0F4846B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0.498</w:t>
                  </w:r>
                </w:p>
              </w:tc>
              <w:tc>
                <w:tcPr>
                  <w:tcW w:w="1149" w:type="dxa"/>
                  <w:tcBorders>
                    <w:tl2br w:val="nil"/>
                    <w:tr2bl w:val="nil"/>
                  </w:tcBorders>
                  <w:vAlign w:val="center"/>
                </w:tcPr>
                <w:p w14:paraId="1A73E61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0.675</w:t>
                  </w:r>
                </w:p>
              </w:tc>
              <w:tc>
                <w:tcPr>
                  <w:tcW w:w="1149" w:type="dxa"/>
                  <w:tcBorders>
                    <w:tl2br w:val="nil"/>
                    <w:tr2bl w:val="nil"/>
                  </w:tcBorders>
                  <w:vAlign w:val="center"/>
                </w:tcPr>
                <w:p w14:paraId="25ABA37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0.838</w:t>
                  </w:r>
                </w:p>
              </w:tc>
              <w:tc>
                <w:tcPr>
                  <w:tcW w:w="1150" w:type="dxa"/>
                  <w:tcBorders>
                    <w:tl2br w:val="nil"/>
                    <w:tr2bl w:val="nil"/>
                  </w:tcBorders>
                  <w:vAlign w:val="center"/>
                </w:tcPr>
                <w:p w14:paraId="120280B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0.990</w:t>
                  </w:r>
                </w:p>
              </w:tc>
              <w:tc>
                <w:tcPr>
                  <w:tcW w:w="1150" w:type="dxa"/>
                  <w:tcBorders>
                    <w:tl2br w:val="nil"/>
                    <w:tr2bl w:val="nil"/>
                  </w:tcBorders>
                  <w:vAlign w:val="center"/>
                </w:tcPr>
                <w:p w14:paraId="4858618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1.135</w:t>
                  </w:r>
                </w:p>
              </w:tc>
            </w:tr>
            <w:tr w14:paraId="3C67ECB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49" w:type="dxa"/>
                  <w:tcBorders>
                    <w:tl2br w:val="nil"/>
                    <w:tr2bl w:val="nil"/>
                  </w:tcBorders>
                  <w:vAlign w:val="center"/>
                </w:tcPr>
                <w:p w14:paraId="1D6F815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合计</w:t>
                  </w:r>
                </w:p>
              </w:tc>
              <w:tc>
                <w:tcPr>
                  <w:tcW w:w="1149" w:type="dxa"/>
                  <w:tcBorders>
                    <w:tl2br w:val="nil"/>
                    <w:tr2bl w:val="nil"/>
                  </w:tcBorders>
                  <w:vAlign w:val="center"/>
                </w:tcPr>
                <w:p w14:paraId="3E1EBF8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0.353</w:t>
                  </w:r>
                </w:p>
              </w:tc>
              <w:tc>
                <w:tcPr>
                  <w:tcW w:w="1149" w:type="dxa"/>
                  <w:tcBorders>
                    <w:tl2br w:val="nil"/>
                    <w:tr2bl w:val="nil"/>
                  </w:tcBorders>
                  <w:vAlign w:val="center"/>
                </w:tcPr>
                <w:p w14:paraId="085DBCB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0.593</w:t>
                  </w:r>
                </w:p>
              </w:tc>
              <w:tc>
                <w:tcPr>
                  <w:tcW w:w="1149" w:type="dxa"/>
                  <w:tcBorders>
                    <w:tl2br w:val="nil"/>
                    <w:tr2bl w:val="nil"/>
                  </w:tcBorders>
                  <w:vAlign w:val="center"/>
                </w:tcPr>
                <w:p w14:paraId="54331F6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0.804</w:t>
                  </w:r>
                </w:p>
              </w:tc>
              <w:tc>
                <w:tcPr>
                  <w:tcW w:w="1149" w:type="dxa"/>
                  <w:tcBorders>
                    <w:tl2br w:val="nil"/>
                    <w:tr2bl w:val="nil"/>
                  </w:tcBorders>
                  <w:vAlign w:val="center"/>
                </w:tcPr>
                <w:p w14:paraId="7EAF056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0.998</w:t>
                  </w:r>
                </w:p>
              </w:tc>
              <w:tc>
                <w:tcPr>
                  <w:tcW w:w="1150" w:type="dxa"/>
                  <w:tcBorders>
                    <w:tl2br w:val="nil"/>
                    <w:tr2bl w:val="nil"/>
                  </w:tcBorders>
                  <w:vAlign w:val="center"/>
                </w:tcPr>
                <w:p w14:paraId="3F0E931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1.180</w:t>
                  </w:r>
                </w:p>
              </w:tc>
              <w:tc>
                <w:tcPr>
                  <w:tcW w:w="1150" w:type="dxa"/>
                  <w:tcBorders>
                    <w:tl2br w:val="nil"/>
                    <w:tr2bl w:val="nil"/>
                  </w:tcBorders>
                  <w:vAlign w:val="center"/>
                </w:tcPr>
                <w:p w14:paraId="61D2C24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1.353</w:t>
                  </w:r>
                </w:p>
              </w:tc>
            </w:tr>
          </w:tbl>
          <w:p w14:paraId="26FCE28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p>
          <w:p w14:paraId="71BC0FB8">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本次评价地面清洁程度取P=0.2kg/m</w:t>
            </w:r>
            <w:r>
              <w:rPr>
                <w:rFonts w:hint="eastAsia" w:ascii="Times New Roman" w:hAnsi="Times New Roman" w:eastAsia="宋体" w:cs="Times New Roman"/>
                <w:b w:val="0"/>
                <w:bCs w:val="0"/>
                <w:color w:val="auto"/>
                <w:sz w:val="24"/>
                <w:vertAlign w:val="superscript"/>
                <w:lang w:val="en-US" w:eastAsia="zh-CN"/>
              </w:rPr>
              <w:t>2</w:t>
            </w:r>
            <w:r>
              <w:rPr>
                <w:rFonts w:hint="eastAsia" w:ascii="Times New Roman" w:hAnsi="Times New Roman" w:eastAsia="宋体" w:cs="Times New Roman"/>
                <w:b w:val="0"/>
                <w:bCs w:val="0"/>
                <w:color w:val="auto"/>
                <w:sz w:val="24"/>
                <w:lang w:val="en-US" w:eastAsia="zh-CN"/>
              </w:rPr>
              <w:t>，则本项目汽车动力起尘量为 0.593kg/km·辆，因此运输车辆扬尘产生</w:t>
            </w:r>
            <w:r>
              <w:rPr>
                <w:rFonts w:hint="eastAsia" w:ascii="Times New Roman" w:hAnsi="Times New Roman" w:eastAsia="宋体" w:cs="Times New Roman"/>
                <w:b w:val="0"/>
                <w:bCs w:val="0"/>
                <w:color w:val="auto"/>
                <w:sz w:val="24"/>
                <w:highlight w:val="none"/>
                <w:lang w:val="en-US" w:eastAsia="zh-CN"/>
              </w:rPr>
              <w:t>量约</w:t>
            </w:r>
            <w:r>
              <w:rPr>
                <w:rFonts w:hint="eastAsia" w:cs="Times New Roman"/>
                <w:b w:val="0"/>
                <w:bCs w:val="0"/>
                <w:color w:val="auto"/>
                <w:sz w:val="24"/>
                <w:highlight w:val="none"/>
                <w:lang w:val="en-US" w:eastAsia="zh-CN"/>
              </w:rPr>
              <w:t>1.2002</w:t>
            </w:r>
            <w:r>
              <w:rPr>
                <w:rFonts w:hint="eastAsia" w:ascii="Times New Roman" w:hAnsi="Times New Roman" w:eastAsia="宋体" w:cs="Times New Roman"/>
                <w:b w:val="0"/>
                <w:bCs w:val="0"/>
                <w:color w:val="auto"/>
                <w:sz w:val="24"/>
                <w:highlight w:val="none"/>
                <w:lang w:val="en-US" w:eastAsia="zh-CN"/>
              </w:rPr>
              <w:t>t/a。</w:t>
            </w:r>
            <w:r>
              <w:rPr>
                <w:rFonts w:hint="eastAsia" w:ascii="Times New Roman" w:hAnsi="Times New Roman" w:eastAsia="宋体" w:cs="Times New Roman"/>
                <w:b w:val="0"/>
                <w:bCs w:val="0"/>
                <w:color w:val="auto"/>
                <w:sz w:val="24"/>
                <w:lang w:val="en-US" w:eastAsia="zh-CN"/>
              </w:rPr>
              <w:t>由以上公式看出，同样的车速，路面越脏，则扬尘量越大，保持路面清洁是减少扬尘的有效手段。</w:t>
            </w:r>
          </w:p>
          <w:p w14:paraId="3A070276">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②治理措施</w:t>
            </w:r>
          </w:p>
          <w:p w14:paraId="596542CF">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A.在运输过程中限制车速，对厂区内地面定期派专人进行路面清扫、每天洒水4-5次，以减少道路扬尘。</w:t>
            </w:r>
          </w:p>
          <w:p w14:paraId="25177EE4">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B.运输车辆不允许超载，出厂前一律清洗轮胎，用毡布加棚覆盖，减少扬尘对运输路线附近大气环境的污染，降低对沿线敏感点的不利影响。</w:t>
            </w:r>
          </w:p>
          <w:p w14:paraId="5FD5CB8C">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C.运输车辆进出厂时，加强检查和管理，对未采取密闭措施和密闭不到位的车辆，督促车主规范装载、覆盖货物，防止在运输过程中散落。</w:t>
            </w:r>
          </w:p>
          <w:p w14:paraId="509AE9DB">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D.定期清洗车辆，督促车主保持车辆干净并定期检查运输车辆的清洁情况，加强管理。</w:t>
            </w:r>
          </w:p>
          <w:p w14:paraId="2E5C0156">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E.做好场地的衔接，保证工作日场内运输道路持续保湿作业。</w:t>
            </w:r>
          </w:p>
          <w:p w14:paraId="7207C1D9">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通过采取上述措施后，粉尘量可减少90%左右，</w:t>
            </w:r>
            <w:r>
              <w:rPr>
                <w:rFonts w:hint="eastAsia" w:ascii="Times New Roman" w:hAnsi="Times New Roman" w:eastAsia="宋体" w:cs="Times New Roman"/>
                <w:b w:val="0"/>
                <w:bCs w:val="0"/>
                <w:color w:val="auto"/>
                <w:sz w:val="24"/>
                <w:highlight w:val="none"/>
                <w:lang w:val="en-US" w:eastAsia="zh-CN"/>
              </w:rPr>
              <w:t>则项目车辆运输道路扬尘排放量约为</w:t>
            </w:r>
            <w:r>
              <w:rPr>
                <w:rFonts w:hint="eastAsia" w:cs="Times New Roman"/>
                <w:b w:val="0"/>
                <w:bCs w:val="0"/>
                <w:color w:val="auto"/>
                <w:sz w:val="24"/>
                <w:highlight w:val="none"/>
                <w:lang w:val="en-US" w:eastAsia="zh-CN"/>
              </w:rPr>
              <w:t>0.12</w:t>
            </w:r>
            <w:r>
              <w:rPr>
                <w:rFonts w:hint="eastAsia" w:ascii="Times New Roman" w:hAnsi="Times New Roman" w:eastAsia="宋体" w:cs="Times New Roman"/>
                <w:b w:val="0"/>
                <w:bCs w:val="0"/>
                <w:color w:val="auto"/>
                <w:sz w:val="24"/>
                <w:highlight w:val="none"/>
                <w:lang w:val="en-US" w:eastAsia="zh-CN"/>
              </w:rPr>
              <w:t>t/a。</w:t>
            </w:r>
          </w:p>
          <w:p w14:paraId="74BF42BF">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（2）汽车尾气</w:t>
            </w:r>
          </w:p>
          <w:p w14:paraId="1CF96592">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本项目汽车尾气主要包括运输车辆以及厂区内装载机在运输、物料转移过程中会产生尾气，尾气主要污染物为NO</w:t>
            </w:r>
            <w:r>
              <w:rPr>
                <w:rFonts w:hint="eastAsia" w:ascii="Times New Roman" w:hAnsi="Times New Roman" w:eastAsia="宋体" w:cs="Times New Roman"/>
                <w:b w:val="0"/>
                <w:bCs w:val="0"/>
                <w:color w:val="auto"/>
                <w:sz w:val="24"/>
                <w:vertAlign w:val="subscript"/>
                <w:lang w:val="en-US" w:eastAsia="zh-CN"/>
              </w:rPr>
              <w:t>x</w:t>
            </w:r>
            <w:r>
              <w:rPr>
                <w:rFonts w:hint="eastAsia" w:ascii="Times New Roman" w:hAnsi="Times New Roman" w:eastAsia="宋体" w:cs="Times New Roman"/>
                <w:b w:val="0"/>
                <w:bCs w:val="0"/>
                <w:color w:val="auto"/>
                <w:sz w:val="24"/>
                <w:lang w:val="en-US" w:eastAsia="zh-CN"/>
              </w:rPr>
              <w:t>、CO等，由于汽车尾气属于分散流动源，污染物排放量相对较小，无法定量。本环评要求，运输车辆以及装载机采用审查合格的运输车辆，并且要求建设单位在日常管理中加强车辆的维修和检验，确保车辆的正常运行。故汽车尾气对周围大气环境影响较小。</w:t>
            </w:r>
          </w:p>
          <w:p w14:paraId="6B22C2A5">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1.1.</w:t>
            </w:r>
            <w:r>
              <w:rPr>
                <w:rFonts w:hint="eastAsia" w:cs="Times New Roman"/>
                <w:b/>
                <w:bCs/>
                <w:color w:val="auto"/>
                <w:sz w:val="24"/>
                <w:lang w:val="en-US" w:eastAsia="zh-CN"/>
              </w:rPr>
              <w:t>7</w:t>
            </w:r>
            <w:r>
              <w:rPr>
                <w:rFonts w:hint="eastAsia" w:ascii="Times New Roman" w:hAnsi="Times New Roman" w:eastAsia="宋体" w:cs="Times New Roman"/>
                <w:b/>
                <w:bCs/>
                <w:color w:val="auto"/>
                <w:sz w:val="24"/>
                <w:lang w:val="en-US" w:eastAsia="zh-CN"/>
              </w:rPr>
              <w:t>生产检测中心有机废气</w:t>
            </w:r>
          </w:p>
          <w:p w14:paraId="2D371854">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项目生产检测中心实验室主要承担成品的检测工作，每一批次产品取1kg去实验室，检测产品物理性质。全年检测产品量约0.5t/a，检测均为物理实验，不改变产品性能，仅在对沥青软化中会产生微量废气，本次环评仅进行定性分析。</w:t>
            </w:r>
          </w:p>
          <w:p w14:paraId="6B499FC1">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1.1.</w:t>
            </w:r>
            <w:r>
              <w:rPr>
                <w:rFonts w:hint="eastAsia" w:cs="Times New Roman"/>
                <w:b/>
                <w:bCs/>
                <w:color w:val="auto"/>
                <w:sz w:val="24"/>
                <w:lang w:val="en-US" w:eastAsia="zh-CN"/>
              </w:rPr>
              <w:t>8</w:t>
            </w:r>
            <w:r>
              <w:rPr>
                <w:rFonts w:hint="eastAsia" w:ascii="Times New Roman" w:hAnsi="Times New Roman" w:eastAsia="宋体" w:cs="Times New Roman"/>
                <w:b/>
                <w:bCs/>
                <w:color w:val="auto"/>
                <w:sz w:val="24"/>
                <w:lang w:val="en-US" w:eastAsia="zh-CN"/>
              </w:rPr>
              <w:t>食堂油烟</w:t>
            </w:r>
          </w:p>
          <w:p w14:paraId="7C41E527">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（1）产生情况</w:t>
            </w:r>
          </w:p>
          <w:p w14:paraId="6A578C0F">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本项目设置员工食堂，为员工提供就餐服务，按照</w:t>
            </w:r>
            <w:r>
              <w:rPr>
                <w:rFonts w:hint="eastAsia" w:cs="Times New Roman"/>
                <w:b w:val="0"/>
                <w:bCs w:val="0"/>
                <w:color w:val="auto"/>
                <w:sz w:val="24"/>
                <w:lang w:val="en-US" w:eastAsia="zh-CN"/>
              </w:rPr>
              <w:t>40</w:t>
            </w:r>
            <w:r>
              <w:rPr>
                <w:rFonts w:hint="eastAsia" w:ascii="Times New Roman" w:hAnsi="Times New Roman" w:eastAsia="宋体" w:cs="Times New Roman"/>
                <w:b w:val="0"/>
                <w:bCs w:val="0"/>
                <w:color w:val="auto"/>
                <w:sz w:val="24"/>
                <w:lang w:val="en-US" w:eastAsia="zh-CN"/>
              </w:rPr>
              <w:t>人次/d进行设计，食堂采用天然气和电等清洁能源。类比同类项目，食用油用量约为30g/人·d，油烟产生量以总耗油量的2-4%进行计算，本项目以4%计，则油烟产生量为0.0</w:t>
            </w:r>
            <w:r>
              <w:rPr>
                <w:rFonts w:hint="eastAsia" w:cs="Times New Roman"/>
                <w:b w:val="0"/>
                <w:bCs w:val="0"/>
                <w:color w:val="auto"/>
                <w:sz w:val="24"/>
                <w:lang w:val="en-US" w:eastAsia="zh-CN"/>
              </w:rPr>
              <w:t>158</w:t>
            </w:r>
            <w:r>
              <w:rPr>
                <w:rFonts w:hint="eastAsia" w:ascii="Times New Roman" w:hAnsi="Times New Roman" w:eastAsia="宋体" w:cs="Times New Roman"/>
                <w:b w:val="0"/>
                <w:bCs w:val="0"/>
                <w:color w:val="auto"/>
                <w:sz w:val="24"/>
                <w:lang w:val="en-US" w:eastAsia="zh-CN"/>
              </w:rPr>
              <w:t>t/a，产生速率为0.0</w:t>
            </w:r>
            <w:r>
              <w:rPr>
                <w:rFonts w:hint="eastAsia" w:cs="Times New Roman"/>
                <w:b w:val="0"/>
                <w:bCs w:val="0"/>
                <w:color w:val="auto"/>
                <w:sz w:val="24"/>
                <w:lang w:val="en-US" w:eastAsia="zh-CN"/>
              </w:rPr>
              <w:t>12</w:t>
            </w:r>
            <w:r>
              <w:rPr>
                <w:rFonts w:hint="eastAsia" w:ascii="Times New Roman" w:hAnsi="Times New Roman" w:eastAsia="宋体" w:cs="Times New Roman"/>
                <w:b w:val="0"/>
                <w:bCs w:val="0"/>
                <w:color w:val="auto"/>
                <w:sz w:val="24"/>
                <w:lang w:val="en-US" w:eastAsia="zh-CN"/>
              </w:rPr>
              <w:t>kg/h（食堂每天工作4h计）。</w:t>
            </w:r>
          </w:p>
          <w:p w14:paraId="2A0F973C">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（2）收集治理措施</w:t>
            </w:r>
          </w:p>
          <w:p w14:paraId="7366BA72">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在灶头上部安装集气罩，油烟经集气罩收集后，由排烟管道引入油烟净化器</w:t>
            </w:r>
            <w:r>
              <w:rPr>
                <w:rFonts w:hint="eastAsia" w:cs="Times New Roman"/>
                <w:b w:val="0"/>
                <w:bCs w:val="0"/>
                <w:color w:val="auto"/>
                <w:sz w:val="24"/>
                <w:lang w:val="en-US" w:eastAsia="zh-CN"/>
              </w:rPr>
              <w:t>（TA006）</w:t>
            </w:r>
            <w:r>
              <w:rPr>
                <w:rFonts w:hint="eastAsia" w:ascii="Times New Roman" w:hAnsi="Times New Roman" w:eastAsia="宋体" w:cs="Times New Roman"/>
                <w:b w:val="0"/>
                <w:bCs w:val="0"/>
                <w:color w:val="auto"/>
                <w:sz w:val="24"/>
                <w:lang w:val="en-US" w:eastAsia="zh-CN"/>
              </w:rPr>
              <w:t>进行处理后引至楼顶排气筒排放（DA006），</w:t>
            </w:r>
            <w:r>
              <w:rPr>
                <w:rFonts w:hint="eastAsia" w:cs="Times New Roman"/>
                <w:b w:val="0"/>
                <w:bCs w:val="0"/>
                <w:color w:val="auto"/>
                <w:sz w:val="24"/>
                <w:lang w:val="en-US" w:eastAsia="zh-CN"/>
              </w:rPr>
              <w:t>收集效率90%，</w:t>
            </w:r>
            <w:r>
              <w:rPr>
                <w:rFonts w:hint="eastAsia" w:ascii="Times New Roman" w:hAnsi="Times New Roman" w:eastAsia="宋体" w:cs="Times New Roman"/>
                <w:b w:val="0"/>
                <w:bCs w:val="0"/>
                <w:color w:val="auto"/>
                <w:sz w:val="24"/>
                <w:lang w:val="en-US" w:eastAsia="zh-CN"/>
              </w:rPr>
              <w:t>处理效率70%，风量为</w:t>
            </w:r>
            <w:r>
              <w:rPr>
                <w:rFonts w:hint="eastAsia" w:cs="Times New Roman"/>
                <w:b w:val="0"/>
                <w:bCs w:val="0"/>
                <w:color w:val="auto"/>
                <w:sz w:val="24"/>
                <w:lang w:val="en-US" w:eastAsia="zh-CN"/>
              </w:rPr>
              <w:t>3000</w:t>
            </w:r>
            <w:r>
              <w:rPr>
                <w:rFonts w:hint="eastAsia" w:ascii="Times New Roman" w:hAnsi="Times New Roman" w:eastAsia="宋体" w:cs="Times New Roman"/>
                <w:b w:val="0"/>
                <w:bCs w:val="0"/>
                <w:color w:val="auto"/>
                <w:sz w:val="24"/>
                <w:lang w:val="en-US" w:eastAsia="zh-CN"/>
              </w:rPr>
              <w:t>m</w:t>
            </w:r>
            <w:r>
              <w:rPr>
                <w:rFonts w:hint="eastAsia" w:ascii="Times New Roman" w:hAnsi="Times New Roman" w:eastAsia="宋体" w:cs="Times New Roman"/>
                <w:b w:val="0"/>
                <w:bCs w:val="0"/>
                <w:color w:val="auto"/>
                <w:sz w:val="24"/>
                <w:vertAlign w:val="superscript"/>
                <w:lang w:val="en-US" w:eastAsia="zh-CN"/>
              </w:rPr>
              <w:t>3</w:t>
            </w:r>
            <w:r>
              <w:rPr>
                <w:rFonts w:hint="eastAsia" w:ascii="Times New Roman" w:hAnsi="Times New Roman" w:eastAsia="宋体" w:cs="Times New Roman"/>
                <w:b w:val="0"/>
                <w:bCs w:val="0"/>
                <w:color w:val="auto"/>
                <w:sz w:val="24"/>
                <w:lang w:val="en-US" w:eastAsia="zh-CN"/>
              </w:rPr>
              <w:t>/h</w:t>
            </w:r>
            <w:r>
              <w:rPr>
                <w:rFonts w:hint="eastAsia" w:cs="Times New Roman"/>
                <w:b w:val="0"/>
                <w:bCs w:val="0"/>
                <w:color w:val="auto"/>
                <w:sz w:val="24"/>
                <w:lang w:val="en-US" w:eastAsia="zh-CN"/>
              </w:rPr>
              <w:t>。</w:t>
            </w:r>
          </w:p>
          <w:p w14:paraId="06F3CD30">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综上，本项目各区域废气收集方式及处理方式如下表：</w:t>
            </w:r>
          </w:p>
          <w:p w14:paraId="552A4490">
            <w:pPr>
              <w:numPr>
                <w:ilvl w:val="0"/>
                <w:numId w:val="6"/>
              </w:numPr>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各生产区域收集处理情况一览表</w:t>
            </w:r>
          </w:p>
          <w:tbl>
            <w:tblPr>
              <w:tblStyle w:val="27"/>
              <w:tblW w:w="8045"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85"/>
              <w:gridCol w:w="2515"/>
              <w:gridCol w:w="1177"/>
              <w:gridCol w:w="2968"/>
            </w:tblGrid>
            <w:tr w14:paraId="5084508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385" w:type="dxa"/>
                  <w:tcBorders>
                    <w:tl2br w:val="nil"/>
                    <w:tr2bl w:val="nil"/>
                  </w:tcBorders>
                  <w:vAlign w:val="center"/>
                </w:tcPr>
                <w:p w14:paraId="57AD5A3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生产区域</w:t>
                  </w:r>
                </w:p>
              </w:tc>
              <w:tc>
                <w:tcPr>
                  <w:tcW w:w="2515" w:type="dxa"/>
                  <w:tcBorders>
                    <w:tl2br w:val="nil"/>
                    <w:tr2bl w:val="nil"/>
                  </w:tcBorders>
                  <w:vAlign w:val="center"/>
                </w:tcPr>
                <w:p w14:paraId="4AA4B9C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废气种类</w:t>
                  </w:r>
                </w:p>
              </w:tc>
              <w:tc>
                <w:tcPr>
                  <w:tcW w:w="1177" w:type="dxa"/>
                  <w:tcBorders>
                    <w:tl2br w:val="nil"/>
                    <w:tr2bl w:val="nil"/>
                  </w:tcBorders>
                  <w:vAlign w:val="center"/>
                </w:tcPr>
                <w:p w14:paraId="1FB7792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收集方式</w:t>
                  </w:r>
                </w:p>
              </w:tc>
              <w:tc>
                <w:tcPr>
                  <w:tcW w:w="2968" w:type="dxa"/>
                  <w:tcBorders>
                    <w:tl2br w:val="nil"/>
                    <w:tr2bl w:val="nil"/>
                  </w:tcBorders>
                  <w:vAlign w:val="center"/>
                </w:tcPr>
                <w:p w14:paraId="04F4404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处理方式</w:t>
                  </w:r>
                </w:p>
              </w:tc>
            </w:tr>
            <w:tr w14:paraId="2BA2B94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385" w:type="dxa"/>
                  <w:vMerge w:val="restart"/>
                  <w:tcBorders>
                    <w:tl2br w:val="nil"/>
                    <w:tr2bl w:val="nil"/>
                  </w:tcBorders>
                  <w:vAlign w:val="center"/>
                </w:tcPr>
                <w:p w14:paraId="583E2E6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普通</w:t>
                  </w:r>
                  <w:r>
                    <w:rPr>
                      <w:rFonts w:hint="default" w:ascii="Times New Roman" w:hAnsi="Times New Roman" w:eastAsia="宋体" w:cs="Times New Roman"/>
                      <w:b w:val="0"/>
                      <w:bCs w:val="0"/>
                      <w:color w:val="auto"/>
                      <w:sz w:val="21"/>
                      <w:szCs w:val="21"/>
                      <w:vertAlign w:val="baseline"/>
                      <w:lang w:val="en-US" w:eastAsia="zh-CN"/>
                    </w:rPr>
                    <w:t>沥青混凝土、</w:t>
                  </w:r>
                  <w:r>
                    <w:rPr>
                      <w:rFonts w:hint="eastAsia" w:ascii="Times New Roman" w:hAnsi="Times New Roman" w:eastAsia="宋体" w:cs="Times New Roman"/>
                      <w:b w:val="0"/>
                      <w:bCs w:val="0"/>
                      <w:color w:val="auto"/>
                      <w:sz w:val="21"/>
                      <w:szCs w:val="21"/>
                      <w:vertAlign w:val="baseline"/>
                      <w:lang w:val="en-US" w:eastAsia="zh-CN"/>
                    </w:rPr>
                    <w:t>热</w:t>
                  </w:r>
                  <w:r>
                    <w:rPr>
                      <w:rFonts w:hint="default" w:ascii="Times New Roman" w:hAnsi="Times New Roman" w:eastAsia="宋体" w:cs="Times New Roman"/>
                      <w:b w:val="0"/>
                      <w:bCs w:val="0"/>
                      <w:color w:val="auto"/>
                      <w:sz w:val="21"/>
                      <w:szCs w:val="21"/>
                      <w:vertAlign w:val="baseline"/>
                      <w:lang w:val="en-US" w:eastAsia="zh-CN"/>
                    </w:rPr>
                    <w:t>再生沥青混凝土</w:t>
                  </w:r>
                  <w:r>
                    <w:rPr>
                      <w:rFonts w:hint="eastAsia" w:ascii="Times New Roman" w:hAnsi="Times New Roman" w:eastAsia="宋体" w:cs="Times New Roman"/>
                      <w:b w:val="0"/>
                      <w:bCs w:val="0"/>
                      <w:color w:val="auto"/>
                      <w:sz w:val="21"/>
                      <w:szCs w:val="21"/>
                      <w:vertAlign w:val="baseline"/>
                      <w:lang w:val="en-US" w:eastAsia="zh-CN"/>
                    </w:rPr>
                    <w:t>、乳化沥青</w:t>
                  </w:r>
                  <w:r>
                    <w:rPr>
                      <w:rFonts w:hint="default" w:ascii="Times New Roman" w:hAnsi="Times New Roman" w:eastAsia="宋体" w:cs="Times New Roman"/>
                      <w:b w:val="0"/>
                      <w:bCs w:val="0"/>
                      <w:color w:val="auto"/>
                      <w:sz w:val="21"/>
                      <w:szCs w:val="21"/>
                      <w:vertAlign w:val="baseline"/>
                      <w:lang w:val="en-US" w:eastAsia="zh-CN"/>
                    </w:rPr>
                    <w:t>生产线</w:t>
                  </w:r>
                </w:p>
              </w:tc>
              <w:tc>
                <w:tcPr>
                  <w:tcW w:w="2515" w:type="dxa"/>
                  <w:tcBorders>
                    <w:tl2br w:val="nil"/>
                    <w:tr2bl w:val="nil"/>
                  </w:tcBorders>
                  <w:vAlign w:val="center"/>
                </w:tcPr>
                <w:p w14:paraId="4C0A059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投料粉尘</w:t>
                  </w:r>
                </w:p>
              </w:tc>
              <w:tc>
                <w:tcPr>
                  <w:tcW w:w="1177" w:type="dxa"/>
                  <w:tcBorders>
                    <w:tl2br w:val="nil"/>
                    <w:tr2bl w:val="nil"/>
                  </w:tcBorders>
                  <w:vAlign w:val="center"/>
                </w:tcPr>
                <w:p w14:paraId="44F4478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2968" w:type="dxa"/>
                  <w:tcBorders>
                    <w:tl2br w:val="nil"/>
                    <w:tr2bl w:val="nil"/>
                  </w:tcBorders>
                  <w:vAlign w:val="center"/>
                </w:tcPr>
                <w:p w14:paraId="23B6D93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封闭</w:t>
                  </w:r>
                  <w:r>
                    <w:rPr>
                      <w:rFonts w:hint="eastAsia" w:ascii="Times New Roman" w:hAnsi="Times New Roman" w:eastAsia="宋体" w:cs="Times New Roman"/>
                      <w:b w:val="0"/>
                      <w:bCs w:val="0"/>
                      <w:color w:val="auto"/>
                      <w:sz w:val="21"/>
                      <w:szCs w:val="21"/>
                      <w:vertAlign w:val="baseline"/>
                      <w:lang w:val="en-US" w:eastAsia="zh-CN"/>
                    </w:rPr>
                    <w:t>投料斗</w:t>
                  </w:r>
                  <w:r>
                    <w:rPr>
                      <w:rFonts w:hint="default" w:ascii="Times New Roman" w:hAnsi="Times New Roman" w:eastAsia="宋体" w:cs="Times New Roman"/>
                      <w:b w:val="0"/>
                      <w:bCs w:val="0"/>
                      <w:color w:val="auto"/>
                      <w:sz w:val="21"/>
                      <w:szCs w:val="21"/>
                      <w:vertAlign w:val="baseline"/>
                      <w:lang w:val="en-US" w:eastAsia="zh-CN"/>
                    </w:rPr>
                    <w:t>+喷雾降尘</w:t>
                  </w:r>
                </w:p>
              </w:tc>
            </w:tr>
            <w:tr w14:paraId="5B44946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385" w:type="dxa"/>
                  <w:vMerge w:val="continue"/>
                  <w:tcBorders>
                    <w:tl2br w:val="nil"/>
                    <w:tr2bl w:val="nil"/>
                  </w:tcBorders>
                  <w:vAlign w:val="center"/>
                </w:tcPr>
                <w:p w14:paraId="55C052A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515" w:type="dxa"/>
                  <w:tcBorders>
                    <w:tl2br w:val="nil"/>
                    <w:tr2bl w:val="nil"/>
                  </w:tcBorders>
                  <w:vAlign w:val="center"/>
                </w:tcPr>
                <w:p w14:paraId="15D7E22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粉料筒仓粉尘</w:t>
                  </w:r>
                </w:p>
              </w:tc>
              <w:tc>
                <w:tcPr>
                  <w:tcW w:w="1177" w:type="dxa"/>
                  <w:tcBorders>
                    <w:tl2br w:val="nil"/>
                    <w:tr2bl w:val="nil"/>
                  </w:tcBorders>
                  <w:vAlign w:val="center"/>
                </w:tcPr>
                <w:p w14:paraId="6B99D95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2968" w:type="dxa"/>
                  <w:tcBorders>
                    <w:tl2br w:val="nil"/>
                    <w:tr2bl w:val="nil"/>
                  </w:tcBorders>
                  <w:vAlign w:val="center"/>
                </w:tcPr>
                <w:p w14:paraId="6BC55E4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筒仓自带布袋除尘</w:t>
                  </w:r>
                </w:p>
              </w:tc>
            </w:tr>
            <w:tr w14:paraId="248F0D5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385" w:type="dxa"/>
                  <w:vMerge w:val="continue"/>
                  <w:tcBorders>
                    <w:tl2br w:val="nil"/>
                    <w:tr2bl w:val="nil"/>
                  </w:tcBorders>
                  <w:vAlign w:val="center"/>
                </w:tcPr>
                <w:p w14:paraId="37FD70C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515" w:type="dxa"/>
                  <w:tcBorders>
                    <w:tl2br w:val="nil"/>
                    <w:tr2bl w:val="nil"/>
                  </w:tcBorders>
                  <w:vAlign w:val="center"/>
                </w:tcPr>
                <w:p w14:paraId="5E7575F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输送粉尘</w:t>
                  </w:r>
                  <w:r>
                    <w:rPr>
                      <w:rFonts w:hint="default" w:ascii="Times New Roman" w:hAnsi="Times New Roman" w:eastAsia="宋体" w:cs="Times New Roman"/>
                      <w:b w:val="0"/>
                      <w:bCs w:val="0"/>
                      <w:color w:val="auto"/>
                      <w:sz w:val="21"/>
                      <w:szCs w:val="21"/>
                      <w:vertAlign w:val="baseline"/>
                      <w:lang w:val="en-US" w:eastAsia="zh-CN"/>
                    </w:rPr>
                    <w:t>、烘干粉尘、提升粉尘、筛分粉尘、烘干系统天然气燃烧废气</w:t>
                  </w:r>
                </w:p>
              </w:tc>
              <w:tc>
                <w:tcPr>
                  <w:tcW w:w="1177" w:type="dxa"/>
                  <w:tcBorders>
                    <w:tl2br w:val="nil"/>
                    <w:tr2bl w:val="nil"/>
                  </w:tcBorders>
                  <w:vAlign w:val="center"/>
                </w:tcPr>
                <w:p w14:paraId="7353BE9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密闭收集</w:t>
                  </w:r>
                </w:p>
              </w:tc>
              <w:tc>
                <w:tcPr>
                  <w:tcW w:w="2968" w:type="dxa"/>
                  <w:tcBorders>
                    <w:tl2br w:val="nil"/>
                    <w:tr2bl w:val="nil"/>
                  </w:tcBorders>
                  <w:vAlign w:val="center"/>
                </w:tcPr>
                <w:p w14:paraId="7510646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高温布袋除尘器（TA001）+</w:t>
                  </w:r>
                  <w:r>
                    <w:rPr>
                      <w:rFonts w:hint="eastAsia" w:ascii="Times New Roman" w:hAnsi="Times New Roman" w:eastAsia="宋体" w:cs="Times New Roman"/>
                      <w:b w:val="0"/>
                      <w:bCs w:val="0"/>
                      <w:color w:val="auto"/>
                      <w:sz w:val="21"/>
                      <w:szCs w:val="21"/>
                      <w:vertAlign w:val="baseline"/>
                      <w:lang w:val="en-US" w:eastAsia="zh-CN"/>
                    </w:rPr>
                    <w:t>22</w:t>
                  </w:r>
                  <w:r>
                    <w:rPr>
                      <w:rFonts w:hint="default" w:ascii="Times New Roman" w:hAnsi="Times New Roman" w:eastAsia="宋体" w:cs="Times New Roman"/>
                      <w:b w:val="0"/>
                      <w:bCs w:val="0"/>
                      <w:color w:val="auto"/>
                      <w:sz w:val="21"/>
                      <w:szCs w:val="21"/>
                      <w:vertAlign w:val="baseline"/>
                      <w:lang w:val="en-US" w:eastAsia="zh-CN"/>
                    </w:rPr>
                    <w:t>m高排气筒（DA001）</w:t>
                  </w:r>
                </w:p>
              </w:tc>
            </w:tr>
            <w:tr w14:paraId="1D055BC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385" w:type="dxa"/>
                  <w:vMerge w:val="continue"/>
                  <w:tcBorders>
                    <w:tl2br w:val="nil"/>
                    <w:tr2bl w:val="nil"/>
                  </w:tcBorders>
                  <w:vAlign w:val="center"/>
                </w:tcPr>
                <w:p w14:paraId="113FA9D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515" w:type="dxa"/>
                  <w:tcBorders>
                    <w:tl2br w:val="nil"/>
                    <w:tr2bl w:val="nil"/>
                  </w:tcBorders>
                  <w:vAlign w:val="center"/>
                </w:tcPr>
                <w:p w14:paraId="6BD2347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搅拌废气、卸料废气、沥青加热废气</w:t>
                  </w:r>
                </w:p>
              </w:tc>
              <w:tc>
                <w:tcPr>
                  <w:tcW w:w="1177" w:type="dxa"/>
                  <w:tcBorders>
                    <w:tl2br w:val="nil"/>
                    <w:tr2bl w:val="nil"/>
                  </w:tcBorders>
                  <w:vAlign w:val="center"/>
                </w:tcPr>
                <w:p w14:paraId="7C6C418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密闭收集</w:t>
                  </w:r>
                </w:p>
              </w:tc>
              <w:tc>
                <w:tcPr>
                  <w:tcW w:w="2968" w:type="dxa"/>
                  <w:tcBorders>
                    <w:tl2br w:val="nil"/>
                    <w:tr2bl w:val="nil"/>
                  </w:tcBorders>
                  <w:vAlign w:val="center"/>
                </w:tcPr>
                <w:p w14:paraId="1CE0980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“喷淋+干式过滤+活性炭吸附脱附+催化燃烧”装置（TA002）+</w:t>
                  </w:r>
                  <w:r>
                    <w:rPr>
                      <w:rFonts w:hint="eastAsia" w:ascii="Times New Roman" w:hAnsi="Times New Roman" w:eastAsia="宋体" w:cs="Times New Roman"/>
                      <w:b w:val="0"/>
                      <w:bCs w:val="0"/>
                      <w:color w:val="auto"/>
                      <w:sz w:val="21"/>
                      <w:szCs w:val="21"/>
                      <w:vertAlign w:val="baseline"/>
                      <w:lang w:val="en-US" w:eastAsia="zh-CN"/>
                    </w:rPr>
                    <w:t>22</w:t>
                  </w:r>
                  <w:r>
                    <w:rPr>
                      <w:rFonts w:hint="default" w:ascii="Times New Roman" w:hAnsi="Times New Roman" w:eastAsia="宋体" w:cs="Times New Roman"/>
                      <w:b w:val="0"/>
                      <w:bCs w:val="0"/>
                      <w:color w:val="auto"/>
                      <w:sz w:val="21"/>
                      <w:szCs w:val="21"/>
                      <w:vertAlign w:val="baseline"/>
                      <w:lang w:val="en-US" w:eastAsia="zh-CN"/>
                    </w:rPr>
                    <w:t>m高排气筒（DA00</w:t>
                  </w:r>
                  <w:r>
                    <w:rPr>
                      <w:rFonts w:hint="eastAsia" w:ascii="Times New Roman" w:hAnsi="Times New Roman" w:eastAsia="宋体" w:cs="Times New Roman"/>
                      <w:b w:val="0"/>
                      <w:bCs w:val="0"/>
                      <w:color w:val="auto"/>
                      <w:sz w:val="21"/>
                      <w:szCs w:val="21"/>
                      <w:vertAlign w:val="baseline"/>
                      <w:lang w:val="en-US" w:eastAsia="zh-CN"/>
                    </w:rPr>
                    <w:t>2</w:t>
                  </w:r>
                  <w:r>
                    <w:rPr>
                      <w:rFonts w:hint="default" w:ascii="Times New Roman" w:hAnsi="Times New Roman" w:eastAsia="宋体" w:cs="Times New Roman"/>
                      <w:b w:val="0"/>
                      <w:bCs w:val="0"/>
                      <w:color w:val="auto"/>
                      <w:sz w:val="21"/>
                      <w:szCs w:val="21"/>
                      <w:vertAlign w:val="baseline"/>
                      <w:lang w:val="en-US" w:eastAsia="zh-CN"/>
                    </w:rPr>
                    <w:t>）</w:t>
                  </w:r>
                </w:p>
              </w:tc>
            </w:tr>
            <w:tr w14:paraId="5909D89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385" w:type="dxa"/>
                  <w:vMerge w:val="restart"/>
                  <w:tcBorders>
                    <w:tl2br w:val="nil"/>
                    <w:tr2bl w:val="nil"/>
                  </w:tcBorders>
                  <w:vAlign w:val="center"/>
                </w:tcPr>
                <w:p w14:paraId="743E402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煤粉生产线</w:t>
                  </w:r>
                </w:p>
              </w:tc>
              <w:tc>
                <w:tcPr>
                  <w:tcW w:w="2515" w:type="dxa"/>
                  <w:tcBorders>
                    <w:tl2br w:val="nil"/>
                    <w:tr2bl w:val="nil"/>
                  </w:tcBorders>
                  <w:vAlign w:val="center"/>
                </w:tcPr>
                <w:p w14:paraId="05BB6B2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磨煤系统粉尘、热风炉天然气燃烧废气</w:t>
                  </w:r>
                </w:p>
              </w:tc>
              <w:tc>
                <w:tcPr>
                  <w:tcW w:w="1177" w:type="dxa"/>
                  <w:tcBorders>
                    <w:tl2br w:val="nil"/>
                    <w:tr2bl w:val="nil"/>
                  </w:tcBorders>
                  <w:vAlign w:val="center"/>
                </w:tcPr>
                <w:p w14:paraId="40F039F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密闭收集</w:t>
                  </w:r>
                </w:p>
              </w:tc>
              <w:tc>
                <w:tcPr>
                  <w:tcW w:w="2968" w:type="dxa"/>
                  <w:tcBorders>
                    <w:tl2br w:val="nil"/>
                    <w:tr2bl w:val="nil"/>
                  </w:tcBorders>
                  <w:vAlign w:val="center"/>
                </w:tcPr>
                <w:p w14:paraId="159F55D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高温布袋除尘器（TA00</w:t>
                  </w:r>
                  <w:r>
                    <w:rPr>
                      <w:rFonts w:hint="eastAsia" w:ascii="Times New Roman" w:hAnsi="Times New Roman" w:eastAsia="宋体" w:cs="Times New Roman"/>
                      <w:b w:val="0"/>
                      <w:bCs w:val="0"/>
                      <w:color w:val="auto"/>
                      <w:sz w:val="21"/>
                      <w:szCs w:val="21"/>
                      <w:vertAlign w:val="baseline"/>
                      <w:lang w:val="en-US" w:eastAsia="zh-CN"/>
                    </w:rPr>
                    <w:t>4</w:t>
                  </w:r>
                  <w:r>
                    <w:rPr>
                      <w:rFonts w:hint="default"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15</w:t>
                  </w:r>
                  <w:r>
                    <w:rPr>
                      <w:rFonts w:hint="default" w:ascii="Times New Roman" w:hAnsi="Times New Roman" w:eastAsia="宋体" w:cs="Times New Roman"/>
                      <w:b w:val="0"/>
                      <w:bCs w:val="0"/>
                      <w:color w:val="auto"/>
                      <w:sz w:val="21"/>
                      <w:szCs w:val="21"/>
                      <w:vertAlign w:val="baseline"/>
                      <w:lang w:val="en-US" w:eastAsia="zh-CN"/>
                    </w:rPr>
                    <w:t>m高排气筒（DA00</w:t>
                  </w:r>
                  <w:r>
                    <w:rPr>
                      <w:rFonts w:hint="eastAsia" w:ascii="Times New Roman" w:hAnsi="Times New Roman" w:eastAsia="宋体" w:cs="Times New Roman"/>
                      <w:b w:val="0"/>
                      <w:bCs w:val="0"/>
                      <w:color w:val="auto"/>
                      <w:sz w:val="21"/>
                      <w:szCs w:val="21"/>
                      <w:vertAlign w:val="baseline"/>
                      <w:lang w:val="en-US" w:eastAsia="zh-CN"/>
                    </w:rPr>
                    <w:t>4</w:t>
                  </w:r>
                  <w:r>
                    <w:rPr>
                      <w:rFonts w:hint="default" w:ascii="Times New Roman" w:hAnsi="Times New Roman" w:eastAsia="宋体" w:cs="Times New Roman"/>
                      <w:b w:val="0"/>
                      <w:bCs w:val="0"/>
                      <w:color w:val="auto"/>
                      <w:sz w:val="21"/>
                      <w:szCs w:val="21"/>
                      <w:vertAlign w:val="baseline"/>
                      <w:lang w:val="en-US" w:eastAsia="zh-CN"/>
                    </w:rPr>
                    <w:t>）</w:t>
                  </w:r>
                </w:p>
              </w:tc>
            </w:tr>
            <w:tr w14:paraId="382D8A5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385" w:type="dxa"/>
                  <w:vMerge w:val="continue"/>
                  <w:tcBorders>
                    <w:tl2br w:val="nil"/>
                    <w:tr2bl w:val="nil"/>
                  </w:tcBorders>
                  <w:vAlign w:val="center"/>
                </w:tcPr>
                <w:p w14:paraId="62CA430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515" w:type="dxa"/>
                  <w:tcBorders>
                    <w:tl2br w:val="nil"/>
                    <w:tr2bl w:val="nil"/>
                  </w:tcBorders>
                  <w:vAlign w:val="center"/>
                </w:tcPr>
                <w:p w14:paraId="2AC4E6B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成品煤粉仓储罐粉尘</w:t>
                  </w:r>
                </w:p>
              </w:tc>
              <w:tc>
                <w:tcPr>
                  <w:tcW w:w="1177" w:type="dxa"/>
                  <w:tcBorders>
                    <w:tl2br w:val="nil"/>
                    <w:tr2bl w:val="nil"/>
                  </w:tcBorders>
                  <w:vAlign w:val="center"/>
                </w:tcPr>
                <w:p w14:paraId="056D89B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2968" w:type="dxa"/>
                  <w:tcBorders>
                    <w:tl2br w:val="nil"/>
                    <w:tr2bl w:val="nil"/>
                  </w:tcBorders>
                  <w:vAlign w:val="center"/>
                </w:tcPr>
                <w:p w14:paraId="381EEF8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筒仓自带布袋除尘</w:t>
                  </w:r>
                </w:p>
              </w:tc>
            </w:tr>
            <w:tr w14:paraId="292C0C3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385" w:type="dxa"/>
                  <w:tcBorders>
                    <w:tl2br w:val="nil"/>
                    <w:tr2bl w:val="nil"/>
                  </w:tcBorders>
                  <w:vAlign w:val="center"/>
                </w:tcPr>
                <w:p w14:paraId="3FFD2E8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再生料（废沥青混凝土层）预处理</w:t>
                  </w:r>
                </w:p>
              </w:tc>
              <w:tc>
                <w:tcPr>
                  <w:tcW w:w="2515" w:type="dxa"/>
                  <w:tcBorders>
                    <w:tl2br w:val="nil"/>
                    <w:tr2bl w:val="nil"/>
                  </w:tcBorders>
                  <w:vAlign w:val="center"/>
                </w:tcPr>
                <w:p w14:paraId="4F9C584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投料粉尘、破碎粉尘、筛分粉尘</w:t>
                  </w:r>
                </w:p>
              </w:tc>
              <w:tc>
                <w:tcPr>
                  <w:tcW w:w="1177" w:type="dxa"/>
                  <w:tcBorders>
                    <w:tl2br w:val="nil"/>
                    <w:tr2bl w:val="nil"/>
                  </w:tcBorders>
                  <w:vAlign w:val="center"/>
                </w:tcPr>
                <w:p w14:paraId="70D676F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集气罩（4个）</w:t>
                  </w:r>
                </w:p>
              </w:tc>
              <w:tc>
                <w:tcPr>
                  <w:tcW w:w="2968" w:type="dxa"/>
                  <w:tcBorders>
                    <w:tl2br w:val="nil"/>
                    <w:tr2bl w:val="nil"/>
                  </w:tcBorders>
                  <w:vAlign w:val="center"/>
                </w:tcPr>
                <w:p w14:paraId="28625FB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布袋除尘器（TA00</w:t>
                  </w:r>
                  <w:r>
                    <w:rPr>
                      <w:rFonts w:hint="eastAsia" w:ascii="Times New Roman" w:hAnsi="Times New Roman" w:eastAsia="宋体" w:cs="Times New Roman"/>
                      <w:b w:val="0"/>
                      <w:bCs w:val="0"/>
                      <w:color w:val="auto"/>
                      <w:sz w:val="21"/>
                      <w:szCs w:val="21"/>
                      <w:vertAlign w:val="baseline"/>
                      <w:lang w:val="en-US" w:eastAsia="zh-CN"/>
                    </w:rPr>
                    <w:t>5</w:t>
                  </w:r>
                  <w:r>
                    <w:rPr>
                      <w:rFonts w:hint="default" w:ascii="Times New Roman" w:hAnsi="Times New Roman" w:eastAsia="宋体" w:cs="Times New Roman"/>
                      <w:b w:val="0"/>
                      <w:bCs w:val="0"/>
                      <w:color w:val="auto"/>
                      <w:sz w:val="21"/>
                      <w:szCs w:val="21"/>
                      <w:vertAlign w:val="baseline"/>
                      <w:lang w:val="en-US" w:eastAsia="zh-CN"/>
                    </w:rPr>
                    <w:t>）+15m高排气筒（DA00</w:t>
                  </w:r>
                  <w:r>
                    <w:rPr>
                      <w:rFonts w:hint="eastAsia" w:ascii="Times New Roman" w:hAnsi="Times New Roman" w:eastAsia="宋体" w:cs="Times New Roman"/>
                      <w:b w:val="0"/>
                      <w:bCs w:val="0"/>
                      <w:color w:val="auto"/>
                      <w:sz w:val="21"/>
                      <w:szCs w:val="21"/>
                      <w:vertAlign w:val="baseline"/>
                      <w:lang w:val="en-US" w:eastAsia="zh-CN"/>
                    </w:rPr>
                    <w:t>5</w:t>
                  </w:r>
                  <w:r>
                    <w:rPr>
                      <w:rFonts w:hint="default" w:ascii="Times New Roman" w:hAnsi="Times New Roman" w:eastAsia="宋体" w:cs="Times New Roman"/>
                      <w:b w:val="0"/>
                      <w:bCs w:val="0"/>
                      <w:color w:val="auto"/>
                      <w:sz w:val="21"/>
                      <w:szCs w:val="21"/>
                      <w:vertAlign w:val="baseline"/>
                      <w:lang w:val="en-US" w:eastAsia="zh-CN"/>
                    </w:rPr>
                    <w:t>）</w:t>
                  </w:r>
                </w:p>
              </w:tc>
            </w:tr>
            <w:tr w14:paraId="64D21A2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385" w:type="dxa"/>
                  <w:tcBorders>
                    <w:tl2br w:val="nil"/>
                    <w:tr2bl w:val="nil"/>
                  </w:tcBorders>
                  <w:vAlign w:val="center"/>
                </w:tcPr>
                <w:p w14:paraId="055043B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原料堆存</w:t>
                  </w:r>
                </w:p>
              </w:tc>
              <w:tc>
                <w:tcPr>
                  <w:tcW w:w="2515" w:type="dxa"/>
                  <w:tcBorders>
                    <w:tl2br w:val="nil"/>
                    <w:tr2bl w:val="nil"/>
                  </w:tcBorders>
                  <w:vAlign w:val="center"/>
                </w:tcPr>
                <w:p w14:paraId="40A7970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装卸扬尘、堆场扬尘</w:t>
                  </w:r>
                </w:p>
              </w:tc>
              <w:tc>
                <w:tcPr>
                  <w:tcW w:w="1177" w:type="dxa"/>
                  <w:tcBorders>
                    <w:tl2br w:val="nil"/>
                    <w:tr2bl w:val="nil"/>
                  </w:tcBorders>
                  <w:vAlign w:val="center"/>
                </w:tcPr>
                <w:p w14:paraId="56A5B58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2968" w:type="dxa"/>
                  <w:tcBorders>
                    <w:tl2br w:val="nil"/>
                    <w:tr2bl w:val="nil"/>
                  </w:tcBorders>
                  <w:vAlign w:val="center"/>
                </w:tcPr>
                <w:p w14:paraId="04A6224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封闭厂房+喷雾降尘</w:t>
                  </w:r>
                </w:p>
              </w:tc>
            </w:tr>
            <w:tr w14:paraId="389B733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385" w:type="dxa"/>
                  <w:vMerge w:val="restart"/>
                  <w:tcBorders>
                    <w:tl2br w:val="nil"/>
                    <w:tr2bl w:val="nil"/>
                  </w:tcBorders>
                  <w:vAlign w:val="center"/>
                </w:tcPr>
                <w:p w14:paraId="2F16D34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公辅工程</w:t>
                  </w:r>
                </w:p>
              </w:tc>
              <w:tc>
                <w:tcPr>
                  <w:tcW w:w="2515" w:type="dxa"/>
                  <w:tcBorders>
                    <w:tl2br w:val="nil"/>
                    <w:tr2bl w:val="nil"/>
                  </w:tcBorders>
                  <w:vAlign w:val="center"/>
                </w:tcPr>
                <w:p w14:paraId="7145202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导热油炉天然气燃烧废气</w:t>
                  </w:r>
                </w:p>
              </w:tc>
              <w:tc>
                <w:tcPr>
                  <w:tcW w:w="1177" w:type="dxa"/>
                  <w:tcBorders>
                    <w:tl2br w:val="nil"/>
                    <w:tr2bl w:val="nil"/>
                  </w:tcBorders>
                  <w:vAlign w:val="center"/>
                </w:tcPr>
                <w:p w14:paraId="7BB9332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2968" w:type="dxa"/>
                  <w:tcBorders>
                    <w:tl2br w:val="nil"/>
                    <w:tr2bl w:val="nil"/>
                  </w:tcBorders>
                  <w:vAlign w:val="center"/>
                </w:tcPr>
                <w:p w14:paraId="657125D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低氮燃烧</w:t>
                  </w:r>
                  <w:r>
                    <w:rPr>
                      <w:rFonts w:hint="eastAsia" w:ascii="Times New Roman" w:hAnsi="Times New Roman" w:eastAsia="宋体" w:cs="Times New Roman"/>
                      <w:b w:val="0"/>
                      <w:bCs w:val="0"/>
                      <w:color w:val="auto"/>
                      <w:sz w:val="21"/>
                      <w:szCs w:val="21"/>
                      <w:vertAlign w:val="baseline"/>
                      <w:lang w:val="en-US" w:eastAsia="zh-CN"/>
                    </w:rPr>
                    <w:t>（TA003）</w:t>
                  </w:r>
                  <w:r>
                    <w:rPr>
                      <w:rFonts w:hint="default"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13</w:t>
                  </w:r>
                  <w:r>
                    <w:rPr>
                      <w:rFonts w:hint="default" w:ascii="Times New Roman" w:hAnsi="Times New Roman" w:eastAsia="宋体" w:cs="Times New Roman"/>
                      <w:b w:val="0"/>
                      <w:bCs w:val="0"/>
                      <w:color w:val="auto"/>
                      <w:sz w:val="21"/>
                      <w:szCs w:val="21"/>
                      <w:vertAlign w:val="baseline"/>
                      <w:lang w:val="en-US" w:eastAsia="zh-CN"/>
                    </w:rPr>
                    <w:t>m高排气筒（DA00</w:t>
                  </w:r>
                  <w:r>
                    <w:rPr>
                      <w:rFonts w:hint="eastAsia" w:ascii="Times New Roman" w:hAnsi="Times New Roman" w:eastAsia="宋体" w:cs="Times New Roman"/>
                      <w:b w:val="0"/>
                      <w:bCs w:val="0"/>
                      <w:color w:val="auto"/>
                      <w:sz w:val="21"/>
                      <w:szCs w:val="21"/>
                      <w:vertAlign w:val="baseline"/>
                      <w:lang w:val="en-US" w:eastAsia="zh-CN"/>
                    </w:rPr>
                    <w:t>3</w:t>
                  </w:r>
                  <w:r>
                    <w:rPr>
                      <w:rFonts w:hint="default" w:ascii="Times New Roman" w:hAnsi="Times New Roman" w:eastAsia="宋体" w:cs="Times New Roman"/>
                      <w:b w:val="0"/>
                      <w:bCs w:val="0"/>
                      <w:color w:val="auto"/>
                      <w:sz w:val="21"/>
                      <w:szCs w:val="21"/>
                      <w:vertAlign w:val="baseline"/>
                      <w:lang w:val="en-US" w:eastAsia="zh-CN"/>
                    </w:rPr>
                    <w:t>）</w:t>
                  </w:r>
                </w:p>
              </w:tc>
            </w:tr>
            <w:tr w14:paraId="60C1D1B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385" w:type="dxa"/>
                  <w:vMerge w:val="continue"/>
                  <w:tcBorders>
                    <w:tl2br w:val="nil"/>
                    <w:tr2bl w:val="nil"/>
                  </w:tcBorders>
                  <w:vAlign w:val="center"/>
                </w:tcPr>
                <w:p w14:paraId="36A3A45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515" w:type="dxa"/>
                  <w:tcBorders>
                    <w:tl2br w:val="nil"/>
                    <w:tr2bl w:val="nil"/>
                  </w:tcBorders>
                  <w:vAlign w:val="center"/>
                </w:tcPr>
                <w:p w14:paraId="61826AF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厂区道路扬尘、汽车尾气</w:t>
                  </w:r>
                </w:p>
              </w:tc>
              <w:tc>
                <w:tcPr>
                  <w:tcW w:w="1177" w:type="dxa"/>
                  <w:tcBorders>
                    <w:tl2br w:val="nil"/>
                    <w:tr2bl w:val="nil"/>
                  </w:tcBorders>
                  <w:vAlign w:val="center"/>
                </w:tcPr>
                <w:p w14:paraId="19A7A9D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2968" w:type="dxa"/>
                  <w:tcBorders>
                    <w:tl2br w:val="nil"/>
                    <w:tr2bl w:val="nil"/>
                  </w:tcBorders>
                  <w:vAlign w:val="center"/>
                </w:tcPr>
                <w:p w14:paraId="141E4E2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路面清洗、车辆保养</w:t>
                  </w:r>
                </w:p>
              </w:tc>
            </w:tr>
            <w:tr w14:paraId="4FAB94E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385" w:type="dxa"/>
                  <w:vMerge w:val="continue"/>
                  <w:tcBorders>
                    <w:tl2br w:val="nil"/>
                    <w:tr2bl w:val="nil"/>
                  </w:tcBorders>
                  <w:vAlign w:val="center"/>
                </w:tcPr>
                <w:p w14:paraId="39F00B2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515" w:type="dxa"/>
                  <w:tcBorders>
                    <w:tl2br w:val="nil"/>
                    <w:tr2bl w:val="nil"/>
                  </w:tcBorders>
                  <w:vAlign w:val="center"/>
                </w:tcPr>
                <w:p w14:paraId="1FAFD17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生产检测中心有机废气</w:t>
                  </w:r>
                </w:p>
              </w:tc>
              <w:tc>
                <w:tcPr>
                  <w:tcW w:w="1177" w:type="dxa"/>
                  <w:tcBorders>
                    <w:tl2br w:val="nil"/>
                    <w:tr2bl w:val="nil"/>
                  </w:tcBorders>
                  <w:vAlign w:val="center"/>
                </w:tcPr>
                <w:p w14:paraId="1555026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2968" w:type="dxa"/>
                  <w:tcBorders>
                    <w:tl2br w:val="nil"/>
                    <w:tr2bl w:val="nil"/>
                  </w:tcBorders>
                  <w:vAlign w:val="center"/>
                </w:tcPr>
                <w:p w14:paraId="37EE8EF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r>
            <w:tr w14:paraId="0819F35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385" w:type="dxa"/>
                  <w:vMerge w:val="continue"/>
                  <w:tcBorders>
                    <w:tl2br w:val="nil"/>
                    <w:tr2bl w:val="nil"/>
                  </w:tcBorders>
                  <w:vAlign w:val="center"/>
                </w:tcPr>
                <w:p w14:paraId="6139473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515" w:type="dxa"/>
                  <w:tcBorders>
                    <w:tl2br w:val="nil"/>
                    <w:tr2bl w:val="nil"/>
                  </w:tcBorders>
                  <w:vAlign w:val="center"/>
                </w:tcPr>
                <w:p w14:paraId="4D791C6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食堂油烟</w:t>
                  </w:r>
                </w:p>
              </w:tc>
              <w:tc>
                <w:tcPr>
                  <w:tcW w:w="1177" w:type="dxa"/>
                  <w:tcBorders>
                    <w:tl2br w:val="nil"/>
                    <w:tr2bl w:val="nil"/>
                  </w:tcBorders>
                  <w:vAlign w:val="center"/>
                </w:tcPr>
                <w:p w14:paraId="7DA7FD5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集气罩（1个）</w:t>
                  </w:r>
                </w:p>
              </w:tc>
              <w:tc>
                <w:tcPr>
                  <w:tcW w:w="2968" w:type="dxa"/>
                  <w:tcBorders>
                    <w:tl2br w:val="nil"/>
                    <w:tr2bl w:val="nil"/>
                  </w:tcBorders>
                  <w:vAlign w:val="center"/>
                </w:tcPr>
                <w:p w14:paraId="078D89B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油烟净化器</w:t>
                  </w:r>
                  <w:r>
                    <w:rPr>
                      <w:rFonts w:hint="eastAsia" w:ascii="Times New Roman" w:hAnsi="Times New Roman" w:eastAsia="宋体" w:cs="Times New Roman"/>
                      <w:b w:val="0"/>
                      <w:bCs w:val="0"/>
                      <w:color w:val="auto"/>
                      <w:sz w:val="21"/>
                      <w:szCs w:val="21"/>
                      <w:vertAlign w:val="baseline"/>
                      <w:lang w:val="en-US" w:eastAsia="zh-CN"/>
                    </w:rPr>
                    <w:t>（TA006）</w:t>
                  </w:r>
                  <w:r>
                    <w:rPr>
                      <w:rFonts w:hint="default" w:ascii="Times New Roman" w:hAnsi="Times New Roman" w:eastAsia="宋体" w:cs="Times New Roman"/>
                      <w:b w:val="0"/>
                      <w:bCs w:val="0"/>
                      <w:color w:val="auto"/>
                      <w:sz w:val="21"/>
                      <w:szCs w:val="21"/>
                      <w:vertAlign w:val="baseline"/>
                      <w:lang w:val="en-US" w:eastAsia="zh-CN"/>
                    </w:rPr>
                    <w:t>+楼顶排气筒</w:t>
                  </w:r>
                  <w:r>
                    <w:rPr>
                      <w:rFonts w:hint="eastAsia" w:ascii="Times New Roman" w:hAnsi="Times New Roman" w:eastAsia="宋体" w:cs="Times New Roman"/>
                      <w:b w:val="0"/>
                      <w:bCs w:val="0"/>
                      <w:color w:val="auto"/>
                      <w:sz w:val="21"/>
                      <w:szCs w:val="21"/>
                      <w:vertAlign w:val="baseline"/>
                      <w:lang w:val="en-US" w:eastAsia="zh-CN"/>
                    </w:rPr>
                    <w:t>（DA006）</w:t>
                  </w:r>
                </w:p>
              </w:tc>
            </w:tr>
            <w:tr w14:paraId="3D1BF41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385" w:type="dxa"/>
                  <w:tcBorders>
                    <w:tl2br w:val="nil"/>
                    <w:tr2bl w:val="nil"/>
                  </w:tcBorders>
                  <w:vAlign w:val="center"/>
                </w:tcPr>
                <w:p w14:paraId="12423AE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厂区</w:t>
                  </w:r>
                </w:p>
              </w:tc>
              <w:tc>
                <w:tcPr>
                  <w:tcW w:w="2515" w:type="dxa"/>
                  <w:tcBorders>
                    <w:tl2br w:val="nil"/>
                    <w:tr2bl w:val="nil"/>
                  </w:tcBorders>
                  <w:vAlign w:val="center"/>
                </w:tcPr>
                <w:p w14:paraId="5386423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无组织粉尘</w:t>
                  </w:r>
                </w:p>
              </w:tc>
              <w:tc>
                <w:tcPr>
                  <w:tcW w:w="1177" w:type="dxa"/>
                  <w:tcBorders>
                    <w:tl2br w:val="nil"/>
                    <w:tr2bl w:val="nil"/>
                  </w:tcBorders>
                  <w:vAlign w:val="center"/>
                </w:tcPr>
                <w:p w14:paraId="780FAC1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2968" w:type="dxa"/>
                  <w:tcBorders>
                    <w:tl2br w:val="nil"/>
                    <w:tr2bl w:val="nil"/>
                  </w:tcBorders>
                  <w:vAlign w:val="center"/>
                </w:tcPr>
                <w:p w14:paraId="6D2FF73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封闭厂房+喷雾降尘</w:t>
                  </w:r>
                </w:p>
              </w:tc>
            </w:tr>
          </w:tbl>
          <w:p w14:paraId="658A1CD7">
            <w:pPr>
              <w:autoSpaceDE w:val="0"/>
              <w:autoSpaceDN w:val="0"/>
              <w:spacing w:line="240" w:lineRule="auto"/>
              <w:ind w:firstLine="420" w:firstLineChars="200"/>
              <w:jc w:val="center"/>
              <w:rPr>
                <w:rFonts w:hint="eastAsia" w:ascii="Times New Roman" w:hAnsi="Times New Roman" w:eastAsia="宋体" w:cs="Times New Roman"/>
                <w:b w:val="0"/>
                <w:bCs w:val="0"/>
                <w:color w:val="auto"/>
                <w:sz w:val="21"/>
                <w:szCs w:val="21"/>
                <w:lang w:val="en-US" w:eastAsia="zh-CN"/>
              </w:rPr>
            </w:pPr>
          </w:p>
          <w:p w14:paraId="3223F8C9">
            <w:pPr>
              <w:autoSpaceDE w:val="0"/>
              <w:autoSpaceDN w:val="0"/>
              <w:spacing w:line="360" w:lineRule="auto"/>
              <w:ind w:firstLine="482" w:firstLineChars="200"/>
              <w:rPr>
                <w:rFonts w:hint="default" w:ascii="Times New Roman" w:hAnsi="Times New Roman" w:eastAsia="宋体" w:cs="Times New Roman"/>
                <w:b w:val="0"/>
                <w:bCs w:val="0"/>
                <w:color w:val="auto"/>
                <w:sz w:val="24"/>
                <w:lang w:val="en-US" w:eastAsia="zh-CN"/>
              </w:rPr>
            </w:pPr>
            <w:r>
              <w:rPr>
                <w:rFonts w:hint="eastAsia" w:cs="Times New Roman"/>
                <w:b/>
                <w:bCs/>
                <w:color w:val="auto"/>
                <w:sz w:val="24"/>
                <w:lang w:val="en-US" w:eastAsia="zh-CN"/>
              </w:rPr>
              <w:t>1.2废气治理措施的有效性分析</w:t>
            </w:r>
          </w:p>
          <w:p w14:paraId="343604DB">
            <w:pPr>
              <w:autoSpaceDE w:val="0"/>
              <w:autoSpaceDN w:val="0"/>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①</w:t>
            </w:r>
            <w:r>
              <w:rPr>
                <w:rFonts w:hint="eastAsia" w:ascii="Times New Roman" w:hAnsi="Times New Roman" w:eastAsia="宋体" w:cs="Times New Roman"/>
                <w:b/>
                <w:bCs/>
                <w:color w:val="auto"/>
                <w:sz w:val="24"/>
                <w:lang w:val="en-US" w:eastAsia="zh-CN"/>
              </w:rPr>
              <w:t>布袋除尘器</w:t>
            </w:r>
            <w:r>
              <w:rPr>
                <w:rFonts w:hint="eastAsia" w:cs="Times New Roman"/>
                <w:b/>
                <w:bCs/>
                <w:color w:val="auto"/>
                <w:sz w:val="24"/>
                <w:lang w:val="en-US" w:eastAsia="zh-CN"/>
              </w:rPr>
              <w:t>原理</w:t>
            </w:r>
          </w:p>
          <w:p w14:paraId="5DD97FC5">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布袋除尘器是一种干式除尘装置，它适用于捕集细小、干燥、非纤维性粉尘。滤袋采用纺织的滤布或非纺织的毡制成，利用纤维织物的过滤作用对含尘气体进行过滤，当含尘气体进入布袋除尘器，颗粒大、比重大的粉尘，由于重力的作用沉降下来，落入灰斗，含有较细小粉尘的气体在通过滤料时，粉尘被阻留，使烟气得到净化。</w:t>
            </w:r>
          </w:p>
          <w:p w14:paraId="4B3B04B8">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含尘气体从布袋除尘器入口进入后，由导流管进入各单元室，在导流装置的作用下，大颗粒粉尘分离后直接落入灰斗，其余粉尘随气流均匀进入各仓室过滤袋中，当含尘气体穿过滤袋时，粉尘即被吸附在滤袋上，而被净化的气体从滤袋内排除。当吸附在滤袋上的粉尘达到一定厚度电磁阀开，喷吹空气从滤袋出口处自上而下与气体排除的相反方向进入滤袋，将吸附在滤袋外面的粉尘清落至下面的灰斗中，粉尘经卸灰阀排出后利用输灰系统送出。此外，本项目使用的高温布袋除尘器采用耐高温复合材质的滤袋，耐温在200度以上。</w:t>
            </w:r>
          </w:p>
          <w:p w14:paraId="3D6E9EFB">
            <w:pPr>
              <w:autoSpaceDE w:val="0"/>
              <w:autoSpaceDN w:val="0"/>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②</w:t>
            </w:r>
            <w:r>
              <w:rPr>
                <w:rFonts w:hint="eastAsia" w:cs="Times New Roman"/>
                <w:b/>
                <w:bCs/>
                <w:color w:val="auto"/>
                <w:sz w:val="24"/>
                <w:lang w:val="en-US" w:eastAsia="zh-CN"/>
              </w:rPr>
              <w:t>“喷淋+干式过滤+活性炭吸附脱附+催化燃烧”系统废气净化原理</w:t>
            </w:r>
          </w:p>
          <w:p w14:paraId="407EEC81">
            <w:pPr>
              <w:autoSpaceDE w:val="0"/>
              <w:autoSpaceDN w:val="0"/>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1）喷淋+干式过滤</w:t>
            </w:r>
          </w:p>
          <w:p w14:paraId="0D3F315B">
            <w:pPr>
              <w:autoSpaceDE w:val="0"/>
              <w:autoSpaceDN w:val="0"/>
              <w:spacing w:line="360" w:lineRule="auto"/>
              <w:ind w:firstLine="480" w:firstLineChars="200"/>
              <w:rPr>
                <w:rFonts w:hint="default"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本项目生产过程产生的搅拌废气、卸料废气、沥青加热废气温度较高，且含有少量的油类物质，若直接进入活性炭吸附脱附装置，可能会造成活性炭封堵，影响活性炭吸附性能，废气进入喷淋塔后可有效降低废气温度，同时废气中可溶于水物质被喷淋塔截留，降温后的废气再经过滤棉后部分油类物质被截留，同时对废气进行干燥处理。</w:t>
            </w:r>
          </w:p>
          <w:p w14:paraId="579265E0">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cs="Times New Roman"/>
                <w:b/>
                <w:bCs/>
                <w:color w:val="auto"/>
                <w:sz w:val="24"/>
                <w:lang w:val="en-US" w:eastAsia="zh-CN"/>
              </w:rPr>
              <w:t>2）</w:t>
            </w:r>
            <w:r>
              <w:rPr>
                <w:rFonts w:hint="eastAsia" w:ascii="Times New Roman" w:hAnsi="Times New Roman" w:eastAsia="宋体" w:cs="Times New Roman"/>
                <w:b/>
                <w:bCs/>
                <w:color w:val="auto"/>
                <w:sz w:val="24"/>
                <w:lang w:val="en-US" w:eastAsia="zh-CN"/>
              </w:rPr>
              <w:t>活性炭吸附</w:t>
            </w:r>
          </w:p>
          <w:p w14:paraId="534BCDF9">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活性炭的吸附原理是基于其发达的孔隙结构和巨大的比表面积通过物理吸附和化学吸附作用来去除空气中的污染气体或水中的有害物质。物理吸附主要发生在活性炭的微孔中，这些微孔的直径大多在2-50纳米，即使少量活性炭也具有巨大的比表面积(可达500-1500平方米/克)，使活性炭能够充分接触并吸附空气中的有毒有害气体分子或其他悬浮物质。当污染物分子的直径大于活性炭的孔隙时，它们会被挡住，从而实现过滤效果。化学吸附是活性炭表面的官能团与某些物质发生化学反应形成化学键的过程，比如有的活性炭表面拥有酸性官能团羰基、羧基、内酯基、羟基、醚、苯酚等，可促进活性炭对碱性物质的吸附;有的活性炭表面有碱性官能团吡喃酮（环酮）及其衍生物，可促进活性炭对酸性物质的吸附。</w:t>
            </w:r>
          </w:p>
          <w:p w14:paraId="649930A3">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活性炭吸附原理图如下：</w:t>
            </w:r>
          </w:p>
          <w:p w14:paraId="1A7CE4EC">
            <w:pPr>
              <w:autoSpaceDE w:val="0"/>
              <w:autoSpaceDN w:val="0"/>
              <w:spacing w:line="360" w:lineRule="auto"/>
              <w:rPr>
                <w:rFonts w:hint="eastAsia"/>
                <w:b w:val="0"/>
                <w:bCs/>
                <w:sz w:val="24"/>
                <w:lang w:val="en-US" w:eastAsia="zh-CN"/>
              </w:rPr>
            </w:pPr>
            <w:r>
              <w:rPr>
                <w:rFonts w:hint="eastAsia"/>
                <w:bCs/>
                <w:sz w:val="24"/>
              </w:rPr>
              <w:drawing>
                <wp:inline distT="0" distB="0" distL="114300" distR="114300">
                  <wp:extent cx="4974590" cy="1835785"/>
                  <wp:effectExtent l="0" t="0" r="16510" b="12065"/>
                  <wp:docPr id="4" name="图片 2" descr="QQ20250311-10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QQ20250311-104257"/>
                          <pic:cNvPicPr>
                            <a:picLocks noChangeAspect="1"/>
                          </pic:cNvPicPr>
                        </pic:nvPicPr>
                        <pic:blipFill>
                          <a:blip r:embed="rId19"/>
                          <a:stretch>
                            <a:fillRect/>
                          </a:stretch>
                        </pic:blipFill>
                        <pic:spPr>
                          <a:xfrm>
                            <a:off x="0" y="0"/>
                            <a:ext cx="4974590" cy="1835785"/>
                          </a:xfrm>
                          <a:prstGeom prst="rect">
                            <a:avLst/>
                          </a:prstGeom>
                          <a:noFill/>
                          <a:ln>
                            <a:noFill/>
                          </a:ln>
                        </pic:spPr>
                      </pic:pic>
                    </a:graphicData>
                  </a:graphic>
                </wp:inline>
              </w:drawing>
            </w:r>
          </w:p>
          <w:p w14:paraId="03E34326">
            <w:pPr>
              <w:autoSpaceDE w:val="0"/>
              <w:autoSpaceDN w:val="0"/>
              <w:spacing w:line="360" w:lineRule="auto"/>
              <w:ind w:firstLine="482" w:firstLineChars="200"/>
              <w:rPr>
                <w:rFonts w:hint="default" w:cs="Times New Roman"/>
                <w:b/>
                <w:bCs/>
                <w:color w:val="auto"/>
                <w:sz w:val="24"/>
                <w:lang w:val="en-US" w:eastAsia="zh-CN"/>
              </w:rPr>
            </w:pPr>
            <w:r>
              <w:rPr>
                <w:rFonts w:hint="eastAsia" w:cs="Times New Roman"/>
                <w:b/>
                <w:bCs/>
                <w:color w:val="auto"/>
                <w:sz w:val="24"/>
                <w:lang w:val="en-US" w:eastAsia="zh-CN"/>
              </w:rPr>
              <w:t>3）活性炭脱附</w:t>
            </w:r>
          </w:p>
          <w:p w14:paraId="304DE128">
            <w:pPr>
              <w:autoSpaceDE w:val="0"/>
              <w:autoSpaceDN w:val="0"/>
              <w:spacing w:line="360" w:lineRule="auto"/>
              <w:ind w:firstLine="480" w:firstLineChars="200"/>
              <w:rPr>
                <w:rFonts w:hint="eastAsia" w:cs="Times New Roman"/>
                <w:b w:val="0"/>
                <w:bCs w:val="0"/>
                <w:color w:val="auto"/>
                <w:sz w:val="24"/>
                <w:lang w:val="en-US" w:eastAsia="zh-CN"/>
              </w:rPr>
            </w:pPr>
            <w:r>
              <w:rPr>
                <w:rFonts w:hint="eastAsia" w:cs="Times New Roman"/>
                <w:b w:val="0"/>
                <w:bCs w:val="0"/>
                <w:color w:val="auto"/>
                <w:sz w:val="24"/>
                <w:lang w:val="en-US" w:eastAsia="zh-CN"/>
              </w:rPr>
              <w:t>活性炭脱附原理是通过改变温度、压力或化学环境，使吸附质分子克服与活性炭的吸附力，从而实现物质释放的过程。本项目采用热脱附（升温脱附）方式，后段催化燃烧装置燃烧反应后的高温气体经换热器，换热后的气体一部分回用送入活性炭吸附床进行脱附，通过加热（通常90-120℃）使吸附质分子获得足够动能，脱离活性炭孔隙。</w:t>
            </w:r>
          </w:p>
          <w:p w14:paraId="1401D25B">
            <w:pPr>
              <w:autoSpaceDE w:val="0"/>
              <w:autoSpaceDN w:val="0"/>
              <w:spacing w:line="360" w:lineRule="auto"/>
              <w:ind w:firstLine="482" w:firstLineChars="200"/>
              <w:rPr>
                <w:rFonts w:hint="eastAsia"/>
                <w:b w:val="0"/>
                <w:bCs/>
                <w:sz w:val="24"/>
                <w:lang w:val="en-US" w:eastAsia="zh-CN"/>
              </w:rPr>
            </w:pPr>
            <w:r>
              <w:rPr>
                <w:rFonts w:hint="eastAsia"/>
                <w:b/>
                <w:bCs w:val="0"/>
                <w:sz w:val="24"/>
                <w:lang w:val="en-US" w:eastAsia="zh-CN"/>
              </w:rPr>
              <w:t>4）催化燃烧</w:t>
            </w:r>
          </w:p>
          <w:p w14:paraId="1143E1FA">
            <w:pPr>
              <w:autoSpaceDE w:val="0"/>
              <w:autoSpaceDN w:val="0"/>
              <w:spacing w:line="360" w:lineRule="auto"/>
              <w:ind w:firstLine="480" w:firstLineChars="200"/>
              <w:rPr>
                <w:rFonts w:hint="eastAsia"/>
                <w:b w:val="0"/>
                <w:bCs/>
                <w:sz w:val="24"/>
                <w:lang w:val="en-US" w:eastAsia="zh-CN"/>
              </w:rPr>
            </w:pPr>
            <w:r>
              <w:rPr>
                <w:rFonts w:hint="eastAsia"/>
                <w:b w:val="0"/>
                <w:bCs/>
                <w:sz w:val="24"/>
                <w:lang w:val="en-US" w:eastAsia="zh-CN"/>
              </w:rPr>
              <w:t>催化燃烧设备主要由催化燃烧床（由电加热室、催化室和热交换器组成）、阻火器、温度探测器和相应的电动阀门、保温管道组成。蓄热式催化燃烧法处理技术特别适用于热回收率需求高，且无其它过程可利用作为热交换回收程序；适用于同一生产线上，因产品不同，废气成分经常发生变化或废气浓度波动较大的场合。应用行业包括石油、化工、橡胶、油漆、涂装、家具、印制铁罐、印刷等行业中产生的中高浓度有机废气的净化处理，可处理的有机物质种类包括苯类、酮类、酯类、酚类、醛类、醇类、醚类和烃类等。</w:t>
            </w:r>
          </w:p>
          <w:p w14:paraId="4C2226B9">
            <w:pPr>
              <w:autoSpaceDE w:val="0"/>
              <w:autoSpaceDN w:val="0"/>
              <w:spacing w:line="360" w:lineRule="auto"/>
              <w:ind w:firstLine="480" w:firstLineChars="200"/>
              <w:rPr>
                <w:rFonts w:hint="eastAsia" w:cs="Times New Roman"/>
                <w:b/>
                <w:bCs/>
                <w:color w:val="auto"/>
                <w:sz w:val="24"/>
                <w:lang w:val="en-US" w:eastAsia="zh-CN"/>
              </w:rPr>
            </w:pPr>
            <w:r>
              <w:rPr>
                <w:rFonts w:hint="eastAsia"/>
                <w:b w:val="0"/>
                <w:bCs/>
                <w:sz w:val="24"/>
                <w:lang w:val="en-US" w:eastAsia="zh-CN"/>
              </w:rPr>
              <w:t>催化剂采用当今先进的贵金属钯、铂浸渍的蜂窝状陶瓷载体，比表面积大。初始利用电加热启动催化燃烧设备，并利用热空气加热吸附床，当催化燃烧反应床加热到250℃左右，活性炭吸附床局部达到60~120℃时，从吸附床解析出来的高浓度废气就可以在催化反应床中进行氧化反应。反应后的高温气体经换热器，换热后的气体一部分回用送入活性炭吸附床进行脱附，另一部分排入大气。脱附出来的废气经换热器换热后温度迅速提高，降低了催化燃烧的加热电功率，从而使催化燃烧装置及脱附过程达到小功率或无功率运行。在催化燃烧过程中，催化剂的作用是降低活化能，同时催化剂表面具有吸附作用，使反应物分子富集于表面提高了反应速率，加快了反应的进行。借助催化剂可使有机废气在低的起燃温度条件下，发生无焰燃烧，并氧化分解为CO</w:t>
            </w:r>
            <w:r>
              <w:rPr>
                <w:rFonts w:hint="eastAsia"/>
                <w:b w:val="0"/>
                <w:bCs/>
                <w:sz w:val="24"/>
                <w:vertAlign w:val="subscript"/>
                <w:lang w:val="en-US" w:eastAsia="zh-CN"/>
              </w:rPr>
              <w:t>2</w:t>
            </w:r>
            <w:r>
              <w:rPr>
                <w:rFonts w:hint="eastAsia"/>
                <w:b w:val="0"/>
                <w:bCs/>
                <w:sz w:val="24"/>
                <w:lang w:val="en-US" w:eastAsia="zh-CN"/>
              </w:rPr>
              <w:t>和H</w:t>
            </w:r>
            <w:r>
              <w:rPr>
                <w:rFonts w:hint="eastAsia"/>
                <w:b w:val="0"/>
                <w:bCs/>
                <w:sz w:val="24"/>
                <w:vertAlign w:val="subscript"/>
                <w:lang w:val="en-US" w:eastAsia="zh-CN"/>
              </w:rPr>
              <w:t>2</w:t>
            </w:r>
            <w:r>
              <w:rPr>
                <w:rFonts w:hint="eastAsia"/>
                <w:b w:val="0"/>
                <w:bCs/>
                <w:sz w:val="24"/>
                <w:lang w:val="en-US" w:eastAsia="zh-CN"/>
              </w:rPr>
              <w:t>O，同时放出大量热能，从而达到去除废气中的有害物的方法。</w:t>
            </w:r>
          </w:p>
          <w:p w14:paraId="4DEABEF9">
            <w:pPr>
              <w:autoSpaceDE w:val="0"/>
              <w:autoSpaceDN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cs="Times New Roman"/>
                <w:b/>
                <w:bCs/>
                <w:color w:val="auto"/>
                <w:sz w:val="24"/>
                <w:lang w:val="en-US" w:eastAsia="zh-CN"/>
              </w:rPr>
              <w:t>③</w:t>
            </w:r>
            <w:r>
              <w:rPr>
                <w:rFonts w:hint="eastAsia" w:ascii="Times New Roman" w:hAnsi="Times New Roman" w:eastAsia="宋体" w:cs="Times New Roman"/>
                <w:b/>
                <w:bCs/>
                <w:color w:val="auto"/>
                <w:sz w:val="24"/>
                <w:lang w:val="en-US" w:eastAsia="zh-CN"/>
              </w:rPr>
              <w:t>低氮燃烧原理</w:t>
            </w:r>
          </w:p>
          <w:p w14:paraId="495D9360">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低氮燃烧装置采用烟气自身再循环型低氮燃烧器，利用燃气和空气的喷射作用将烟气吸入，使烟气在燃烧器内循环。由于烟气混人，降低了燃烧过程氧的浓度，同时烟气吸热，降低了燃烧温度，防止局部高温产生和缩短了烟气在高温区的停留时间，故抑制了NOx的生成。</w:t>
            </w:r>
          </w:p>
          <w:p w14:paraId="7E7ADD03">
            <w:pPr>
              <w:autoSpaceDE w:val="0"/>
              <w:autoSpaceDN w:val="0"/>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④处理措施可行性</w:t>
            </w:r>
          </w:p>
          <w:p w14:paraId="79A21AD0">
            <w:pPr>
              <w:autoSpaceDE w:val="0"/>
              <w:autoSpaceDN w:val="0"/>
              <w:spacing w:line="360" w:lineRule="auto"/>
              <w:ind w:firstLine="480" w:firstLineChars="200"/>
              <w:rPr>
                <w:rFonts w:hint="eastAsia"/>
                <w:bCs/>
                <w:sz w:val="24"/>
              </w:rPr>
            </w:pPr>
            <w:r>
              <w:rPr>
                <w:rFonts w:hint="eastAsia"/>
                <w:bCs/>
                <w:sz w:val="24"/>
              </w:rPr>
              <w:t>本项目所采用的废气污染治理方法属于《挥发性有机物治理实用手册（第二版）》《排污许可证申请与核发技术规范 石墨及其他非金属矿物制品制造》（HJ1119-2020）和《排污许可证申请与核发技术规范 锅炉》（HJ953-2018）中废气污染防治推荐可行技术中的污染防治技术。</w:t>
            </w:r>
          </w:p>
          <w:p w14:paraId="1200DB57">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bCs/>
                <w:sz w:val="24"/>
              </w:rPr>
              <w:t>因此，本项目所用废气污染物治理设施技术可行。</w:t>
            </w:r>
          </w:p>
          <w:p w14:paraId="26A6E4EE">
            <w:pPr>
              <w:autoSpaceDE w:val="0"/>
              <w:autoSpaceDN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综上所述，</w:t>
            </w:r>
            <w:r>
              <w:rPr>
                <w:rFonts w:hint="eastAsia" w:cs="Times New Roman"/>
                <w:b w:val="0"/>
                <w:bCs w:val="0"/>
                <w:color w:val="auto"/>
                <w:sz w:val="24"/>
                <w:lang w:val="en-US" w:eastAsia="zh-CN"/>
              </w:rPr>
              <w:t>本</w:t>
            </w:r>
            <w:r>
              <w:rPr>
                <w:rFonts w:hint="eastAsia" w:ascii="Times New Roman" w:hAnsi="Times New Roman" w:eastAsia="宋体" w:cs="Times New Roman"/>
                <w:b w:val="0"/>
                <w:bCs w:val="0"/>
                <w:color w:val="auto"/>
                <w:sz w:val="24"/>
                <w:lang w:val="en-US" w:eastAsia="zh-CN"/>
              </w:rPr>
              <w:t>项目废气产排污环节、污染物种类及产生量见下表：</w:t>
            </w:r>
          </w:p>
          <w:p w14:paraId="7217BD1C">
            <w:pPr>
              <w:numPr>
                <w:ilvl w:val="0"/>
                <w:numId w:val="6"/>
              </w:numPr>
              <w:jc w:val="center"/>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bCs/>
                <w:szCs w:val="21"/>
                <w:lang w:val="en-US" w:eastAsia="zh-CN"/>
              </w:rPr>
              <w:t>废气产排污环节、污染物种类及产生量表</w:t>
            </w:r>
          </w:p>
          <w:tbl>
            <w:tblPr>
              <w:tblStyle w:val="27"/>
              <w:tblW w:w="8045"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609"/>
              <w:gridCol w:w="1609"/>
              <w:gridCol w:w="1609"/>
              <w:gridCol w:w="1609"/>
              <w:gridCol w:w="1609"/>
            </w:tblGrid>
            <w:tr w14:paraId="5916038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vMerge w:val="restart"/>
                  <w:tcBorders>
                    <w:tl2br w:val="nil"/>
                    <w:tr2bl w:val="nil"/>
                  </w:tcBorders>
                  <w:vAlign w:val="center"/>
                </w:tcPr>
                <w:p w14:paraId="7ED6F35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生产单元</w:t>
                  </w:r>
                </w:p>
              </w:tc>
              <w:tc>
                <w:tcPr>
                  <w:tcW w:w="1609" w:type="dxa"/>
                  <w:vMerge w:val="restart"/>
                  <w:tcBorders>
                    <w:tl2br w:val="nil"/>
                    <w:tr2bl w:val="nil"/>
                  </w:tcBorders>
                  <w:vAlign w:val="center"/>
                </w:tcPr>
                <w:p w14:paraId="73520A5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产污环节</w:t>
                  </w:r>
                </w:p>
              </w:tc>
              <w:tc>
                <w:tcPr>
                  <w:tcW w:w="1609" w:type="dxa"/>
                  <w:vMerge w:val="restart"/>
                  <w:tcBorders>
                    <w:tl2br w:val="nil"/>
                    <w:tr2bl w:val="nil"/>
                  </w:tcBorders>
                  <w:vAlign w:val="center"/>
                </w:tcPr>
                <w:p w14:paraId="2AEDA2A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污染物类型</w:t>
                  </w:r>
                </w:p>
              </w:tc>
              <w:tc>
                <w:tcPr>
                  <w:tcW w:w="1609" w:type="dxa"/>
                  <w:vMerge w:val="restart"/>
                  <w:tcBorders>
                    <w:tl2br w:val="nil"/>
                    <w:tr2bl w:val="nil"/>
                  </w:tcBorders>
                  <w:vAlign w:val="center"/>
                </w:tcPr>
                <w:p w14:paraId="3B8B127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污染物种类</w:t>
                  </w:r>
                </w:p>
              </w:tc>
              <w:tc>
                <w:tcPr>
                  <w:tcW w:w="1609" w:type="dxa"/>
                  <w:tcBorders>
                    <w:tl2br w:val="nil"/>
                    <w:tr2bl w:val="nil"/>
                  </w:tcBorders>
                  <w:vAlign w:val="center"/>
                </w:tcPr>
                <w:p w14:paraId="49854B6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产生情况</w:t>
                  </w:r>
                </w:p>
              </w:tc>
            </w:tr>
            <w:tr w14:paraId="0B0456C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vMerge w:val="continue"/>
                  <w:tcBorders>
                    <w:tl2br w:val="nil"/>
                    <w:tr2bl w:val="nil"/>
                  </w:tcBorders>
                  <w:vAlign w:val="center"/>
                </w:tcPr>
                <w:p w14:paraId="42CB996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vMerge w:val="continue"/>
                  <w:tcBorders>
                    <w:tl2br w:val="nil"/>
                    <w:tr2bl w:val="nil"/>
                  </w:tcBorders>
                  <w:vAlign w:val="center"/>
                </w:tcPr>
                <w:p w14:paraId="2BA1005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vMerge w:val="continue"/>
                  <w:tcBorders>
                    <w:tl2br w:val="nil"/>
                    <w:tr2bl w:val="nil"/>
                  </w:tcBorders>
                  <w:vAlign w:val="center"/>
                </w:tcPr>
                <w:p w14:paraId="03435B3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vMerge w:val="continue"/>
                  <w:tcBorders>
                    <w:tl2br w:val="nil"/>
                    <w:tr2bl w:val="nil"/>
                  </w:tcBorders>
                  <w:vAlign w:val="center"/>
                </w:tcPr>
                <w:p w14:paraId="28C01E8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tcBorders>
                    <w:tl2br w:val="nil"/>
                    <w:tr2bl w:val="nil"/>
                  </w:tcBorders>
                  <w:vAlign w:val="center"/>
                </w:tcPr>
                <w:p w14:paraId="361C5D9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t/a</w:t>
                  </w:r>
                </w:p>
              </w:tc>
            </w:tr>
            <w:tr w14:paraId="7EA6163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vMerge w:val="restart"/>
                  <w:tcBorders>
                    <w:tl2br w:val="nil"/>
                    <w:tr2bl w:val="nil"/>
                  </w:tcBorders>
                  <w:vAlign w:val="center"/>
                </w:tcPr>
                <w:p w14:paraId="127F360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沥青混凝土、再生沥青混凝土</w:t>
                  </w:r>
                  <w:r>
                    <w:rPr>
                      <w:rFonts w:hint="eastAsia" w:ascii="Times New Roman" w:hAnsi="Times New Roman" w:eastAsia="宋体" w:cs="Times New Roman"/>
                      <w:b w:val="0"/>
                      <w:bCs w:val="0"/>
                      <w:color w:val="auto"/>
                      <w:sz w:val="21"/>
                      <w:szCs w:val="21"/>
                      <w:vertAlign w:val="baseline"/>
                      <w:lang w:val="en-US" w:eastAsia="zh-CN"/>
                    </w:rPr>
                    <w:t>、乳化沥青</w:t>
                  </w:r>
                  <w:r>
                    <w:rPr>
                      <w:rFonts w:hint="default" w:ascii="Times New Roman" w:hAnsi="Times New Roman" w:eastAsia="宋体" w:cs="Times New Roman"/>
                      <w:b w:val="0"/>
                      <w:bCs w:val="0"/>
                      <w:color w:val="auto"/>
                      <w:sz w:val="21"/>
                      <w:szCs w:val="21"/>
                      <w:vertAlign w:val="baseline"/>
                      <w:lang w:val="en-US" w:eastAsia="zh-CN"/>
                    </w:rPr>
                    <w:t>生产线</w:t>
                  </w:r>
                </w:p>
              </w:tc>
              <w:tc>
                <w:tcPr>
                  <w:tcW w:w="1609" w:type="dxa"/>
                  <w:tcBorders>
                    <w:tl2br w:val="nil"/>
                    <w:tr2bl w:val="nil"/>
                  </w:tcBorders>
                  <w:vAlign w:val="center"/>
                </w:tcPr>
                <w:p w14:paraId="4A13568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投料</w:t>
                  </w:r>
                </w:p>
              </w:tc>
              <w:tc>
                <w:tcPr>
                  <w:tcW w:w="1609" w:type="dxa"/>
                  <w:tcBorders>
                    <w:tl2br w:val="nil"/>
                    <w:tr2bl w:val="nil"/>
                  </w:tcBorders>
                  <w:vAlign w:val="center"/>
                </w:tcPr>
                <w:p w14:paraId="687CE71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投料粉尘</w:t>
                  </w:r>
                </w:p>
              </w:tc>
              <w:tc>
                <w:tcPr>
                  <w:tcW w:w="1609" w:type="dxa"/>
                  <w:tcBorders>
                    <w:tl2br w:val="nil"/>
                    <w:tr2bl w:val="nil"/>
                  </w:tcBorders>
                  <w:vAlign w:val="center"/>
                </w:tcPr>
                <w:p w14:paraId="3249891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颗粒物</w:t>
                  </w:r>
                </w:p>
              </w:tc>
              <w:tc>
                <w:tcPr>
                  <w:tcW w:w="1609" w:type="dxa"/>
                  <w:tcBorders>
                    <w:tl2br w:val="nil"/>
                    <w:tr2bl w:val="nil"/>
                  </w:tcBorders>
                  <w:vAlign w:val="center"/>
                </w:tcPr>
                <w:p w14:paraId="47CA7D0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3.7037</w:t>
                  </w:r>
                </w:p>
              </w:tc>
            </w:tr>
            <w:tr w14:paraId="05C8A0F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vMerge w:val="continue"/>
                  <w:tcBorders>
                    <w:tl2br w:val="nil"/>
                    <w:tr2bl w:val="nil"/>
                  </w:tcBorders>
                  <w:vAlign w:val="center"/>
                </w:tcPr>
                <w:p w14:paraId="42F6D9E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tcBorders>
                    <w:tl2br w:val="nil"/>
                    <w:tr2bl w:val="nil"/>
                  </w:tcBorders>
                  <w:vAlign w:val="center"/>
                </w:tcPr>
                <w:p w14:paraId="7705A70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粉料筒仓</w:t>
                  </w:r>
                </w:p>
              </w:tc>
              <w:tc>
                <w:tcPr>
                  <w:tcW w:w="1609" w:type="dxa"/>
                  <w:tcBorders>
                    <w:tl2br w:val="nil"/>
                    <w:tr2bl w:val="nil"/>
                  </w:tcBorders>
                  <w:vAlign w:val="center"/>
                </w:tcPr>
                <w:p w14:paraId="7926F5F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粉料筒仓粉尘</w:t>
                  </w:r>
                </w:p>
              </w:tc>
              <w:tc>
                <w:tcPr>
                  <w:tcW w:w="1609" w:type="dxa"/>
                  <w:tcBorders>
                    <w:tl2br w:val="nil"/>
                    <w:tr2bl w:val="nil"/>
                  </w:tcBorders>
                  <w:vAlign w:val="center"/>
                </w:tcPr>
                <w:p w14:paraId="52F0262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颗粒物</w:t>
                  </w:r>
                </w:p>
              </w:tc>
              <w:tc>
                <w:tcPr>
                  <w:tcW w:w="1609" w:type="dxa"/>
                  <w:tcBorders>
                    <w:tl2br w:val="nil"/>
                    <w:tr2bl w:val="nil"/>
                  </w:tcBorders>
                  <w:vAlign w:val="center"/>
                </w:tcPr>
                <w:p w14:paraId="6A60D29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1.7870</w:t>
                  </w:r>
                </w:p>
              </w:tc>
            </w:tr>
            <w:tr w14:paraId="2452CEB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vMerge w:val="continue"/>
                  <w:tcBorders>
                    <w:tl2br w:val="nil"/>
                    <w:tr2bl w:val="nil"/>
                  </w:tcBorders>
                  <w:vAlign w:val="center"/>
                </w:tcPr>
                <w:p w14:paraId="1A1130C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tcBorders>
                    <w:tl2br w:val="nil"/>
                    <w:tr2bl w:val="nil"/>
                  </w:tcBorders>
                  <w:vAlign w:val="center"/>
                </w:tcPr>
                <w:p w14:paraId="0DC814B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运输、烘干、提升、筛分</w:t>
                  </w:r>
                </w:p>
              </w:tc>
              <w:tc>
                <w:tcPr>
                  <w:tcW w:w="1609" w:type="dxa"/>
                  <w:tcBorders>
                    <w:tl2br w:val="nil"/>
                    <w:tr2bl w:val="nil"/>
                  </w:tcBorders>
                  <w:vAlign w:val="center"/>
                </w:tcPr>
                <w:p w14:paraId="3B9ECAD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输送粉尘</w:t>
                  </w:r>
                  <w:r>
                    <w:rPr>
                      <w:rFonts w:hint="default" w:ascii="Times New Roman" w:hAnsi="Times New Roman" w:eastAsia="宋体" w:cs="Times New Roman"/>
                      <w:b w:val="0"/>
                      <w:bCs w:val="0"/>
                      <w:color w:val="auto"/>
                      <w:sz w:val="21"/>
                      <w:szCs w:val="21"/>
                      <w:vertAlign w:val="baseline"/>
                      <w:lang w:val="en-US" w:eastAsia="zh-CN"/>
                    </w:rPr>
                    <w:t>、烘干粉尘、提升粉尘、筛分粉尘</w:t>
                  </w:r>
                </w:p>
              </w:tc>
              <w:tc>
                <w:tcPr>
                  <w:tcW w:w="1609" w:type="dxa"/>
                  <w:tcBorders>
                    <w:tl2br w:val="nil"/>
                    <w:tr2bl w:val="nil"/>
                  </w:tcBorders>
                  <w:vAlign w:val="center"/>
                </w:tcPr>
                <w:p w14:paraId="3E17F14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颗粒物</w:t>
                  </w:r>
                </w:p>
              </w:tc>
              <w:tc>
                <w:tcPr>
                  <w:tcW w:w="1609" w:type="dxa"/>
                  <w:tcBorders>
                    <w:tl2br w:val="nil"/>
                    <w:tr2bl w:val="nil"/>
                  </w:tcBorders>
                  <w:vAlign w:val="center"/>
                </w:tcPr>
                <w:p w14:paraId="245977D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552</w:t>
                  </w:r>
                </w:p>
              </w:tc>
            </w:tr>
            <w:tr w14:paraId="0BEB7DE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vMerge w:val="continue"/>
                  <w:tcBorders>
                    <w:tl2br w:val="nil"/>
                    <w:tr2bl w:val="nil"/>
                  </w:tcBorders>
                  <w:vAlign w:val="center"/>
                </w:tcPr>
                <w:p w14:paraId="46F3556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vMerge w:val="restart"/>
                  <w:tcBorders>
                    <w:tl2br w:val="nil"/>
                    <w:tr2bl w:val="nil"/>
                  </w:tcBorders>
                  <w:vAlign w:val="center"/>
                </w:tcPr>
                <w:p w14:paraId="39472C2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烘干系统</w:t>
                  </w:r>
                </w:p>
              </w:tc>
              <w:tc>
                <w:tcPr>
                  <w:tcW w:w="1609" w:type="dxa"/>
                  <w:vMerge w:val="restart"/>
                  <w:tcBorders>
                    <w:tl2br w:val="nil"/>
                    <w:tr2bl w:val="nil"/>
                  </w:tcBorders>
                  <w:vAlign w:val="center"/>
                </w:tcPr>
                <w:p w14:paraId="53CE5F7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烘干系统天然气燃烧废气</w:t>
                  </w:r>
                </w:p>
              </w:tc>
              <w:tc>
                <w:tcPr>
                  <w:tcW w:w="1609" w:type="dxa"/>
                  <w:tcBorders>
                    <w:tl2br w:val="nil"/>
                    <w:tr2bl w:val="nil"/>
                  </w:tcBorders>
                  <w:vAlign w:val="center"/>
                </w:tcPr>
                <w:p w14:paraId="02A1175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颗粒物</w:t>
                  </w:r>
                </w:p>
              </w:tc>
              <w:tc>
                <w:tcPr>
                  <w:tcW w:w="1609" w:type="dxa"/>
                  <w:tcBorders>
                    <w:tl2br w:val="nil"/>
                    <w:tr2bl w:val="nil"/>
                  </w:tcBorders>
                  <w:shd w:val="clear" w:color="auto" w:fill="auto"/>
                  <w:vAlign w:val="center"/>
                </w:tcPr>
                <w:p w14:paraId="3916B90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0.572</w:t>
                  </w:r>
                </w:p>
              </w:tc>
            </w:tr>
            <w:tr w14:paraId="0947195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vMerge w:val="continue"/>
                  <w:tcBorders>
                    <w:tl2br w:val="nil"/>
                    <w:tr2bl w:val="nil"/>
                  </w:tcBorders>
                  <w:vAlign w:val="center"/>
                </w:tcPr>
                <w:p w14:paraId="71543AA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vMerge w:val="continue"/>
                  <w:tcBorders>
                    <w:tl2br w:val="nil"/>
                    <w:tr2bl w:val="nil"/>
                  </w:tcBorders>
                  <w:vAlign w:val="center"/>
                </w:tcPr>
                <w:p w14:paraId="22B9D72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vMerge w:val="continue"/>
                  <w:tcBorders>
                    <w:tl2br w:val="nil"/>
                    <w:tr2bl w:val="nil"/>
                  </w:tcBorders>
                  <w:vAlign w:val="center"/>
                </w:tcPr>
                <w:p w14:paraId="36CB880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tcBorders>
                    <w:tl2br w:val="nil"/>
                    <w:tr2bl w:val="nil"/>
                  </w:tcBorders>
                  <w:vAlign w:val="center"/>
                </w:tcPr>
                <w:p w14:paraId="1DF4CA2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NO</w:t>
                  </w:r>
                  <w:r>
                    <w:rPr>
                      <w:rFonts w:hint="eastAsia" w:ascii="Times New Roman" w:hAnsi="Times New Roman" w:eastAsia="宋体" w:cs="Times New Roman"/>
                      <w:b w:val="0"/>
                      <w:bCs w:val="0"/>
                      <w:color w:val="auto"/>
                      <w:sz w:val="21"/>
                      <w:szCs w:val="21"/>
                      <w:vertAlign w:val="subscript"/>
                      <w:lang w:val="en-US" w:eastAsia="zh-CN"/>
                    </w:rPr>
                    <w:t>x</w:t>
                  </w:r>
                </w:p>
              </w:tc>
              <w:tc>
                <w:tcPr>
                  <w:tcW w:w="1609" w:type="dxa"/>
                  <w:tcBorders>
                    <w:tl2br w:val="nil"/>
                    <w:tr2bl w:val="nil"/>
                  </w:tcBorders>
                  <w:shd w:val="clear" w:color="auto" w:fill="auto"/>
                  <w:vAlign w:val="center"/>
                </w:tcPr>
                <w:p w14:paraId="023FB6A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3.74</w:t>
                  </w:r>
                </w:p>
              </w:tc>
            </w:tr>
            <w:tr w14:paraId="790583C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vMerge w:val="continue"/>
                  <w:tcBorders>
                    <w:tl2br w:val="nil"/>
                    <w:tr2bl w:val="nil"/>
                  </w:tcBorders>
                  <w:vAlign w:val="center"/>
                </w:tcPr>
                <w:p w14:paraId="564B899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vMerge w:val="continue"/>
                  <w:tcBorders>
                    <w:tl2br w:val="nil"/>
                    <w:tr2bl w:val="nil"/>
                  </w:tcBorders>
                  <w:vAlign w:val="center"/>
                </w:tcPr>
                <w:p w14:paraId="61D7573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vMerge w:val="continue"/>
                  <w:tcBorders>
                    <w:tl2br w:val="nil"/>
                    <w:tr2bl w:val="nil"/>
                  </w:tcBorders>
                  <w:vAlign w:val="center"/>
                </w:tcPr>
                <w:p w14:paraId="167932D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tcBorders>
                    <w:tl2br w:val="nil"/>
                    <w:tr2bl w:val="nil"/>
                  </w:tcBorders>
                  <w:vAlign w:val="center"/>
                </w:tcPr>
                <w:p w14:paraId="7EB724D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SO</w:t>
                  </w:r>
                  <w:r>
                    <w:rPr>
                      <w:rFonts w:hint="eastAsia" w:ascii="Times New Roman" w:hAnsi="Times New Roman" w:eastAsia="宋体" w:cs="Times New Roman"/>
                      <w:b w:val="0"/>
                      <w:bCs w:val="0"/>
                      <w:color w:val="auto"/>
                      <w:sz w:val="21"/>
                      <w:szCs w:val="21"/>
                      <w:vertAlign w:val="subscript"/>
                      <w:lang w:val="en-US" w:eastAsia="zh-CN"/>
                    </w:rPr>
                    <w:t>2</w:t>
                  </w:r>
                </w:p>
              </w:tc>
              <w:tc>
                <w:tcPr>
                  <w:tcW w:w="1609" w:type="dxa"/>
                  <w:tcBorders>
                    <w:tl2br w:val="nil"/>
                    <w:tr2bl w:val="nil"/>
                  </w:tcBorders>
                  <w:shd w:val="clear" w:color="auto" w:fill="auto"/>
                  <w:vAlign w:val="center"/>
                </w:tcPr>
                <w:p w14:paraId="0720997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0.08</w:t>
                  </w:r>
                </w:p>
              </w:tc>
            </w:tr>
            <w:tr w14:paraId="1B3A9C2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vMerge w:val="continue"/>
                  <w:tcBorders>
                    <w:tl2br w:val="nil"/>
                    <w:tr2bl w:val="nil"/>
                  </w:tcBorders>
                  <w:vAlign w:val="center"/>
                </w:tcPr>
                <w:p w14:paraId="6D18B85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vMerge w:val="restart"/>
                  <w:tcBorders>
                    <w:tl2br w:val="nil"/>
                    <w:tr2bl w:val="nil"/>
                  </w:tcBorders>
                  <w:vAlign w:val="center"/>
                </w:tcPr>
                <w:p w14:paraId="5241245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搅拌、卸料、沥青加热</w:t>
                  </w:r>
                </w:p>
              </w:tc>
              <w:tc>
                <w:tcPr>
                  <w:tcW w:w="1609" w:type="dxa"/>
                  <w:vMerge w:val="restart"/>
                  <w:tcBorders>
                    <w:tl2br w:val="nil"/>
                    <w:tr2bl w:val="nil"/>
                  </w:tcBorders>
                  <w:vAlign w:val="center"/>
                </w:tcPr>
                <w:p w14:paraId="3B6DFF1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搅拌废气、卸料废气、沥青加热废气</w:t>
                  </w:r>
                </w:p>
              </w:tc>
              <w:tc>
                <w:tcPr>
                  <w:tcW w:w="1609" w:type="dxa"/>
                  <w:tcBorders>
                    <w:tl2br w:val="nil"/>
                    <w:tr2bl w:val="nil"/>
                  </w:tcBorders>
                  <w:vAlign w:val="center"/>
                </w:tcPr>
                <w:p w14:paraId="76226E0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沥青烟</w:t>
                  </w:r>
                </w:p>
              </w:tc>
              <w:tc>
                <w:tcPr>
                  <w:tcW w:w="1609" w:type="dxa"/>
                  <w:tcBorders>
                    <w:tl2br w:val="nil"/>
                    <w:tr2bl w:val="nil"/>
                  </w:tcBorders>
                  <w:vAlign w:val="center"/>
                </w:tcPr>
                <w:p w14:paraId="29727A6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0.2558</w:t>
                  </w:r>
                </w:p>
              </w:tc>
            </w:tr>
            <w:tr w14:paraId="28A61A7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vMerge w:val="continue"/>
                  <w:tcBorders>
                    <w:tl2br w:val="nil"/>
                    <w:tr2bl w:val="nil"/>
                  </w:tcBorders>
                  <w:vAlign w:val="center"/>
                </w:tcPr>
                <w:p w14:paraId="3E9F795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vMerge w:val="continue"/>
                  <w:tcBorders>
                    <w:tl2br w:val="nil"/>
                    <w:tr2bl w:val="nil"/>
                  </w:tcBorders>
                  <w:vAlign w:val="center"/>
                </w:tcPr>
                <w:p w14:paraId="1AE1689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vMerge w:val="continue"/>
                  <w:tcBorders>
                    <w:tl2br w:val="nil"/>
                    <w:tr2bl w:val="nil"/>
                  </w:tcBorders>
                  <w:vAlign w:val="center"/>
                </w:tcPr>
                <w:p w14:paraId="0442D5C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tcBorders>
                    <w:tl2br w:val="nil"/>
                    <w:tr2bl w:val="nil"/>
                  </w:tcBorders>
                  <w:vAlign w:val="center"/>
                </w:tcPr>
                <w:p w14:paraId="6BB581A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苯并[a]芘</w:t>
                  </w:r>
                </w:p>
              </w:tc>
              <w:tc>
                <w:tcPr>
                  <w:tcW w:w="1609" w:type="dxa"/>
                  <w:tcBorders>
                    <w:tl2br w:val="nil"/>
                    <w:tr2bl w:val="nil"/>
                  </w:tcBorders>
                  <w:vAlign w:val="center"/>
                </w:tcPr>
                <w:p w14:paraId="1BAB3C0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5.1156×10</w:t>
                  </w:r>
                  <w:r>
                    <w:rPr>
                      <w:rFonts w:hint="default" w:ascii="Times New Roman" w:hAnsi="Times New Roman" w:eastAsia="宋体" w:cs="Times New Roman"/>
                      <w:b w:val="0"/>
                      <w:bCs w:val="0"/>
                      <w:color w:val="auto"/>
                      <w:sz w:val="21"/>
                      <w:szCs w:val="21"/>
                      <w:vertAlign w:val="superscript"/>
                      <w:lang w:val="en-US" w:eastAsia="zh-CN"/>
                    </w:rPr>
                    <w:t>-6</w:t>
                  </w:r>
                </w:p>
              </w:tc>
            </w:tr>
            <w:tr w14:paraId="1C4C3B3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vMerge w:val="continue"/>
                  <w:tcBorders>
                    <w:tl2br w:val="nil"/>
                    <w:tr2bl w:val="nil"/>
                  </w:tcBorders>
                  <w:vAlign w:val="center"/>
                </w:tcPr>
                <w:p w14:paraId="3718829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vMerge w:val="continue"/>
                  <w:tcBorders>
                    <w:tl2br w:val="nil"/>
                    <w:tr2bl w:val="nil"/>
                  </w:tcBorders>
                  <w:vAlign w:val="center"/>
                </w:tcPr>
                <w:p w14:paraId="23DE8E3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vMerge w:val="continue"/>
                  <w:tcBorders>
                    <w:tl2br w:val="nil"/>
                    <w:tr2bl w:val="nil"/>
                  </w:tcBorders>
                  <w:vAlign w:val="center"/>
                </w:tcPr>
                <w:p w14:paraId="0C74C1D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tcBorders>
                    <w:tl2br w:val="nil"/>
                    <w:tr2bl w:val="nil"/>
                  </w:tcBorders>
                  <w:vAlign w:val="center"/>
                </w:tcPr>
                <w:p w14:paraId="5081622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VOCs（以非甲烷总烃计）</w:t>
                  </w:r>
                </w:p>
              </w:tc>
              <w:tc>
                <w:tcPr>
                  <w:tcW w:w="1609" w:type="dxa"/>
                  <w:tcBorders>
                    <w:tl2br w:val="nil"/>
                    <w:tr2bl w:val="nil"/>
                  </w:tcBorders>
                  <w:vAlign w:val="center"/>
                </w:tcPr>
                <w:p w14:paraId="7C8BC52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0.179</w:t>
                  </w:r>
                </w:p>
              </w:tc>
            </w:tr>
            <w:tr w14:paraId="722E19E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vMerge w:val="restart"/>
                  <w:tcBorders>
                    <w:tl2br w:val="nil"/>
                    <w:tr2bl w:val="nil"/>
                  </w:tcBorders>
                  <w:vAlign w:val="center"/>
                </w:tcPr>
                <w:p w14:paraId="3C45232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煤粉生产线</w:t>
                  </w:r>
                </w:p>
              </w:tc>
              <w:tc>
                <w:tcPr>
                  <w:tcW w:w="1609" w:type="dxa"/>
                  <w:tcBorders>
                    <w:tl2br w:val="nil"/>
                    <w:tr2bl w:val="nil"/>
                  </w:tcBorders>
                  <w:vAlign w:val="center"/>
                </w:tcPr>
                <w:p w14:paraId="2F59E85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磨煤</w:t>
                  </w:r>
                </w:p>
              </w:tc>
              <w:tc>
                <w:tcPr>
                  <w:tcW w:w="1609" w:type="dxa"/>
                  <w:tcBorders>
                    <w:tl2br w:val="nil"/>
                    <w:tr2bl w:val="nil"/>
                  </w:tcBorders>
                  <w:shd w:val="clear" w:color="auto" w:fill="auto"/>
                  <w:vAlign w:val="center"/>
                </w:tcPr>
                <w:p w14:paraId="5B68972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磨煤系统粉尘</w:t>
                  </w:r>
                </w:p>
              </w:tc>
              <w:tc>
                <w:tcPr>
                  <w:tcW w:w="1609" w:type="dxa"/>
                  <w:tcBorders>
                    <w:tl2br w:val="nil"/>
                    <w:tr2bl w:val="nil"/>
                  </w:tcBorders>
                  <w:shd w:val="clear" w:color="auto" w:fill="auto"/>
                  <w:vAlign w:val="center"/>
                </w:tcPr>
                <w:p w14:paraId="6100BE3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颗粒物</w:t>
                  </w:r>
                </w:p>
              </w:tc>
              <w:tc>
                <w:tcPr>
                  <w:tcW w:w="1609" w:type="dxa"/>
                  <w:tcBorders>
                    <w:tl2br w:val="nil"/>
                    <w:tr2bl w:val="nil"/>
                  </w:tcBorders>
                  <w:vAlign w:val="center"/>
                </w:tcPr>
                <w:p w14:paraId="72949EA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5.0</w:t>
                  </w:r>
                </w:p>
              </w:tc>
            </w:tr>
            <w:tr w14:paraId="3818706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vMerge w:val="continue"/>
                  <w:tcBorders>
                    <w:tl2br w:val="nil"/>
                    <w:tr2bl w:val="nil"/>
                  </w:tcBorders>
                  <w:vAlign w:val="center"/>
                </w:tcPr>
                <w:p w14:paraId="4D5AAC6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vMerge w:val="restart"/>
                  <w:tcBorders>
                    <w:tl2br w:val="nil"/>
                    <w:tr2bl w:val="nil"/>
                  </w:tcBorders>
                  <w:vAlign w:val="center"/>
                </w:tcPr>
                <w:p w14:paraId="3111F02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烘干系统</w:t>
                  </w:r>
                </w:p>
              </w:tc>
              <w:tc>
                <w:tcPr>
                  <w:tcW w:w="1609" w:type="dxa"/>
                  <w:vMerge w:val="restart"/>
                  <w:tcBorders>
                    <w:tl2br w:val="nil"/>
                    <w:tr2bl w:val="nil"/>
                  </w:tcBorders>
                  <w:shd w:val="clear" w:color="auto" w:fill="auto"/>
                  <w:vAlign w:val="center"/>
                </w:tcPr>
                <w:p w14:paraId="3F75A05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热风炉天然气燃烧废气</w:t>
                  </w:r>
                </w:p>
              </w:tc>
              <w:tc>
                <w:tcPr>
                  <w:tcW w:w="1609" w:type="dxa"/>
                  <w:tcBorders>
                    <w:tl2br w:val="nil"/>
                    <w:tr2bl w:val="nil"/>
                  </w:tcBorders>
                  <w:shd w:val="clear" w:color="auto" w:fill="auto"/>
                  <w:vAlign w:val="center"/>
                </w:tcPr>
                <w:p w14:paraId="0C2ADD6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颗粒物</w:t>
                  </w:r>
                </w:p>
              </w:tc>
              <w:tc>
                <w:tcPr>
                  <w:tcW w:w="1609" w:type="dxa"/>
                  <w:tcBorders>
                    <w:tl2br w:val="nil"/>
                    <w:tr2bl w:val="nil"/>
                  </w:tcBorders>
                  <w:vAlign w:val="center"/>
                </w:tcPr>
                <w:p w14:paraId="0BD6F81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0.143</w:t>
                  </w:r>
                </w:p>
              </w:tc>
            </w:tr>
            <w:tr w14:paraId="1B074CF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vMerge w:val="continue"/>
                  <w:tcBorders>
                    <w:tl2br w:val="nil"/>
                    <w:tr2bl w:val="nil"/>
                  </w:tcBorders>
                  <w:vAlign w:val="center"/>
                </w:tcPr>
                <w:p w14:paraId="373AD6B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vMerge w:val="continue"/>
                  <w:tcBorders>
                    <w:tl2br w:val="nil"/>
                    <w:tr2bl w:val="nil"/>
                  </w:tcBorders>
                  <w:vAlign w:val="center"/>
                </w:tcPr>
                <w:p w14:paraId="55D7FDE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vMerge w:val="continue"/>
                  <w:tcBorders>
                    <w:tl2br w:val="nil"/>
                    <w:tr2bl w:val="nil"/>
                  </w:tcBorders>
                  <w:shd w:val="clear" w:color="auto" w:fill="auto"/>
                  <w:vAlign w:val="center"/>
                </w:tcPr>
                <w:p w14:paraId="1F36E9A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tcBorders>
                    <w:tl2br w:val="nil"/>
                    <w:tr2bl w:val="nil"/>
                  </w:tcBorders>
                  <w:shd w:val="clear" w:color="auto" w:fill="auto"/>
                  <w:vAlign w:val="center"/>
                </w:tcPr>
                <w:p w14:paraId="226F512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NO</w:t>
                  </w:r>
                  <w:r>
                    <w:rPr>
                      <w:rFonts w:hint="eastAsia" w:ascii="Times New Roman" w:hAnsi="Times New Roman" w:eastAsia="宋体" w:cs="Times New Roman"/>
                      <w:b w:val="0"/>
                      <w:bCs w:val="0"/>
                      <w:color w:val="auto"/>
                      <w:sz w:val="21"/>
                      <w:szCs w:val="21"/>
                      <w:vertAlign w:val="subscript"/>
                      <w:lang w:val="en-US" w:eastAsia="zh-CN"/>
                    </w:rPr>
                    <w:t>x</w:t>
                  </w:r>
                </w:p>
              </w:tc>
              <w:tc>
                <w:tcPr>
                  <w:tcW w:w="1609" w:type="dxa"/>
                  <w:tcBorders>
                    <w:tl2br w:val="nil"/>
                    <w:tr2bl w:val="nil"/>
                  </w:tcBorders>
                  <w:vAlign w:val="center"/>
                </w:tcPr>
                <w:p w14:paraId="7CD3C91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0.935</w:t>
                  </w:r>
                </w:p>
              </w:tc>
            </w:tr>
            <w:tr w14:paraId="5B15582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vMerge w:val="continue"/>
                  <w:tcBorders>
                    <w:tl2br w:val="nil"/>
                    <w:tr2bl w:val="nil"/>
                  </w:tcBorders>
                  <w:vAlign w:val="center"/>
                </w:tcPr>
                <w:p w14:paraId="1C57420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vMerge w:val="continue"/>
                  <w:tcBorders>
                    <w:tl2br w:val="nil"/>
                    <w:tr2bl w:val="nil"/>
                  </w:tcBorders>
                  <w:vAlign w:val="center"/>
                </w:tcPr>
                <w:p w14:paraId="086F89A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vMerge w:val="continue"/>
                  <w:tcBorders>
                    <w:tl2br w:val="nil"/>
                    <w:tr2bl w:val="nil"/>
                  </w:tcBorders>
                  <w:shd w:val="clear" w:color="auto" w:fill="auto"/>
                  <w:vAlign w:val="center"/>
                </w:tcPr>
                <w:p w14:paraId="7AE83F6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tcBorders>
                    <w:tl2br w:val="nil"/>
                    <w:tr2bl w:val="nil"/>
                  </w:tcBorders>
                  <w:shd w:val="clear" w:color="auto" w:fill="auto"/>
                  <w:vAlign w:val="center"/>
                </w:tcPr>
                <w:p w14:paraId="6995F32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SO</w:t>
                  </w:r>
                  <w:r>
                    <w:rPr>
                      <w:rFonts w:hint="eastAsia" w:ascii="Times New Roman" w:hAnsi="Times New Roman" w:eastAsia="宋体" w:cs="Times New Roman"/>
                      <w:b w:val="0"/>
                      <w:bCs w:val="0"/>
                      <w:color w:val="auto"/>
                      <w:sz w:val="21"/>
                      <w:szCs w:val="21"/>
                      <w:vertAlign w:val="subscript"/>
                      <w:lang w:val="en-US" w:eastAsia="zh-CN"/>
                    </w:rPr>
                    <w:t>2</w:t>
                  </w:r>
                </w:p>
              </w:tc>
              <w:tc>
                <w:tcPr>
                  <w:tcW w:w="1609" w:type="dxa"/>
                  <w:tcBorders>
                    <w:tl2br w:val="nil"/>
                    <w:tr2bl w:val="nil"/>
                  </w:tcBorders>
                  <w:vAlign w:val="center"/>
                </w:tcPr>
                <w:p w14:paraId="2697C5B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0.02</w:t>
                  </w:r>
                </w:p>
              </w:tc>
            </w:tr>
            <w:tr w14:paraId="21BE934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vMerge w:val="continue"/>
                  <w:tcBorders>
                    <w:tl2br w:val="nil"/>
                    <w:tr2bl w:val="nil"/>
                  </w:tcBorders>
                  <w:vAlign w:val="center"/>
                </w:tcPr>
                <w:p w14:paraId="7A5CCED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tcBorders>
                    <w:tl2br w:val="nil"/>
                    <w:tr2bl w:val="nil"/>
                  </w:tcBorders>
                  <w:vAlign w:val="center"/>
                </w:tcPr>
                <w:p w14:paraId="038E3FF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成品煤粉仓</w:t>
                  </w:r>
                </w:p>
              </w:tc>
              <w:tc>
                <w:tcPr>
                  <w:tcW w:w="1609" w:type="dxa"/>
                  <w:tcBorders>
                    <w:tl2br w:val="nil"/>
                    <w:tr2bl w:val="nil"/>
                  </w:tcBorders>
                  <w:shd w:val="clear" w:color="auto" w:fill="auto"/>
                  <w:vAlign w:val="center"/>
                </w:tcPr>
                <w:p w14:paraId="2772DA5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成品煤粉仓储罐粉尘</w:t>
                  </w:r>
                </w:p>
              </w:tc>
              <w:tc>
                <w:tcPr>
                  <w:tcW w:w="1609" w:type="dxa"/>
                  <w:tcBorders>
                    <w:tl2br w:val="nil"/>
                    <w:tr2bl w:val="nil"/>
                  </w:tcBorders>
                  <w:vAlign w:val="center"/>
                </w:tcPr>
                <w:p w14:paraId="702BD63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颗粒物</w:t>
                  </w:r>
                </w:p>
              </w:tc>
              <w:tc>
                <w:tcPr>
                  <w:tcW w:w="1609" w:type="dxa"/>
                  <w:tcBorders>
                    <w:tl2br w:val="nil"/>
                    <w:tr2bl w:val="nil"/>
                  </w:tcBorders>
                  <w:vAlign w:val="center"/>
                </w:tcPr>
                <w:p w14:paraId="2FD7277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12.0</w:t>
                  </w:r>
                </w:p>
              </w:tc>
            </w:tr>
            <w:tr w14:paraId="6B34B5B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vMerge w:val="restart"/>
                  <w:tcBorders>
                    <w:tl2br w:val="nil"/>
                    <w:tr2bl w:val="nil"/>
                  </w:tcBorders>
                  <w:vAlign w:val="center"/>
                </w:tcPr>
                <w:p w14:paraId="4E29BF8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再生料（废沥青混凝土层）预处理</w:t>
                  </w:r>
                </w:p>
              </w:tc>
              <w:tc>
                <w:tcPr>
                  <w:tcW w:w="1609" w:type="dxa"/>
                  <w:tcBorders>
                    <w:tl2br w:val="nil"/>
                    <w:tr2bl w:val="nil"/>
                  </w:tcBorders>
                  <w:vAlign w:val="center"/>
                </w:tcPr>
                <w:p w14:paraId="51DDF26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投料</w:t>
                  </w:r>
                </w:p>
              </w:tc>
              <w:tc>
                <w:tcPr>
                  <w:tcW w:w="1609" w:type="dxa"/>
                  <w:tcBorders>
                    <w:tl2br w:val="nil"/>
                    <w:tr2bl w:val="nil"/>
                  </w:tcBorders>
                  <w:vAlign w:val="center"/>
                </w:tcPr>
                <w:p w14:paraId="0422F5D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投料粉尘</w:t>
                  </w:r>
                </w:p>
              </w:tc>
              <w:tc>
                <w:tcPr>
                  <w:tcW w:w="1609" w:type="dxa"/>
                  <w:tcBorders>
                    <w:tl2br w:val="nil"/>
                    <w:tr2bl w:val="nil"/>
                  </w:tcBorders>
                  <w:vAlign w:val="center"/>
                </w:tcPr>
                <w:p w14:paraId="4D003F1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颗粒物</w:t>
                  </w:r>
                </w:p>
              </w:tc>
              <w:tc>
                <w:tcPr>
                  <w:tcW w:w="1609" w:type="dxa"/>
                  <w:tcBorders>
                    <w:tl2br w:val="nil"/>
                    <w:tr2bl w:val="nil"/>
                  </w:tcBorders>
                  <w:vAlign w:val="center"/>
                </w:tcPr>
                <w:p w14:paraId="3C18C02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0.3341</w:t>
                  </w:r>
                </w:p>
              </w:tc>
            </w:tr>
            <w:tr w14:paraId="7DC4317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vMerge w:val="continue"/>
                  <w:tcBorders>
                    <w:tl2br w:val="nil"/>
                    <w:tr2bl w:val="nil"/>
                  </w:tcBorders>
                  <w:vAlign w:val="center"/>
                </w:tcPr>
                <w:p w14:paraId="2996A6D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tcBorders>
                    <w:tl2br w:val="nil"/>
                    <w:tr2bl w:val="nil"/>
                  </w:tcBorders>
                  <w:vAlign w:val="center"/>
                </w:tcPr>
                <w:p w14:paraId="1C85C70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破碎</w:t>
                  </w:r>
                </w:p>
              </w:tc>
              <w:tc>
                <w:tcPr>
                  <w:tcW w:w="1609" w:type="dxa"/>
                  <w:tcBorders>
                    <w:tl2br w:val="nil"/>
                    <w:tr2bl w:val="nil"/>
                  </w:tcBorders>
                  <w:vAlign w:val="center"/>
                </w:tcPr>
                <w:p w14:paraId="3ED2462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破碎粉尘</w:t>
                  </w:r>
                </w:p>
              </w:tc>
              <w:tc>
                <w:tcPr>
                  <w:tcW w:w="1609" w:type="dxa"/>
                  <w:tcBorders>
                    <w:tl2br w:val="nil"/>
                    <w:tr2bl w:val="nil"/>
                  </w:tcBorders>
                  <w:vAlign w:val="center"/>
                </w:tcPr>
                <w:p w14:paraId="6E16E1C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颗粒物</w:t>
                  </w:r>
                </w:p>
              </w:tc>
              <w:tc>
                <w:tcPr>
                  <w:tcW w:w="1609" w:type="dxa"/>
                  <w:tcBorders>
                    <w:tl2br w:val="nil"/>
                    <w:tr2bl w:val="nil"/>
                  </w:tcBorders>
                  <w:vAlign w:val="center"/>
                </w:tcPr>
                <w:p w14:paraId="3EA5781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37.7533</w:t>
                  </w:r>
                </w:p>
              </w:tc>
            </w:tr>
            <w:tr w14:paraId="615357C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vMerge w:val="continue"/>
                  <w:tcBorders>
                    <w:tl2br w:val="nil"/>
                    <w:tr2bl w:val="nil"/>
                  </w:tcBorders>
                  <w:vAlign w:val="center"/>
                </w:tcPr>
                <w:p w14:paraId="191B873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tcBorders>
                    <w:tl2br w:val="nil"/>
                    <w:tr2bl w:val="nil"/>
                  </w:tcBorders>
                  <w:vAlign w:val="center"/>
                </w:tcPr>
                <w:p w14:paraId="5D61162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筛分</w:t>
                  </w:r>
                </w:p>
              </w:tc>
              <w:tc>
                <w:tcPr>
                  <w:tcW w:w="1609" w:type="dxa"/>
                  <w:tcBorders>
                    <w:tl2br w:val="nil"/>
                    <w:tr2bl w:val="nil"/>
                  </w:tcBorders>
                  <w:vAlign w:val="center"/>
                </w:tcPr>
                <w:p w14:paraId="55FD50B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筛分粉尘</w:t>
                  </w:r>
                </w:p>
              </w:tc>
              <w:tc>
                <w:tcPr>
                  <w:tcW w:w="1609" w:type="dxa"/>
                  <w:tcBorders>
                    <w:tl2br w:val="nil"/>
                    <w:tr2bl w:val="nil"/>
                  </w:tcBorders>
                  <w:vAlign w:val="center"/>
                </w:tcPr>
                <w:p w14:paraId="6F2B28E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颗粒物</w:t>
                  </w:r>
                </w:p>
              </w:tc>
              <w:tc>
                <w:tcPr>
                  <w:tcW w:w="1609" w:type="dxa"/>
                  <w:tcBorders>
                    <w:tl2br w:val="nil"/>
                    <w:tr2bl w:val="nil"/>
                  </w:tcBorders>
                  <w:vAlign w:val="center"/>
                </w:tcPr>
                <w:p w14:paraId="7090606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37.7533</w:t>
                  </w:r>
                </w:p>
              </w:tc>
            </w:tr>
            <w:tr w14:paraId="2851486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tcBorders>
                    <w:tl2br w:val="nil"/>
                    <w:tr2bl w:val="nil"/>
                  </w:tcBorders>
                  <w:vAlign w:val="center"/>
                </w:tcPr>
                <w:p w14:paraId="7A07765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原料堆场</w:t>
                  </w:r>
                </w:p>
              </w:tc>
              <w:tc>
                <w:tcPr>
                  <w:tcW w:w="1609" w:type="dxa"/>
                  <w:tcBorders>
                    <w:tl2br w:val="nil"/>
                    <w:tr2bl w:val="nil"/>
                  </w:tcBorders>
                  <w:vAlign w:val="center"/>
                </w:tcPr>
                <w:p w14:paraId="68BFDBB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原料堆存</w:t>
                  </w:r>
                </w:p>
              </w:tc>
              <w:tc>
                <w:tcPr>
                  <w:tcW w:w="1609" w:type="dxa"/>
                  <w:tcBorders>
                    <w:tl2br w:val="nil"/>
                    <w:tr2bl w:val="nil"/>
                  </w:tcBorders>
                  <w:vAlign w:val="center"/>
                </w:tcPr>
                <w:p w14:paraId="73448BC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装卸扬尘、堆场扬尘</w:t>
                  </w:r>
                </w:p>
              </w:tc>
              <w:tc>
                <w:tcPr>
                  <w:tcW w:w="1609" w:type="dxa"/>
                  <w:tcBorders>
                    <w:tl2br w:val="nil"/>
                    <w:tr2bl w:val="nil"/>
                  </w:tcBorders>
                  <w:vAlign w:val="center"/>
                </w:tcPr>
                <w:p w14:paraId="78F6BB1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颗粒物</w:t>
                  </w:r>
                </w:p>
              </w:tc>
              <w:tc>
                <w:tcPr>
                  <w:tcW w:w="1609" w:type="dxa"/>
                  <w:tcBorders>
                    <w:tl2br w:val="nil"/>
                    <w:tr2bl w:val="nil"/>
                  </w:tcBorders>
                  <w:vAlign w:val="center"/>
                </w:tcPr>
                <w:p w14:paraId="1B50191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61.7259</w:t>
                  </w:r>
                </w:p>
              </w:tc>
            </w:tr>
            <w:tr w14:paraId="3DBCE9D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vMerge w:val="restart"/>
                  <w:tcBorders>
                    <w:tl2br w:val="nil"/>
                    <w:tr2bl w:val="nil"/>
                  </w:tcBorders>
                  <w:vAlign w:val="center"/>
                </w:tcPr>
                <w:p w14:paraId="08502A4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公辅工程</w:t>
                  </w:r>
                </w:p>
              </w:tc>
              <w:tc>
                <w:tcPr>
                  <w:tcW w:w="1609" w:type="dxa"/>
                  <w:vMerge w:val="restart"/>
                  <w:tcBorders>
                    <w:tl2br w:val="nil"/>
                    <w:tr2bl w:val="nil"/>
                  </w:tcBorders>
                  <w:vAlign w:val="center"/>
                </w:tcPr>
                <w:p w14:paraId="6D42BC3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导热油炉</w:t>
                  </w:r>
                </w:p>
              </w:tc>
              <w:tc>
                <w:tcPr>
                  <w:tcW w:w="1609" w:type="dxa"/>
                  <w:vMerge w:val="restart"/>
                  <w:tcBorders>
                    <w:tl2br w:val="nil"/>
                    <w:tr2bl w:val="nil"/>
                  </w:tcBorders>
                  <w:vAlign w:val="center"/>
                </w:tcPr>
                <w:p w14:paraId="27C2CDD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导热油炉天然气燃烧废气</w:t>
                  </w:r>
                </w:p>
              </w:tc>
              <w:tc>
                <w:tcPr>
                  <w:tcW w:w="1609" w:type="dxa"/>
                  <w:tcBorders>
                    <w:tl2br w:val="nil"/>
                    <w:tr2bl w:val="nil"/>
                  </w:tcBorders>
                  <w:vAlign w:val="center"/>
                </w:tcPr>
                <w:p w14:paraId="52FD0C0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颗粒物</w:t>
                  </w:r>
                </w:p>
              </w:tc>
              <w:tc>
                <w:tcPr>
                  <w:tcW w:w="1609" w:type="dxa"/>
                  <w:tcBorders>
                    <w:tl2br w:val="nil"/>
                    <w:tr2bl w:val="nil"/>
                  </w:tcBorders>
                  <w:vAlign w:val="center"/>
                </w:tcPr>
                <w:p w14:paraId="263B4C4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0.0192</w:t>
                  </w:r>
                </w:p>
              </w:tc>
            </w:tr>
            <w:tr w14:paraId="09A1B66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vMerge w:val="continue"/>
                  <w:tcBorders>
                    <w:tl2br w:val="nil"/>
                    <w:tr2bl w:val="nil"/>
                  </w:tcBorders>
                  <w:vAlign w:val="center"/>
                </w:tcPr>
                <w:p w14:paraId="7E81720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vMerge w:val="continue"/>
                  <w:tcBorders>
                    <w:tl2br w:val="nil"/>
                    <w:tr2bl w:val="nil"/>
                  </w:tcBorders>
                  <w:vAlign w:val="center"/>
                </w:tcPr>
                <w:p w14:paraId="0EBDEE9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vMerge w:val="continue"/>
                  <w:tcBorders>
                    <w:tl2br w:val="nil"/>
                    <w:tr2bl w:val="nil"/>
                  </w:tcBorders>
                  <w:vAlign w:val="center"/>
                </w:tcPr>
                <w:p w14:paraId="5E0FAF9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tcBorders>
                    <w:tl2br w:val="nil"/>
                    <w:tr2bl w:val="nil"/>
                  </w:tcBorders>
                  <w:vAlign w:val="center"/>
                </w:tcPr>
                <w:p w14:paraId="626E801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NO</w:t>
                  </w:r>
                  <w:r>
                    <w:rPr>
                      <w:rFonts w:hint="eastAsia" w:ascii="Times New Roman" w:hAnsi="Times New Roman" w:eastAsia="宋体" w:cs="Times New Roman"/>
                      <w:b w:val="0"/>
                      <w:bCs w:val="0"/>
                      <w:color w:val="auto"/>
                      <w:sz w:val="21"/>
                      <w:szCs w:val="21"/>
                      <w:vertAlign w:val="subscript"/>
                      <w:lang w:val="en-US" w:eastAsia="zh-CN"/>
                    </w:rPr>
                    <w:t>x</w:t>
                  </w:r>
                </w:p>
              </w:tc>
              <w:tc>
                <w:tcPr>
                  <w:tcW w:w="1609" w:type="dxa"/>
                  <w:tcBorders>
                    <w:tl2br w:val="nil"/>
                    <w:tr2bl w:val="nil"/>
                  </w:tcBorders>
                  <w:vAlign w:val="center"/>
                </w:tcPr>
                <w:p w14:paraId="69E9FAF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0.0727</w:t>
                  </w:r>
                </w:p>
              </w:tc>
            </w:tr>
            <w:tr w14:paraId="28E9BB1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vMerge w:val="continue"/>
                  <w:tcBorders>
                    <w:tl2br w:val="nil"/>
                    <w:tr2bl w:val="nil"/>
                  </w:tcBorders>
                  <w:vAlign w:val="center"/>
                </w:tcPr>
                <w:p w14:paraId="04436DC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vMerge w:val="continue"/>
                  <w:tcBorders>
                    <w:tl2br w:val="nil"/>
                    <w:tr2bl w:val="nil"/>
                  </w:tcBorders>
                  <w:vAlign w:val="center"/>
                </w:tcPr>
                <w:p w14:paraId="01C604C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vMerge w:val="continue"/>
                  <w:tcBorders>
                    <w:tl2br w:val="nil"/>
                    <w:tr2bl w:val="nil"/>
                  </w:tcBorders>
                  <w:vAlign w:val="center"/>
                </w:tcPr>
                <w:p w14:paraId="605DED3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tcBorders>
                    <w:tl2br w:val="nil"/>
                    <w:tr2bl w:val="nil"/>
                  </w:tcBorders>
                  <w:vAlign w:val="center"/>
                </w:tcPr>
                <w:p w14:paraId="78DB08C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SO</w:t>
                  </w:r>
                  <w:r>
                    <w:rPr>
                      <w:rFonts w:hint="eastAsia" w:ascii="Times New Roman" w:hAnsi="Times New Roman" w:eastAsia="宋体" w:cs="Times New Roman"/>
                      <w:b w:val="0"/>
                      <w:bCs w:val="0"/>
                      <w:color w:val="auto"/>
                      <w:sz w:val="21"/>
                      <w:szCs w:val="21"/>
                      <w:vertAlign w:val="subscript"/>
                      <w:lang w:val="en-US" w:eastAsia="zh-CN"/>
                    </w:rPr>
                    <w:t>2</w:t>
                  </w:r>
                </w:p>
              </w:tc>
              <w:tc>
                <w:tcPr>
                  <w:tcW w:w="1609" w:type="dxa"/>
                  <w:tcBorders>
                    <w:tl2br w:val="nil"/>
                    <w:tr2bl w:val="nil"/>
                  </w:tcBorders>
                  <w:vAlign w:val="center"/>
                </w:tcPr>
                <w:p w14:paraId="560B0BF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0.0096</w:t>
                  </w:r>
                </w:p>
              </w:tc>
            </w:tr>
            <w:tr w14:paraId="142ADE3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vMerge w:val="continue"/>
                  <w:tcBorders>
                    <w:tl2br w:val="nil"/>
                    <w:tr2bl w:val="nil"/>
                  </w:tcBorders>
                  <w:vAlign w:val="center"/>
                </w:tcPr>
                <w:p w14:paraId="182B6AD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vMerge w:val="restart"/>
                  <w:tcBorders>
                    <w:tl2br w:val="nil"/>
                    <w:tr2bl w:val="nil"/>
                  </w:tcBorders>
                  <w:vAlign w:val="center"/>
                </w:tcPr>
                <w:p w14:paraId="012AD77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厂区道路</w:t>
                  </w:r>
                </w:p>
              </w:tc>
              <w:tc>
                <w:tcPr>
                  <w:tcW w:w="1609" w:type="dxa"/>
                  <w:tcBorders>
                    <w:tl2br w:val="nil"/>
                    <w:tr2bl w:val="nil"/>
                  </w:tcBorders>
                  <w:vAlign w:val="center"/>
                </w:tcPr>
                <w:p w14:paraId="50155E7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厂区道路扬尘</w:t>
                  </w:r>
                </w:p>
              </w:tc>
              <w:tc>
                <w:tcPr>
                  <w:tcW w:w="1609" w:type="dxa"/>
                  <w:tcBorders>
                    <w:tl2br w:val="nil"/>
                    <w:tr2bl w:val="nil"/>
                  </w:tcBorders>
                  <w:vAlign w:val="center"/>
                </w:tcPr>
                <w:p w14:paraId="108B9D4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颗粒物</w:t>
                  </w:r>
                </w:p>
              </w:tc>
              <w:tc>
                <w:tcPr>
                  <w:tcW w:w="1609" w:type="dxa"/>
                  <w:tcBorders>
                    <w:tl2br w:val="nil"/>
                    <w:tr2bl w:val="nil"/>
                  </w:tcBorders>
                  <w:vAlign w:val="center"/>
                </w:tcPr>
                <w:p w14:paraId="20022AF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1.2002</w:t>
                  </w:r>
                </w:p>
              </w:tc>
            </w:tr>
            <w:tr w14:paraId="544A82C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vMerge w:val="continue"/>
                  <w:tcBorders>
                    <w:tl2br w:val="nil"/>
                    <w:tr2bl w:val="nil"/>
                  </w:tcBorders>
                  <w:vAlign w:val="center"/>
                </w:tcPr>
                <w:p w14:paraId="722D63E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vMerge w:val="continue"/>
                  <w:tcBorders>
                    <w:tl2br w:val="nil"/>
                    <w:tr2bl w:val="nil"/>
                  </w:tcBorders>
                  <w:vAlign w:val="center"/>
                </w:tcPr>
                <w:p w14:paraId="2D2E1E4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tcBorders>
                    <w:tl2br w:val="nil"/>
                    <w:tr2bl w:val="nil"/>
                  </w:tcBorders>
                  <w:vAlign w:val="center"/>
                </w:tcPr>
                <w:p w14:paraId="653F2EF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汽车尾气</w:t>
                  </w:r>
                </w:p>
              </w:tc>
              <w:tc>
                <w:tcPr>
                  <w:tcW w:w="1609" w:type="dxa"/>
                  <w:tcBorders>
                    <w:tl2br w:val="nil"/>
                    <w:tr2bl w:val="nil"/>
                  </w:tcBorders>
                  <w:vAlign w:val="center"/>
                </w:tcPr>
                <w:p w14:paraId="367CCDF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NOx、CO</w:t>
                  </w:r>
                </w:p>
              </w:tc>
              <w:tc>
                <w:tcPr>
                  <w:tcW w:w="1609" w:type="dxa"/>
                  <w:tcBorders>
                    <w:tl2br w:val="nil"/>
                    <w:tr2bl w:val="nil"/>
                  </w:tcBorders>
                  <w:vAlign w:val="center"/>
                </w:tcPr>
                <w:p w14:paraId="3C37BE4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4B62203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vMerge w:val="continue"/>
                  <w:tcBorders>
                    <w:tl2br w:val="nil"/>
                    <w:tr2bl w:val="nil"/>
                  </w:tcBorders>
                  <w:vAlign w:val="center"/>
                </w:tcPr>
                <w:p w14:paraId="4610E45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tcBorders>
                    <w:tl2br w:val="nil"/>
                    <w:tr2bl w:val="nil"/>
                  </w:tcBorders>
                  <w:vAlign w:val="center"/>
                </w:tcPr>
                <w:p w14:paraId="59EDA4B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生产检测中心</w:t>
                  </w:r>
                </w:p>
              </w:tc>
              <w:tc>
                <w:tcPr>
                  <w:tcW w:w="1609" w:type="dxa"/>
                  <w:tcBorders>
                    <w:tl2br w:val="nil"/>
                    <w:tr2bl w:val="nil"/>
                  </w:tcBorders>
                  <w:vAlign w:val="center"/>
                </w:tcPr>
                <w:p w14:paraId="255C113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生产检测中心有机废气</w:t>
                  </w:r>
                </w:p>
              </w:tc>
              <w:tc>
                <w:tcPr>
                  <w:tcW w:w="1609" w:type="dxa"/>
                  <w:tcBorders>
                    <w:tl2br w:val="nil"/>
                    <w:tr2bl w:val="nil"/>
                  </w:tcBorders>
                  <w:vAlign w:val="center"/>
                </w:tcPr>
                <w:p w14:paraId="35D30BB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沥青烟、苯并[a]芘、VOCs（以非甲烷总烃计）</w:t>
                  </w:r>
                </w:p>
              </w:tc>
              <w:tc>
                <w:tcPr>
                  <w:tcW w:w="1609" w:type="dxa"/>
                  <w:tcBorders>
                    <w:tl2br w:val="nil"/>
                    <w:tr2bl w:val="nil"/>
                  </w:tcBorders>
                  <w:vAlign w:val="center"/>
                </w:tcPr>
                <w:p w14:paraId="41EE10A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r>
            <w:tr w14:paraId="53FAEF9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09" w:type="dxa"/>
                  <w:vMerge w:val="continue"/>
                  <w:tcBorders>
                    <w:tl2br w:val="nil"/>
                    <w:tr2bl w:val="nil"/>
                  </w:tcBorders>
                  <w:vAlign w:val="center"/>
                </w:tcPr>
                <w:p w14:paraId="1E661BA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609" w:type="dxa"/>
                  <w:tcBorders>
                    <w:tl2br w:val="nil"/>
                    <w:tr2bl w:val="nil"/>
                  </w:tcBorders>
                  <w:vAlign w:val="center"/>
                </w:tcPr>
                <w:p w14:paraId="7E48969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食堂</w:t>
                  </w:r>
                </w:p>
              </w:tc>
              <w:tc>
                <w:tcPr>
                  <w:tcW w:w="1609" w:type="dxa"/>
                  <w:tcBorders>
                    <w:tl2br w:val="nil"/>
                    <w:tr2bl w:val="nil"/>
                  </w:tcBorders>
                  <w:vAlign w:val="center"/>
                </w:tcPr>
                <w:p w14:paraId="43FA11B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食堂油烟</w:t>
                  </w:r>
                </w:p>
              </w:tc>
              <w:tc>
                <w:tcPr>
                  <w:tcW w:w="1609" w:type="dxa"/>
                  <w:tcBorders>
                    <w:tl2br w:val="nil"/>
                    <w:tr2bl w:val="nil"/>
                  </w:tcBorders>
                  <w:vAlign w:val="center"/>
                </w:tcPr>
                <w:p w14:paraId="15A5EF9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食堂油烟</w:t>
                  </w:r>
                </w:p>
              </w:tc>
              <w:tc>
                <w:tcPr>
                  <w:tcW w:w="1609" w:type="dxa"/>
                  <w:tcBorders>
                    <w:tl2br w:val="nil"/>
                    <w:tr2bl w:val="nil"/>
                  </w:tcBorders>
                  <w:vAlign w:val="center"/>
                </w:tcPr>
                <w:p w14:paraId="34E6129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0.0158</w:t>
                  </w:r>
                </w:p>
              </w:tc>
            </w:tr>
          </w:tbl>
          <w:p w14:paraId="5FEEE02C">
            <w:pPr>
              <w:autoSpaceDE w:val="0"/>
              <w:autoSpaceDN w:val="0"/>
              <w:spacing w:line="240" w:lineRule="auto"/>
              <w:ind w:firstLine="420" w:firstLineChars="200"/>
              <w:jc w:val="center"/>
              <w:rPr>
                <w:rFonts w:hint="eastAsia" w:ascii="Times New Roman" w:hAnsi="Times New Roman" w:eastAsia="宋体" w:cs="Times New Roman"/>
                <w:b w:val="0"/>
                <w:bCs w:val="0"/>
                <w:color w:val="auto"/>
                <w:sz w:val="21"/>
                <w:szCs w:val="21"/>
                <w:lang w:val="en-US" w:eastAsia="zh-CN"/>
              </w:rPr>
            </w:pPr>
          </w:p>
          <w:p w14:paraId="077F98C1">
            <w:pPr>
              <w:numPr>
                <w:ilvl w:val="0"/>
                <w:numId w:val="6"/>
              </w:numPr>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废气治理设施、排放形式一览表</w:t>
            </w:r>
          </w:p>
          <w:tbl>
            <w:tblPr>
              <w:tblStyle w:val="27"/>
              <w:tblW w:w="8045"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581"/>
              <w:gridCol w:w="1269"/>
              <w:gridCol w:w="877"/>
              <w:gridCol w:w="1339"/>
              <w:gridCol w:w="923"/>
              <w:gridCol w:w="1292"/>
              <w:gridCol w:w="764"/>
            </w:tblGrid>
            <w:tr w14:paraId="199505F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81" w:type="dxa"/>
                  <w:vMerge w:val="restart"/>
                  <w:tcBorders>
                    <w:tl2br w:val="nil"/>
                    <w:tr2bl w:val="nil"/>
                  </w:tcBorders>
                  <w:vAlign w:val="center"/>
                </w:tcPr>
                <w:p w14:paraId="3D8556B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废气类型</w:t>
                  </w:r>
                </w:p>
              </w:tc>
              <w:tc>
                <w:tcPr>
                  <w:tcW w:w="1269" w:type="dxa"/>
                  <w:vMerge w:val="restart"/>
                  <w:tcBorders>
                    <w:tl2br w:val="nil"/>
                    <w:tr2bl w:val="nil"/>
                  </w:tcBorders>
                  <w:vAlign w:val="center"/>
                </w:tcPr>
                <w:p w14:paraId="4E1C628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污染物种类</w:t>
                  </w:r>
                </w:p>
              </w:tc>
              <w:tc>
                <w:tcPr>
                  <w:tcW w:w="877" w:type="dxa"/>
                  <w:vMerge w:val="restart"/>
                  <w:tcBorders>
                    <w:tl2br w:val="nil"/>
                    <w:tr2bl w:val="nil"/>
                  </w:tcBorders>
                  <w:vAlign w:val="center"/>
                </w:tcPr>
                <w:p w14:paraId="768A704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排放形式</w:t>
                  </w:r>
                </w:p>
              </w:tc>
              <w:tc>
                <w:tcPr>
                  <w:tcW w:w="4318" w:type="dxa"/>
                  <w:gridSpan w:val="4"/>
                  <w:tcBorders>
                    <w:tl2br w:val="nil"/>
                    <w:tr2bl w:val="nil"/>
                  </w:tcBorders>
                  <w:vAlign w:val="center"/>
                </w:tcPr>
                <w:p w14:paraId="4317C08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污染物治理设施</w:t>
                  </w:r>
                </w:p>
              </w:tc>
            </w:tr>
            <w:tr w14:paraId="6222899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81" w:type="dxa"/>
                  <w:vMerge w:val="continue"/>
                  <w:tcBorders>
                    <w:tl2br w:val="nil"/>
                    <w:tr2bl w:val="nil"/>
                  </w:tcBorders>
                  <w:vAlign w:val="center"/>
                </w:tcPr>
                <w:p w14:paraId="26A115D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69" w:type="dxa"/>
                  <w:vMerge w:val="continue"/>
                  <w:tcBorders>
                    <w:tl2br w:val="nil"/>
                    <w:tr2bl w:val="nil"/>
                  </w:tcBorders>
                  <w:vAlign w:val="center"/>
                </w:tcPr>
                <w:p w14:paraId="41B0E5E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877" w:type="dxa"/>
                  <w:vMerge w:val="continue"/>
                  <w:tcBorders>
                    <w:tl2br w:val="nil"/>
                    <w:tr2bl w:val="nil"/>
                  </w:tcBorders>
                  <w:vAlign w:val="center"/>
                </w:tcPr>
                <w:p w14:paraId="62C7B1A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39" w:type="dxa"/>
                  <w:tcBorders>
                    <w:tl2br w:val="nil"/>
                    <w:tr2bl w:val="nil"/>
                  </w:tcBorders>
                  <w:vAlign w:val="center"/>
                </w:tcPr>
                <w:p w14:paraId="51969F1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治理设施名称及工艺</w:t>
                  </w:r>
                </w:p>
              </w:tc>
              <w:tc>
                <w:tcPr>
                  <w:tcW w:w="923" w:type="dxa"/>
                  <w:tcBorders>
                    <w:tl2br w:val="nil"/>
                    <w:tr2bl w:val="nil"/>
                  </w:tcBorders>
                  <w:vAlign w:val="center"/>
                </w:tcPr>
                <w:p w14:paraId="7025833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收集效率(%)</w:t>
                  </w:r>
                </w:p>
              </w:tc>
              <w:tc>
                <w:tcPr>
                  <w:tcW w:w="1292" w:type="dxa"/>
                  <w:tcBorders>
                    <w:tl2br w:val="nil"/>
                    <w:tr2bl w:val="nil"/>
                  </w:tcBorders>
                  <w:vAlign w:val="center"/>
                </w:tcPr>
                <w:p w14:paraId="60F30CE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去除率(%)</w:t>
                  </w:r>
                </w:p>
              </w:tc>
              <w:tc>
                <w:tcPr>
                  <w:tcW w:w="764" w:type="dxa"/>
                  <w:tcBorders>
                    <w:tl2br w:val="nil"/>
                    <w:tr2bl w:val="nil"/>
                  </w:tcBorders>
                  <w:vAlign w:val="center"/>
                </w:tcPr>
                <w:p w14:paraId="79B40E8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是否为可行性技术</w:t>
                  </w:r>
                </w:p>
              </w:tc>
            </w:tr>
            <w:tr w14:paraId="39B25EE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81" w:type="dxa"/>
                  <w:tcBorders>
                    <w:tl2br w:val="nil"/>
                    <w:tr2bl w:val="nil"/>
                  </w:tcBorders>
                  <w:vAlign w:val="center"/>
                </w:tcPr>
                <w:p w14:paraId="5BAD938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输送粉尘</w:t>
                  </w:r>
                  <w:r>
                    <w:rPr>
                      <w:rFonts w:hint="default" w:ascii="Times New Roman" w:hAnsi="Times New Roman" w:eastAsia="宋体" w:cs="Times New Roman"/>
                      <w:b w:val="0"/>
                      <w:bCs w:val="0"/>
                      <w:color w:val="auto"/>
                      <w:sz w:val="21"/>
                      <w:szCs w:val="21"/>
                      <w:vertAlign w:val="baseline"/>
                      <w:lang w:val="en-US" w:eastAsia="zh-CN"/>
                    </w:rPr>
                    <w:t>、烘干粉尘、提升粉尘、筛分粉尘</w:t>
                  </w:r>
                </w:p>
              </w:tc>
              <w:tc>
                <w:tcPr>
                  <w:tcW w:w="1269" w:type="dxa"/>
                  <w:tcBorders>
                    <w:tl2br w:val="nil"/>
                    <w:tr2bl w:val="nil"/>
                  </w:tcBorders>
                  <w:vAlign w:val="center"/>
                </w:tcPr>
                <w:p w14:paraId="1C61781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颗粒物</w:t>
                  </w:r>
                </w:p>
              </w:tc>
              <w:tc>
                <w:tcPr>
                  <w:tcW w:w="877" w:type="dxa"/>
                  <w:vMerge w:val="restart"/>
                  <w:tcBorders>
                    <w:tl2br w:val="nil"/>
                    <w:tr2bl w:val="nil"/>
                  </w:tcBorders>
                  <w:vAlign w:val="center"/>
                </w:tcPr>
                <w:p w14:paraId="448FDF5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有组织</w:t>
                  </w:r>
                </w:p>
              </w:tc>
              <w:tc>
                <w:tcPr>
                  <w:tcW w:w="1339" w:type="dxa"/>
                  <w:vMerge w:val="restart"/>
                  <w:tcBorders>
                    <w:tl2br w:val="nil"/>
                    <w:tr2bl w:val="nil"/>
                  </w:tcBorders>
                  <w:vAlign w:val="center"/>
                </w:tcPr>
                <w:p w14:paraId="09E4FB5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密闭收集+</w:t>
                  </w:r>
                  <w:r>
                    <w:rPr>
                      <w:rFonts w:hint="eastAsia" w:ascii="Times New Roman" w:hAnsi="Times New Roman" w:eastAsia="宋体" w:cs="Times New Roman"/>
                      <w:b w:val="0"/>
                      <w:bCs w:val="0"/>
                      <w:color w:val="auto"/>
                      <w:sz w:val="21"/>
                      <w:szCs w:val="21"/>
                      <w:vertAlign w:val="baseline"/>
                      <w:lang w:val="en-US" w:eastAsia="zh-CN"/>
                    </w:rPr>
                    <w:t>高温</w:t>
                  </w:r>
                  <w:r>
                    <w:rPr>
                      <w:rFonts w:hint="default" w:ascii="Times New Roman" w:hAnsi="Times New Roman" w:eastAsia="宋体" w:cs="Times New Roman"/>
                      <w:b w:val="0"/>
                      <w:bCs w:val="0"/>
                      <w:color w:val="auto"/>
                      <w:sz w:val="21"/>
                      <w:szCs w:val="21"/>
                      <w:vertAlign w:val="baseline"/>
                      <w:lang w:val="en-US" w:eastAsia="zh-CN"/>
                    </w:rPr>
                    <w:t>布袋除尘器（TA001）+</w:t>
                  </w:r>
                  <w:r>
                    <w:rPr>
                      <w:rFonts w:hint="eastAsia" w:ascii="Times New Roman" w:hAnsi="Times New Roman" w:eastAsia="宋体" w:cs="Times New Roman"/>
                      <w:b w:val="0"/>
                      <w:bCs w:val="0"/>
                      <w:color w:val="auto"/>
                      <w:sz w:val="21"/>
                      <w:szCs w:val="21"/>
                      <w:vertAlign w:val="baseline"/>
                      <w:lang w:val="en-US" w:eastAsia="zh-CN"/>
                    </w:rPr>
                    <w:t>22</w:t>
                  </w:r>
                  <w:r>
                    <w:rPr>
                      <w:rFonts w:hint="default" w:ascii="Times New Roman" w:hAnsi="Times New Roman" w:eastAsia="宋体" w:cs="Times New Roman"/>
                      <w:b w:val="0"/>
                      <w:bCs w:val="0"/>
                      <w:color w:val="auto"/>
                      <w:sz w:val="21"/>
                      <w:szCs w:val="21"/>
                      <w:vertAlign w:val="baseline"/>
                      <w:lang w:val="en-US" w:eastAsia="zh-CN"/>
                    </w:rPr>
                    <w:t>m高排气筒（DA001）</w:t>
                  </w:r>
                </w:p>
              </w:tc>
              <w:tc>
                <w:tcPr>
                  <w:tcW w:w="923" w:type="dxa"/>
                  <w:vMerge w:val="restart"/>
                  <w:tcBorders>
                    <w:tl2br w:val="nil"/>
                    <w:tr2bl w:val="nil"/>
                  </w:tcBorders>
                  <w:vAlign w:val="center"/>
                </w:tcPr>
                <w:p w14:paraId="6A3CECB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95</w:t>
                  </w:r>
                </w:p>
              </w:tc>
              <w:tc>
                <w:tcPr>
                  <w:tcW w:w="1292" w:type="dxa"/>
                  <w:tcBorders>
                    <w:tl2br w:val="nil"/>
                    <w:tr2bl w:val="nil"/>
                  </w:tcBorders>
                  <w:vAlign w:val="center"/>
                </w:tcPr>
                <w:p w14:paraId="0F92EBA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99.7</w:t>
                  </w:r>
                </w:p>
              </w:tc>
              <w:tc>
                <w:tcPr>
                  <w:tcW w:w="764" w:type="dxa"/>
                  <w:vMerge w:val="restart"/>
                  <w:tcBorders>
                    <w:tl2br w:val="nil"/>
                    <w:tr2bl w:val="nil"/>
                  </w:tcBorders>
                  <w:vAlign w:val="center"/>
                </w:tcPr>
                <w:p w14:paraId="7C40220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是</w:t>
                  </w:r>
                </w:p>
              </w:tc>
            </w:tr>
            <w:tr w14:paraId="1A2CFFC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1" w:type="dxa"/>
                  <w:vMerge w:val="restart"/>
                  <w:tcBorders>
                    <w:tl2br w:val="nil"/>
                    <w:tr2bl w:val="nil"/>
                  </w:tcBorders>
                  <w:vAlign w:val="center"/>
                </w:tcPr>
                <w:p w14:paraId="7A71370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烘干系统天然气燃烧废气</w:t>
                  </w:r>
                </w:p>
              </w:tc>
              <w:tc>
                <w:tcPr>
                  <w:tcW w:w="1269" w:type="dxa"/>
                  <w:tcBorders>
                    <w:tl2br w:val="nil"/>
                    <w:tr2bl w:val="nil"/>
                  </w:tcBorders>
                  <w:shd w:val="clear" w:color="auto" w:fill="auto"/>
                  <w:vAlign w:val="center"/>
                </w:tcPr>
                <w:p w14:paraId="4394233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颗粒物</w:t>
                  </w:r>
                </w:p>
              </w:tc>
              <w:tc>
                <w:tcPr>
                  <w:tcW w:w="877" w:type="dxa"/>
                  <w:vMerge w:val="continue"/>
                  <w:tcBorders>
                    <w:tl2br w:val="nil"/>
                    <w:tr2bl w:val="nil"/>
                  </w:tcBorders>
                  <w:vAlign w:val="center"/>
                </w:tcPr>
                <w:p w14:paraId="2C01EEC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39" w:type="dxa"/>
                  <w:vMerge w:val="continue"/>
                  <w:tcBorders>
                    <w:tl2br w:val="nil"/>
                    <w:tr2bl w:val="nil"/>
                  </w:tcBorders>
                  <w:vAlign w:val="center"/>
                </w:tcPr>
                <w:p w14:paraId="648A6FB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923" w:type="dxa"/>
                  <w:vMerge w:val="continue"/>
                  <w:tcBorders>
                    <w:tl2br w:val="nil"/>
                    <w:tr2bl w:val="nil"/>
                  </w:tcBorders>
                  <w:vAlign w:val="center"/>
                </w:tcPr>
                <w:p w14:paraId="10C6ED3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92" w:type="dxa"/>
                  <w:tcBorders>
                    <w:tl2br w:val="nil"/>
                    <w:tr2bl w:val="nil"/>
                  </w:tcBorders>
                  <w:vAlign w:val="center"/>
                </w:tcPr>
                <w:p w14:paraId="5D38B16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99.7</w:t>
                  </w:r>
                </w:p>
              </w:tc>
              <w:tc>
                <w:tcPr>
                  <w:tcW w:w="764" w:type="dxa"/>
                  <w:vMerge w:val="continue"/>
                  <w:tcBorders>
                    <w:tl2br w:val="nil"/>
                    <w:tr2bl w:val="nil"/>
                  </w:tcBorders>
                  <w:vAlign w:val="center"/>
                </w:tcPr>
                <w:p w14:paraId="5B72701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6FB5839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1" w:type="dxa"/>
                  <w:vMerge w:val="continue"/>
                  <w:tcBorders>
                    <w:tl2br w:val="nil"/>
                    <w:tr2bl w:val="nil"/>
                  </w:tcBorders>
                  <w:vAlign w:val="center"/>
                </w:tcPr>
                <w:p w14:paraId="7F7ED78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69" w:type="dxa"/>
                  <w:tcBorders>
                    <w:tl2br w:val="nil"/>
                    <w:tr2bl w:val="nil"/>
                  </w:tcBorders>
                  <w:shd w:val="clear" w:color="auto" w:fill="auto"/>
                  <w:vAlign w:val="center"/>
                </w:tcPr>
                <w:p w14:paraId="5E8FBED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NO</w:t>
                  </w:r>
                  <w:r>
                    <w:rPr>
                      <w:rFonts w:hint="eastAsia" w:ascii="Times New Roman" w:hAnsi="Times New Roman" w:eastAsia="宋体" w:cs="Times New Roman"/>
                      <w:b w:val="0"/>
                      <w:bCs w:val="0"/>
                      <w:color w:val="auto"/>
                      <w:sz w:val="21"/>
                      <w:szCs w:val="21"/>
                      <w:vertAlign w:val="subscript"/>
                      <w:lang w:val="en-US" w:eastAsia="zh-CN"/>
                    </w:rPr>
                    <w:t>x</w:t>
                  </w:r>
                </w:p>
              </w:tc>
              <w:tc>
                <w:tcPr>
                  <w:tcW w:w="877" w:type="dxa"/>
                  <w:vMerge w:val="continue"/>
                  <w:tcBorders>
                    <w:tl2br w:val="nil"/>
                    <w:tr2bl w:val="nil"/>
                  </w:tcBorders>
                  <w:vAlign w:val="center"/>
                </w:tcPr>
                <w:p w14:paraId="2CB47F4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39" w:type="dxa"/>
                  <w:vMerge w:val="continue"/>
                  <w:tcBorders>
                    <w:tl2br w:val="nil"/>
                    <w:tr2bl w:val="nil"/>
                  </w:tcBorders>
                  <w:vAlign w:val="center"/>
                </w:tcPr>
                <w:p w14:paraId="1586140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923" w:type="dxa"/>
                  <w:vMerge w:val="continue"/>
                  <w:tcBorders>
                    <w:tl2br w:val="nil"/>
                    <w:tr2bl w:val="nil"/>
                  </w:tcBorders>
                  <w:vAlign w:val="center"/>
                </w:tcPr>
                <w:p w14:paraId="6837AFB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92" w:type="dxa"/>
                  <w:tcBorders>
                    <w:tl2br w:val="nil"/>
                    <w:tr2bl w:val="nil"/>
                  </w:tcBorders>
                  <w:vAlign w:val="center"/>
                </w:tcPr>
                <w:p w14:paraId="1D948D2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764" w:type="dxa"/>
                  <w:vMerge w:val="continue"/>
                  <w:tcBorders>
                    <w:tl2br w:val="nil"/>
                    <w:tr2bl w:val="nil"/>
                  </w:tcBorders>
                  <w:vAlign w:val="center"/>
                </w:tcPr>
                <w:p w14:paraId="3788187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15CA6D7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1" w:type="dxa"/>
                  <w:vMerge w:val="continue"/>
                  <w:tcBorders>
                    <w:tl2br w:val="nil"/>
                    <w:tr2bl w:val="nil"/>
                  </w:tcBorders>
                  <w:vAlign w:val="center"/>
                </w:tcPr>
                <w:p w14:paraId="15E61BC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69" w:type="dxa"/>
                  <w:tcBorders>
                    <w:tl2br w:val="nil"/>
                    <w:tr2bl w:val="nil"/>
                  </w:tcBorders>
                  <w:shd w:val="clear" w:color="auto" w:fill="auto"/>
                  <w:vAlign w:val="center"/>
                </w:tcPr>
                <w:p w14:paraId="348E9DB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SO</w:t>
                  </w:r>
                  <w:r>
                    <w:rPr>
                      <w:rFonts w:hint="eastAsia" w:ascii="Times New Roman" w:hAnsi="Times New Roman" w:eastAsia="宋体" w:cs="Times New Roman"/>
                      <w:b w:val="0"/>
                      <w:bCs w:val="0"/>
                      <w:color w:val="auto"/>
                      <w:sz w:val="21"/>
                      <w:szCs w:val="21"/>
                      <w:vertAlign w:val="subscript"/>
                      <w:lang w:val="en-US" w:eastAsia="zh-CN"/>
                    </w:rPr>
                    <w:t>2</w:t>
                  </w:r>
                </w:p>
              </w:tc>
              <w:tc>
                <w:tcPr>
                  <w:tcW w:w="877" w:type="dxa"/>
                  <w:vMerge w:val="continue"/>
                  <w:tcBorders>
                    <w:tl2br w:val="nil"/>
                    <w:tr2bl w:val="nil"/>
                  </w:tcBorders>
                  <w:vAlign w:val="center"/>
                </w:tcPr>
                <w:p w14:paraId="75CE41D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39" w:type="dxa"/>
                  <w:vMerge w:val="continue"/>
                  <w:tcBorders>
                    <w:tl2br w:val="nil"/>
                    <w:tr2bl w:val="nil"/>
                  </w:tcBorders>
                  <w:vAlign w:val="center"/>
                </w:tcPr>
                <w:p w14:paraId="7D32FFF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923" w:type="dxa"/>
                  <w:vMerge w:val="continue"/>
                  <w:tcBorders>
                    <w:tl2br w:val="nil"/>
                    <w:tr2bl w:val="nil"/>
                  </w:tcBorders>
                  <w:vAlign w:val="center"/>
                </w:tcPr>
                <w:p w14:paraId="50F0089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92" w:type="dxa"/>
                  <w:tcBorders>
                    <w:tl2br w:val="nil"/>
                    <w:tr2bl w:val="nil"/>
                  </w:tcBorders>
                  <w:vAlign w:val="center"/>
                </w:tcPr>
                <w:p w14:paraId="6E84496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764" w:type="dxa"/>
                  <w:vMerge w:val="continue"/>
                  <w:tcBorders>
                    <w:tl2br w:val="nil"/>
                    <w:tr2bl w:val="nil"/>
                  </w:tcBorders>
                  <w:vAlign w:val="center"/>
                </w:tcPr>
                <w:p w14:paraId="2748C3E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41372D2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1" w:type="dxa"/>
                  <w:vMerge w:val="restart"/>
                  <w:tcBorders>
                    <w:tl2br w:val="nil"/>
                    <w:tr2bl w:val="nil"/>
                  </w:tcBorders>
                  <w:vAlign w:val="center"/>
                </w:tcPr>
                <w:p w14:paraId="2EF92F6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搅拌废气、卸料废气、沥青加热废气</w:t>
                  </w:r>
                </w:p>
              </w:tc>
              <w:tc>
                <w:tcPr>
                  <w:tcW w:w="1269" w:type="dxa"/>
                  <w:tcBorders>
                    <w:tl2br w:val="nil"/>
                    <w:tr2bl w:val="nil"/>
                  </w:tcBorders>
                  <w:vAlign w:val="center"/>
                </w:tcPr>
                <w:p w14:paraId="4BF5562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沥青烟</w:t>
                  </w:r>
                </w:p>
              </w:tc>
              <w:tc>
                <w:tcPr>
                  <w:tcW w:w="877" w:type="dxa"/>
                  <w:vMerge w:val="restart"/>
                  <w:tcBorders>
                    <w:tl2br w:val="nil"/>
                    <w:tr2bl w:val="nil"/>
                  </w:tcBorders>
                  <w:vAlign w:val="center"/>
                </w:tcPr>
                <w:p w14:paraId="0144892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有组织</w:t>
                  </w:r>
                </w:p>
              </w:tc>
              <w:tc>
                <w:tcPr>
                  <w:tcW w:w="1339" w:type="dxa"/>
                  <w:vMerge w:val="restart"/>
                  <w:tcBorders>
                    <w:tl2br w:val="nil"/>
                    <w:tr2bl w:val="nil"/>
                  </w:tcBorders>
                  <w:vAlign w:val="center"/>
                </w:tcPr>
                <w:p w14:paraId="0480089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密闭收集+“喷淋+干式过滤+活性炭吸附脱附+催化燃烧”装置（TA002）+22m高排气筒（DA002）</w:t>
                  </w:r>
                </w:p>
              </w:tc>
              <w:tc>
                <w:tcPr>
                  <w:tcW w:w="923" w:type="dxa"/>
                  <w:vMerge w:val="restart"/>
                  <w:tcBorders>
                    <w:tl2br w:val="nil"/>
                    <w:tr2bl w:val="nil"/>
                  </w:tcBorders>
                  <w:vAlign w:val="center"/>
                </w:tcPr>
                <w:p w14:paraId="6EB68B1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95</w:t>
                  </w:r>
                </w:p>
              </w:tc>
              <w:tc>
                <w:tcPr>
                  <w:tcW w:w="1292" w:type="dxa"/>
                  <w:vMerge w:val="restart"/>
                  <w:tcBorders>
                    <w:tl2br w:val="nil"/>
                    <w:tr2bl w:val="nil"/>
                  </w:tcBorders>
                  <w:vAlign w:val="center"/>
                </w:tcPr>
                <w:p w14:paraId="5317C12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90</w:t>
                  </w:r>
                </w:p>
              </w:tc>
              <w:tc>
                <w:tcPr>
                  <w:tcW w:w="764" w:type="dxa"/>
                  <w:vMerge w:val="restart"/>
                  <w:tcBorders>
                    <w:tl2br w:val="nil"/>
                    <w:tr2bl w:val="nil"/>
                  </w:tcBorders>
                  <w:vAlign w:val="center"/>
                </w:tcPr>
                <w:p w14:paraId="5857AF9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是</w:t>
                  </w:r>
                </w:p>
              </w:tc>
            </w:tr>
            <w:tr w14:paraId="7D8DD18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1" w:type="dxa"/>
                  <w:vMerge w:val="continue"/>
                  <w:tcBorders>
                    <w:tl2br w:val="nil"/>
                    <w:tr2bl w:val="nil"/>
                  </w:tcBorders>
                  <w:vAlign w:val="center"/>
                </w:tcPr>
                <w:p w14:paraId="22B46A4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69" w:type="dxa"/>
                  <w:tcBorders>
                    <w:tl2br w:val="nil"/>
                    <w:tr2bl w:val="nil"/>
                  </w:tcBorders>
                  <w:vAlign w:val="center"/>
                </w:tcPr>
                <w:p w14:paraId="28A477B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苯并[a]芘</w:t>
                  </w:r>
                </w:p>
              </w:tc>
              <w:tc>
                <w:tcPr>
                  <w:tcW w:w="877" w:type="dxa"/>
                  <w:vMerge w:val="continue"/>
                  <w:tcBorders>
                    <w:tl2br w:val="nil"/>
                    <w:tr2bl w:val="nil"/>
                  </w:tcBorders>
                  <w:vAlign w:val="center"/>
                </w:tcPr>
                <w:p w14:paraId="092B417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39" w:type="dxa"/>
                  <w:vMerge w:val="continue"/>
                  <w:tcBorders>
                    <w:tl2br w:val="nil"/>
                    <w:tr2bl w:val="nil"/>
                  </w:tcBorders>
                  <w:vAlign w:val="center"/>
                </w:tcPr>
                <w:p w14:paraId="4275745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923" w:type="dxa"/>
                  <w:vMerge w:val="continue"/>
                  <w:tcBorders>
                    <w:tl2br w:val="nil"/>
                    <w:tr2bl w:val="nil"/>
                  </w:tcBorders>
                  <w:vAlign w:val="center"/>
                </w:tcPr>
                <w:p w14:paraId="5A5AE18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92" w:type="dxa"/>
                  <w:vMerge w:val="continue"/>
                  <w:tcBorders>
                    <w:tl2br w:val="nil"/>
                    <w:tr2bl w:val="nil"/>
                  </w:tcBorders>
                  <w:vAlign w:val="center"/>
                </w:tcPr>
                <w:p w14:paraId="52D5BDC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64" w:type="dxa"/>
                  <w:vMerge w:val="continue"/>
                  <w:tcBorders>
                    <w:tl2br w:val="nil"/>
                    <w:tr2bl w:val="nil"/>
                  </w:tcBorders>
                  <w:vAlign w:val="center"/>
                </w:tcPr>
                <w:p w14:paraId="3100969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3862FEB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1" w:type="dxa"/>
                  <w:vMerge w:val="continue"/>
                  <w:tcBorders>
                    <w:tl2br w:val="nil"/>
                    <w:tr2bl w:val="nil"/>
                  </w:tcBorders>
                  <w:vAlign w:val="center"/>
                </w:tcPr>
                <w:p w14:paraId="069789D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69" w:type="dxa"/>
                  <w:tcBorders>
                    <w:tl2br w:val="nil"/>
                    <w:tr2bl w:val="nil"/>
                  </w:tcBorders>
                  <w:vAlign w:val="center"/>
                </w:tcPr>
                <w:p w14:paraId="1A18B1D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VOCs（以非甲烷总烃计）</w:t>
                  </w:r>
                </w:p>
              </w:tc>
              <w:tc>
                <w:tcPr>
                  <w:tcW w:w="877" w:type="dxa"/>
                  <w:vMerge w:val="continue"/>
                  <w:tcBorders>
                    <w:tl2br w:val="nil"/>
                    <w:tr2bl w:val="nil"/>
                  </w:tcBorders>
                  <w:vAlign w:val="center"/>
                </w:tcPr>
                <w:p w14:paraId="5026AE5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39" w:type="dxa"/>
                  <w:vMerge w:val="continue"/>
                  <w:tcBorders>
                    <w:tl2br w:val="nil"/>
                    <w:tr2bl w:val="nil"/>
                  </w:tcBorders>
                  <w:vAlign w:val="center"/>
                </w:tcPr>
                <w:p w14:paraId="1B8E31F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923" w:type="dxa"/>
                  <w:vMerge w:val="continue"/>
                  <w:tcBorders>
                    <w:tl2br w:val="nil"/>
                    <w:tr2bl w:val="nil"/>
                  </w:tcBorders>
                  <w:vAlign w:val="center"/>
                </w:tcPr>
                <w:p w14:paraId="2BD6EA5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92" w:type="dxa"/>
                  <w:vMerge w:val="continue"/>
                  <w:tcBorders>
                    <w:tl2br w:val="nil"/>
                    <w:tr2bl w:val="nil"/>
                  </w:tcBorders>
                  <w:vAlign w:val="center"/>
                </w:tcPr>
                <w:p w14:paraId="708A9A2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64" w:type="dxa"/>
                  <w:vMerge w:val="continue"/>
                  <w:tcBorders>
                    <w:tl2br w:val="nil"/>
                    <w:tr2bl w:val="nil"/>
                  </w:tcBorders>
                  <w:vAlign w:val="center"/>
                </w:tcPr>
                <w:p w14:paraId="374899B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3E77F08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1" w:type="dxa"/>
                  <w:tcBorders>
                    <w:tl2br w:val="nil"/>
                    <w:tr2bl w:val="nil"/>
                  </w:tcBorders>
                  <w:vAlign w:val="center"/>
                </w:tcPr>
                <w:p w14:paraId="1F7DE02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磨煤系统粉尘</w:t>
                  </w:r>
                </w:p>
              </w:tc>
              <w:tc>
                <w:tcPr>
                  <w:tcW w:w="1269" w:type="dxa"/>
                  <w:tcBorders>
                    <w:tl2br w:val="nil"/>
                    <w:tr2bl w:val="nil"/>
                  </w:tcBorders>
                  <w:vAlign w:val="center"/>
                </w:tcPr>
                <w:p w14:paraId="13F9065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颗粒物</w:t>
                  </w:r>
                </w:p>
              </w:tc>
              <w:tc>
                <w:tcPr>
                  <w:tcW w:w="877" w:type="dxa"/>
                  <w:vMerge w:val="restart"/>
                  <w:tcBorders>
                    <w:tl2br w:val="nil"/>
                    <w:tr2bl w:val="nil"/>
                  </w:tcBorders>
                  <w:vAlign w:val="center"/>
                </w:tcPr>
                <w:p w14:paraId="6F959BC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有组织</w:t>
                  </w:r>
                </w:p>
              </w:tc>
              <w:tc>
                <w:tcPr>
                  <w:tcW w:w="1339" w:type="dxa"/>
                  <w:vMerge w:val="restart"/>
                  <w:tcBorders>
                    <w:tl2br w:val="nil"/>
                    <w:tr2bl w:val="nil"/>
                  </w:tcBorders>
                  <w:vAlign w:val="center"/>
                </w:tcPr>
                <w:p w14:paraId="588D58A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密闭收集+</w:t>
                  </w:r>
                  <w:r>
                    <w:rPr>
                      <w:rFonts w:hint="eastAsia" w:ascii="Times New Roman" w:hAnsi="Times New Roman" w:eastAsia="宋体" w:cs="Times New Roman"/>
                      <w:b w:val="0"/>
                      <w:bCs w:val="0"/>
                      <w:color w:val="auto"/>
                      <w:sz w:val="21"/>
                      <w:szCs w:val="21"/>
                      <w:vertAlign w:val="baseline"/>
                      <w:lang w:val="en-US" w:eastAsia="zh-CN"/>
                    </w:rPr>
                    <w:t>高温</w:t>
                  </w:r>
                  <w:r>
                    <w:rPr>
                      <w:rFonts w:hint="default" w:ascii="Times New Roman" w:hAnsi="Times New Roman" w:eastAsia="宋体" w:cs="Times New Roman"/>
                      <w:b w:val="0"/>
                      <w:bCs w:val="0"/>
                      <w:color w:val="auto"/>
                      <w:sz w:val="21"/>
                      <w:szCs w:val="21"/>
                      <w:vertAlign w:val="baseline"/>
                      <w:lang w:val="en-US" w:eastAsia="zh-CN"/>
                    </w:rPr>
                    <w:t>布袋除尘器（TA00</w:t>
                  </w:r>
                  <w:r>
                    <w:rPr>
                      <w:rFonts w:hint="eastAsia" w:ascii="Times New Roman" w:hAnsi="Times New Roman" w:eastAsia="宋体" w:cs="Times New Roman"/>
                      <w:b w:val="0"/>
                      <w:bCs w:val="0"/>
                      <w:color w:val="auto"/>
                      <w:sz w:val="21"/>
                      <w:szCs w:val="21"/>
                      <w:vertAlign w:val="baseline"/>
                      <w:lang w:val="en-US" w:eastAsia="zh-CN"/>
                    </w:rPr>
                    <w:t>4</w:t>
                  </w:r>
                  <w:r>
                    <w:rPr>
                      <w:rFonts w:hint="default"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15</w:t>
                  </w:r>
                  <w:r>
                    <w:rPr>
                      <w:rFonts w:hint="default" w:ascii="Times New Roman" w:hAnsi="Times New Roman" w:eastAsia="宋体" w:cs="Times New Roman"/>
                      <w:b w:val="0"/>
                      <w:bCs w:val="0"/>
                      <w:color w:val="auto"/>
                      <w:sz w:val="21"/>
                      <w:szCs w:val="21"/>
                      <w:vertAlign w:val="baseline"/>
                      <w:lang w:val="en-US" w:eastAsia="zh-CN"/>
                    </w:rPr>
                    <w:t>m高排气筒（DA00</w:t>
                  </w:r>
                  <w:r>
                    <w:rPr>
                      <w:rFonts w:hint="eastAsia" w:ascii="Times New Roman" w:hAnsi="Times New Roman" w:eastAsia="宋体" w:cs="Times New Roman"/>
                      <w:b w:val="0"/>
                      <w:bCs w:val="0"/>
                      <w:color w:val="auto"/>
                      <w:sz w:val="21"/>
                      <w:szCs w:val="21"/>
                      <w:vertAlign w:val="baseline"/>
                      <w:lang w:val="en-US" w:eastAsia="zh-CN"/>
                    </w:rPr>
                    <w:t>4</w:t>
                  </w:r>
                  <w:r>
                    <w:rPr>
                      <w:rFonts w:hint="default" w:ascii="Times New Roman" w:hAnsi="Times New Roman" w:eastAsia="宋体" w:cs="Times New Roman"/>
                      <w:b w:val="0"/>
                      <w:bCs w:val="0"/>
                      <w:color w:val="auto"/>
                      <w:sz w:val="21"/>
                      <w:szCs w:val="21"/>
                      <w:vertAlign w:val="baseline"/>
                      <w:lang w:val="en-US" w:eastAsia="zh-CN"/>
                    </w:rPr>
                    <w:t>）</w:t>
                  </w:r>
                </w:p>
              </w:tc>
              <w:tc>
                <w:tcPr>
                  <w:tcW w:w="923" w:type="dxa"/>
                  <w:vMerge w:val="restart"/>
                  <w:tcBorders>
                    <w:tl2br w:val="nil"/>
                    <w:tr2bl w:val="nil"/>
                  </w:tcBorders>
                  <w:vAlign w:val="center"/>
                </w:tcPr>
                <w:p w14:paraId="589709C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95</w:t>
                  </w:r>
                </w:p>
              </w:tc>
              <w:tc>
                <w:tcPr>
                  <w:tcW w:w="1292" w:type="dxa"/>
                  <w:tcBorders>
                    <w:tl2br w:val="nil"/>
                    <w:tr2bl w:val="nil"/>
                  </w:tcBorders>
                  <w:vAlign w:val="center"/>
                </w:tcPr>
                <w:p w14:paraId="6479B23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99.7</w:t>
                  </w:r>
                </w:p>
              </w:tc>
              <w:tc>
                <w:tcPr>
                  <w:tcW w:w="764" w:type="dxa"/>
                  <w:vMerge w:val="restart"/>
                  <w:tcBorders>
                    <w:tl2br w:val="nil"/>
                    <w:tr2bl w:val="nil"/>
                  </w:tcBorders>
                  <w:vAlign w:val="center"/>
                </w:tcPr>
                <w:p w14:paraId="64465C4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是</w:t>
                  </w:r>
                </w:p>
              </w:tc>
            </w:tr>
            <w:tr w14:paraId="215363A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1" w:type="dxa"/>
                  <w:vMerge w:val="restart"/>
                  <w:tcBorders>
                    <w:tl2br w:val="nil"/>
                    <w:tr2bl w:val="nil"/>
                  </w:tcBorders>
                  <w:vAlign w:val="center"/>
                </w:tcPr>
                <w:p w14:paraId="3445A8C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热风炉天然气燃烧废气</w:t>
                  </w:r>
                </w:p>
              </w:tc>
              <w:tc>
                <w:tcPr>
                  <w:tcW w:w="1269" w:type="dxa"/>
                  <w:tcBorders>
                    <w:tl2br w:val="nil"/>
                    <w:tr2bl w:val="nil"/>
                  </w:tcBorders>
                  <w:shd w:val="clear" w:color="auto" w:fill="auto"/>
                  <w:vAlign w:val="center"/>
                </w:tcPr>
                <w:p w14:paraId="1C5F01D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颗粒物</w:t>
                  </w:r>
                </w:p>
              </w:tc>
              <w:tc>
                <w:tcPr>
                  <w:tcW w:w="877" w:type="dxa"/>
                  <w:vMerge w:val="continue"/>
                  <w:tcBorders>
                    <w:tl2br w:val="nil"/>
                    <w:tr2bl w:val="nil"/>
                  </w:tcBorders>
                  <w:vAlign w:val="center"/>
                </w:tcPr>
                <w:p w14:paraId="5FB4886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39" w:type="dxa"/>
                  <w:vMerge w:val="continue"/>
                  <w:tcBorders>
                    <w:tl2br w:val="nil"/>
                    <w:tr2bl w:val="nil"/>
                  </w:tcBorders>
                  <w:vAlign w:val="center"/>
                </w:tcPr>
                <w:p w14:paraId="2B55F40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923" w:type="dxa"/>
                  <w:vMerge w:val="continue"/>
                  <w:tcBorders>
                    <w:tl2br w:val="nil"/>
                    <w:tr2bl w:val="nil"/>
                  </w:tcBorders>
                  <w:vAlign w:val="center"/>
                </w:tcPr>
                <w:p w14:paraId="07CB9B2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92" w:type="dxa"/>
                  <w:tcBorders>
                    <w:tl2br w:val="nil"/>
                    <w:tr2bl w:val="nil"/>
                  </w:tcBorders>
                  <w:vAlign w:val="center"/>
                </w:tcPr>
                <w:p w14:paraId="118AA6D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99.7</w:t>
                  </w:r>
                </w:p>
              </w:tc>
              <w:tc>
                <w:tcPr>
                  <w:tcW w:w="764" w:type="dxa"/>
                  <w:vMerge w:val="continue"/>
                  <w:tcBorders>
                    <w:tl2br w:val="nil"/>
                    <w:tr2bl w:val="nil"/>
                  </w:tcBorders>
                  <w:vAlign w:val="center"/>
                </w:tcPr>
                <w:p w14:paraId="72245E0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519763E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1" w:type="dxa"/>
                  <w:vMerge w:val="continue"/>
                  <w:tcBorders>
                    <w:tl2br w:val="nil"/>
                    <w:tr2bl w:val="nil"/>
                  </w:tcBorders>
                  <w:vAlign w:val="center"/>
                </w:tcPr>
                <w:p w14:paraId="68EE6A2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69" w:type="dxa"/>
                  <w:tcBorders>
                    <w:tl2br w:val="nil"/>
                    <w:tr2bl w:val="nil"/>
                  </w:tcBorders>
                  <w:shd w:val="clear" w:color="auto" w:fill="auto"/>
                  <w:vAlign w:val="center"/>
                </w:tcPr>
                <w:p w14:paraId="5CEE73F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NO</w:t>
                  </w:r>
                  <w:r>
                    <w:rPr>
                      <w:rFonts w:hint="eastAsia" w:ascii="Times New Roman" w:hAnsi="Times New Roman" w:eastAsia="宋体" w:cs="Times New Roman"/>
                      <w:b w:val="0"/>
                      <w:bCs w:val="0"/>
                      <w:color w:val="auto"/>
                      <w:sz w:val="21"/>
                      <w:szCs w:val="21"/>
                      <w:vertAlign w:val="subscript"/>
                      <w:lang w:val="en-US" w:eastAsia="zh-CN"/>
                    </w:rPr>
                    <w:t>x</w:t>
                  </w:r>
                </w:p>
              </w:tc>
              <w:tc>
                <w:tcPr>
                  <w:tcW w:w="877" w:type="dxa"/>
                  <w:vMerge w:val="continue"/>
                  <w:tcBorders>
                    <w:tl2br w:val="nil"/>
                    <w:tr2bl w:val="nil"/>
                  </w:tcBorders>
                  <w:vAlign w:val="center"/>
                </w:tcPr>
                <w:p w14:paraId="53132C7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39" w:type="dxa"/>
                  <w:vMerge w:val="continue"/>
                  <w:tcBorders>
                    <w:tl2br w:val="nil"/>
                    <w:tr2bl w:val="nil"/>
                  </w:tcBorders>
                  <w:vAlign w:val="center"/>
                </w:tcPr>
                <w:p w14:paraId="228BF96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923" w:type="dxa"/>
                  <w:vMerge w:val="continue"/>
                  <w:tcBorders>
                    <w:tl2br w:val="nil"/>
                    <w:tr2bl w:val="nil"/>
                  </w:tcBorders>
                  <w:vAlign w:val="center"/>
                </w:tcPr>
                <w:p w14:paraId="3A3EF3D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92" w:type="dxa"/>
                  <w:tcBorders>
                    <w:tl2br w:val="nil"/>
                    <w:tr2bl w:val="nil"/>
                  </w:tcBorders>
                  <w:vAlign w:val="center"/>
                </w:tcPr>
                <w:p w14:paraId="48F5255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764" w:type="dxa"/>
                  <w:vMerge w:val="continue"/>
                  <w:tcBorders>
                    <w:tl2br w:val="nil"/>
                    <w:tr2bl w:val="nil"/>
                  </w:tcBorders>
                  <w:vAlign w:val="center"/>
                </w:tcPr>
                <w:p w14:paraId="2BFF7C0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3ABE95B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1" w:type="dxa"/>
                  <w:vMerge w:val="continue"/>
                  <w:tcBorders>
                    <w:tl2br w:val="nil"/>
                    <w:tr2bl w:val="nil"/>
                  </w:tcBorders>
                  <w:vAlign w:val="center"/>
                </w:tcPr>
                <w:p w14:paraId="51B6305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69" w:type="dxa"/>
                  <w:tcBorders>
                    <w:tl2br w:val="nil"/>
                    <w:tr2bl w:val="nil"/>
                  </w:tcBorders>
                  <w:shd w:val="clear" w:color="auto" w:fill="auto"/>
                  <w:vAlign w:val="center"/>
                </w:tcPr>
                <w:p w14:paraId="2DA7BB3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SO</w:t>
                  </w:r>
                  <w:r>
                    <w:rPr>
                      <w:rFonts w:hint="eastAsia" w:ascii="Times New Roman" w:hAnsi="Times New Roman" w:eastAsia="宋体" w:cs="Times New Roman"/>
                      <w:b w:val="0"/>
                      <w:bCs w:val="0"/>
                      <w:color w:val="auto"/>
                      <w:sz w:val="21"/>
                      <w:szCs w:val="21"/>
                      <w:vertAlign w:val="subscript"/>
                      <w:lang w:val="en-US" w:eastAsia="zh-CN"/>
                    </w:rPr>
                    <w:t>2</w:t>
                  </w:r>
                </w:p>
              </w:tc>
              <w:tc>
                <w:tcPr>
                  <w:tcW w:w="877" w:type="dxa"/>
                  <w:vMerge w:val="continue"/>
                  <w:tcBorders>
                    <w:tl2br w:val="nil"/>
                    <w:tr2bl w:val="nil"/>
                  </w:tcBorders>
                  <w:vAlign w:val="center"/>
                </w:tcPr>
                <w:p w14:paraId="6DC676C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39" w:type="dxa"/>
                  <w:vMerge w:val="continue"/>
                  <w:tcBorders>
                    <w:tl2br w:val="nil"/>
                    <w:tr2bl w:val="nil"/>
                  </w:tcBorders>
                  <w:vAlign w:val="center"/>
                </w:tcPr>
                <w:p w14:paraId="60CCC7E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923" w:type="dxa"/>
                  <w:vMerge w:val="continue"/>
                  <w:tcBorders>
                    <w:tl2br w:val="nil"/>
                    <w:tr2bl w:val="nil"/>
                  </w:tcBorders>
                  <w:vAlign w:val="center"/>
                </w:tcPr>
                <w:p w14:paraId="1B1339B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92" w:type="dxa"/>
                  <w:tcBorders>
                    <w:tl2br w:val="nil"/>
                    <w:tr2bl w:val="nil"/>
                  </w:tcBorders>
                  <w:vAlign w:val="center"/>
                </w:tcPr>
                <w:p w14:paraId="0D50E87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764" w:type="dxa"/>
                  <w:vMerge w:val="continue"/>
                  <w:tcBorders>
                    <w:tl2br w:val="nil"/>
                    <w:tr2bl w:val="nil"/>
                  </w:tcBorders>
                  <w:vAlign w:val="center"/>
                </w:tcPr>
                <w:p w14:paraId="32769BB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1D56AB4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1" w:type="dxa"/>
                  <w:tcBorders>
                    <w:tl2br w:val="nil"/>
                    <w:tr2bl w:val="nil"/>
                  </w:tcBorders>
                  <w:vAlign w:val="center"/>
                </w:tcPr>
                <w:p w14:paraId="115349F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投料粉尘、破碎粉尘、筛分粉尘</w:t>
                  </w:r>
                </w:p>
              </w:tc>
              <w:tc>
                <w:tcPr>
                  <w:tcW w:w="1269" w:type="dxa"/>
                  <w:tcBorders>
                    <w:tl2br w:val="nil"/>
                    <w:tr2bl w:val="nil"/>
                  </w:tcBorders>
                  <w:vAlign w:val="center"/>
                </w:tcPr>
                <w:p w14:paraId="33FE52D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颗粒物</w:t>
                  </w:r>
                </w:p>
              </w:tc>
              <w:tc>
                <w:tcPr>
                  <w:tcW w:w="877" w:type="dxa"/>
                  <w:tcBorders>
                    <w:tl2br w:val="nil"/>
                    <w:tr2bl w:val="nil"/>
                  </w:tcBorders>
                  <w:vAlign w:val="center"/>
                </w:tcPr>
                <w:p w14:paraId="0A5079C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有组织</w:t>
                  </w:r>
                </w:p>
              </w:tc>
              <w:tc>
                <w:tcPr>
                  <w:tcW w:w="1339" w:type="dxa"/>
                  <w:tcBorders>
                    <w:tl2br w:val="nil"/>
                    <w:tr2bl w:val="nil"/>
                  </w:tcBorders>
                  <w:vAlign w:val="center"/>
                </w:tcPr>
                <w:p w14:paraId="107BFCA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集气罩+</w:t>
                  </w:r>
                  <w:r>
                    <w:rPr>
                      <w:rFonts w:hint="default" w:ascii="Times New Roman" w:hAnsi="Times New Roman" w:eastAsia="宋体" w:cs="Times New Roman"/>
                      <w:b w:val="0"/>
                      <w:bCs w:val="0"/>
                      <w:color w:val="auto"/>
                      <w:sz w:val="21"/>
                      <w:szCs w:val="21"/>
                      <w:vertAlign w:val="baseline"/>
                      <w:lang w:val="en-US" w:eastAsia="zh-CN"/>
                    </w:rPr>
                    <w:t>布袋除尘器（TA005）+15m高排气筒（DA005）</w:t>
                  </w:r>
                </w:p>
              </w:tc>
              <w:tc>
                <w:tcPr>
                  <w:tcW w:w="923" w:type="dxa"/>
                  <w:tcBorders>
                    <w:tl2br w:val="nil"/>
                    <w:tr2bl w:val="nil"/>
                  </w:tcBorders>
                  <w:vAlign w:val="center"/>
                </w:tcPr>
                <w:p w14:paraId="16F0593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90</w:t>
                  </w:r>
                </w:p>
              </w:tc>
              <w:tc>
                <w:tcPr>
                  <w:tcW w:w="1292" w:type="dxa"/>
                  <w:tcBorders>
                    <w:tl2br w:val="nil"/>
                    <w:tr2bl w:val="nil"/>
                  </w:tcBorders>
                  <w:vAlign w:val="center"/>
                </w:tcPr>
                <w:p w14:paraId="69F0A3A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99.7</w:t>
                  </w:r>
                </w:p>
              </w:tc>
              <w:tc>
                <w:tcPr>
                  <w:tcW w:w="764" w:type="dxa"/>
                  <w:tcBorders>
                    <w:tl2br w:val="nil"/>
                    <w:tr2bl w:val="nil"/>
                  </w:tcBorders>
                  <w:vAlign w:val="center"/>
                </w:tcPr>
                <w:p w14:paraId="04DFA80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是</w:t>
                  </w:r>
                </w:p>
              </w:tc>
            </w:tr>
            <w:tr w14:paraId="13FCCC4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1" w:type="dxa"/>
                  <w:vMerge w:val="restart"/>
                  <w:tcBorders>
                    <w:tl2br w:val="nil"/>
                    <w:tr2bl w:val="nil"/>
                  </w:tcBorders>
                  <w:vAlign w:val="center"/>
                </w:tcPr>
                <w:p w14:paraId="5B386AD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导热油炉天然气燃烧废气</w:t>
                  </w:r>
                </w:p>
              </w:tc>
              <w:tc>
                <w:tcPr>
                  <w:tcW w:w="1269" w:type="dxa"/>
                  <w:tcBorders>
                    <w:tl2br w:val="nil"/>
                    <w:tr2bl w:val="nil"/>
                  </w:tcBorders>
                  <w:vAlign w:val="center"/>
                </w:tcPr>
                <w:p w14:paraId="1020E80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颗粒物</w:t>
                  </w:r>
                </w:p>
              </w:tc>
              <w:tc>
                <w:tcPr>
                  <w:tcW w:w="877" w:type="dxa"/>
                  <w:vMerge w:val="restart"/>
                  <w:tcBorders>
                    <w:tl2br w:val="nil"/>
                    <w:tr2bl w:val="nil"/>
                  </w:tcBorders>
                  <w:vAlign w:val="center"/>
                </w:tcPr>
                <w:p w14:paraId="4AA0CFC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有组织</w:t>
                  </w:r>
                </w:p>
              </w:tc>
              <w:tc>
                <w:tcPr>
                  <w:tcW w:w="1339" w:type="dxa"/>
                  <w:vMerge w:val="restart"/>
                  <w:tcBorders>
                    <w:tl2br w:val="nil"/>
                    <w:tr2bl w:val="nil"/>
                  </w:tcBorders>
                  <w:vAlign w:val="center"/>
                </w:tcPr>
                <w:p w14:paraId="7D0C757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低氮燃烧（TA003）+13m高排气筒（DA003）</w:t>
                  </w:r>
                </w:p>
              </w:tc>
              <w:tc>
                <w:tcPr>
                  <w:tcW w:w="923" w:type="dxa"/>
                  <w:vMerge w:val="restart"/>
                  <w:tcBorders>
                    <w:tl2br w:val="nil"/>
                    <w:tr2bl w:val="nil"/>
                  </w:tcBorders>
                  <w:vAlign w:val="center"/>
                </w:tcPr>
                <w:p w14:paraId="0E31D72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100</w:t>
                  </w:r>
                </w:p>
              </w:tc>
              <w:tc>
                <w:tcPr>
                  <w:tcW w:w="1292" w:type="dxa"/>
                  <w:vMerge w:val="restart"/>
                  <w:tcBorders>
                    <w:tl2br w:val="nil"/>
                    <w:tr2bl w:val="nil"/>
                  </w:tcBorders>
                  <w:vAlign w:val="center"/>
                </w:tcPr>
                <w:p w14:paraId="3E4989C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764" w:type="dxa"/>
                  <w:vMerge w:val="restart"/>
                  <w:tcBorders>
                    <w:tl2br w:val="nil"/>
                    <w:tr2bl w:val="nil"/>
                  </w:tcBorders>
                  <w:vAlign w:val="center"/>
                </w:tcPr>
                <w:p w14:paraId="2BE61BC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是</w:t>
                  </w:r>
                </w:p>
              </w:tc>
            </w:tr>
            <w:tr w14:paraId="48A8533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1" w:type="dxa"/>
                  <w:vMerge w:val="continue"/>
                  <w:tcBorders>
                    <w:tl2br w:val="nil"/>
                    <w:tr2bl w:val="nil"/>
                  </w:tcBorders>
                  <w:vAlign w:val="center"/>
                </w:tcPr>
                <w:p w14:paraId="7D54D08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69" w:type="dxa"/>
                  <w:tcBorders>
                    <w:tl2br w:val="nil"/>
                    <w:tr2bl w:val="nil"/>
                  </w:tcBorders>
                  <w:vAlign w:val="center"/>
                </w:tcPr>
                <w:p w14:paraId="07FBC87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NO</w:t>
                  </w:r>
                  <w:r>
                    <w:rPr>
                      <w:rFonts w:hint="eastAsia" w:ascii="Times New Roman" w:hAnsi="Times New Roman" w:eastAsia="宋体" w:cs="Times New Roman"/>
                      <w:b w:val="0"/>
                      <w:bCs w:val="0"/>
                      <w:color w:val="auto"/>
                      <w:sz w:val="21"/>
                      <w:szCs w:val="21"/>
                      <w:vertAlign w:val="subscript"/>
                      <w:lang w:val="en-US" w:eastAsia="zh-CN"/>
                    </w:rPr>
                    <w:t>x</w:t>
                  </w:r>
                </w:p>
              </w:tc>
              <w:tc>
                <w:tcPr>
                  <w:tcW w:w="877" w:type="dxa"/>
                  <w:vMerge w:val="continue"/>
                  <w:tcBorders>
                    <w:tl2br w:val="nil"/>
                    <w:tr2bl w:val="nil"/>
                  </w:tcBorders>
                  <w:vAlign w:val="center"/>
                </w:tcPr>
                <w:p w14:paraId="304A452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39" w:type="dxa"/>
                  <w:vMerge w:val="continue"/>
                  <w:tcBorders>
                    <w:tl2br w:val="nil"/>
                    <w:tr2bl w:val="nil"/>
                  </w:tcBorders>
                  <w:vAlign w:val="center"/>
                </w:tcPr>
                <w:p w14:paraId="1C07DFA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923" w:type="dxa"/>
                  <w:vMerge w:val="continue"/>
                  <w:tcBorders>
                    <w:tl2br w:val="nil"/>
                    <w:tr2bl w:val="nil"/>
                  </w:tcBorders>
                  <w:vAlign w:val="center"/>
                </w:tcPr>
                <w:p w14:paraId="3B90B48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92" w:type="dxa"/>
                  <w:vMerge w:val="continue"/>
                  <w:tcBorders>
                    <w:tl2br w:val="nil"/>
                    <w:tr2bl w:val="nil"/>
                  </w:tcBorders>
                  <w:vAlign w:val="center"/>
                </w:tcPr>
                <w:p w14:paraId="0906D55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64" w:type="dxa"/>
                  <w:vMerge w:val="continue"/>
                  <w:tcBorders>
                    <w:tl2br w:val="nil"/>
                    <w:tr2bl w:val="nil"/>
                  </w:tcBorders>
                  <w:vAlign w:val="center"/>
                </w:tcPr>
                <w:p w14:paraId="58BC1DD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725C590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1" w:type="dxa"/>
                  <w:vMerge w:val="continue"/>
                  <w:tcBorders>
                    <w:tl2br w:val="nil"/>
                    <w:tr2bl w:val="nil"/>
                  </w:tcBorders>
                  <w:vAlign w:val="center"/>
                </w:tcPr>
                <w:p w14:paraId="119E305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69" w:type="dxa"/>
                  <w:tcBorders>
                    <w:tl2br w:val="nil"/>
                    <w:tr2bl w:val="nil"/>
                  </w:tcBorders>
                  <w:vAlign w:val="center"/>
                </w:tcPr>
                <w:p w14:paraId="672C666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SO</w:t>
                  </w:r>
                  <w:r>
                    <w:rPr>
                      <w:rFonts w:hint="eastAsia" w:ascii="Times New Roman" w:hAnsi="Times New Roman" w:eastAsia="宋体" w:cs="Times New Roman"/>
                      <w:b w:val="0"/>
                      <w:bCs w:val="0"/>
                      <w:color w:val="auto"/>
                      <w:sz w:val="21"/>
                      <w:szCs w:val="21"/>
                      <w:vertAlign w:val="subscript"/>
                      <w:lang w:val="en-US" w:eastAsia="zh-CN"/>
                    </w:rPr>
                    <w:t>2</w:t>
                  </w:r>
                </w:p>
              </w:tc>
              <w:tc>
                <w:tcPr>
                  <w:tcW w:w="877" w:type="dxa"/>
                  <w:vMerge w:val="continue"/>
                  <w:tcBorders>
                    <w:tl2br w:val="nil"/>
                    <w:tr2bl w:val="nil"/>
                  </w:tcBorders>
                  <w:vAlign w:val="center"/>
                </w:tcPr>
                <w:p w14:paraId="2528420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39" w:type="dxa"/>
                  <w:vMerge w:val="continue"/>
                  <w:tcBorders>
                    <w:tl2br w:val="nil"/>
                    <w:tr2bl w:val="nil"/>
                  </w:tcBorders>
                  <w:vAlign w:val="center"/>
                </w:tcPr>
                <w:p w14:paraId="3DE978B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923" w:type="dxa"/>
                  <w:vMerge w:val="continue"/>
                  <w:tcBorders>
                    <w:tl2br w:val="nil"/>
                    <w:tr2bl w:val="nil"/>
                  </w:tcBorders>
                  <w:vAlign w:val="center"/>
                </w:tcPr>
                <w:p w14:paraId="2AC49E9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92" w:type="dxa"/>
                  <w:vMerge w:val="continue"/>
                  <w:tcBorders>
                    <w:tl2br w:val="nil"/>
                    <w:tr2bl w:val="nil"/>
                  </w:tcBorders>
                  <w:vAlign w:val="center"/>
                </w:tcPr>
                <w:p w14:paraId="0946A06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64" w:type="dxa"/>
                  <w:vMerge w:val="continue"/>
                  <w:tcBorders>
                    <w:tl2br w:val="nil"/>
                    <w:tr2bl w:val="nil"/>
                  </w:tcBorders>
                  <w:vAlign w:val="center"/>
                </w:tcPr>
                <w:p w14:paraId="0AE0E1B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290FD99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1" w:type="dxa"/>
                  <w:tcBorders>
                    <w:tl2br w:val="nil"/>
                    <w:tr2bl w:val="nil"/>
                  </w:tcBorders>
                  <w:vAlign w:val="center"/>
                </w:tcPr>
                <w:p w14:paraId="037C519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食堂油烟</w:t>
                  </w:r>
                </w:p>
              </w:tc>
              <w:tc>
                <w:tcPr>
                  <w:tcW w:w="1269" w:type="dxa"/>
                  <w:tcBorders>
                    <w:tl2br w:val="nil"/>
                    <w:tr2bl w:val="nil"/>
                  </w:tcBorders>
                  <w:vAlign w:val="center"/>
                </w:tcPr>
                <w:p w14:paraId="32C0482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食堂油烟</w:t>
                  </w:r>
                </w:p>
              </w:tc>
              <w:tc>
                <w:tcPr>
                  <w:tcW w:w="877" w:type="dxa"/>
                  <w:tcBorders>
                    <w:tl2br w:val="nil"/>
                    <w:tr2bl w:val="nil"/>
                  </w:tcBorders>
                  <w:vAlign w:val="center"/>
                </w:tcPr>
                <w:p w14:paraId="62A2DA2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有组织</w:t>
                  </w:r>
                </w:p>
              </w:tc>
              <w:tc>
                <w:tcPr>
                  <w:tcW w:w="1339" w:type="dxa"/>
                  <w:tcBorders>
                    <w:tl2br w:val="nil"/>
                    <w:tr2bl w:val="nil"/>
                  </w:tcBorders>
                  <w:vAlign w:val="center"/>
                </w:tcPr>
                <w:p w14:paraId="76E9BD4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油烟净化器（TA006）+楼顶排气筒（DA006）</w:t>
                  </w:r>
                </w:p>
              </w:tc>
              <w:tc>
                <w:tcPr>
                  <w:tcW w:w="923" w:type="dxa"/>
                  <w:tcBorders>
                    <w:tl2br w:val="nil"/>
                    <w:tr2bl w:val="nil"/>
                  </w:tcBorders>
                  <w:vAlign w:val="center"/>
                </w:tcPr>
                <w:p w14:paraId="5B5285F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90</w:t>
                  </w:r>
                </w:p>
              </w:tc>
              <w:tc>
                <w:tcPr>
                  <w:tcW w:w="1292" w:type="dxa"/>
                  <w:tcBorders>
                    <w:tl2br w:val="nil"/>
                    <w:tr2bl w:val="nil"/>
                  </w:tcBorders>
                  <w:vAlign w:val="center"/>
                </w:tcPr>
                <w:p w14:paraId="4F76C54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70</w:t>
                  </w:r>
                </w:p>
              </w:tc>
              <w:tc>
                <w:tcPr>
                  <w:tcW w:w="764" w:type="dxa"/>
                  <w:tcBorders>
                    <w:tl2br w:val="nil"/>
                    <w:tr2bl w:val="nil"/>
                  </w:tcBorders>
                  <w:vAlign w:val="center"/>
                </w:tcPr>
                <w:p w14:paraId="415B661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是</w:t>
                  </w:r>
                </w:p>
              </w:tc>
            </w:tr>
            <w:tr w14:paraId="75774B0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1" w:type="dxa"/>
                  <w:tcBorders>
                    <w:tl2br w:val="nil"/>
                    <w:tr2bl w:val="nil"/>
                  </w:tcBorders>
                  <w:shd w:val="clear" w:color="auto" w:fill="auto"/>
                  <w:vAlign w:val="center"/>
                </w:tcPr>
                <w:p w14:paraId="20D4D47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成品煤粉仓储罐粉尘</w:t>
                  </w:r>
                </w:p>
              </w:tc>
              <w:tc>
                <w:tcPr>
                  <w:tcW w:w="1269" w:type="dxa"/>
                  <w:tcBorders>
                    <w:tl2br w:val="nil"/>
                    <w:tr2bl w:val="nil"/>
                  </w:tcBorders>
                  <w:shd w:val="clear" w:color="auto" w:fill="auto"/>
                  <w:vAlign w:val="center"/>
                </w:tcPr>
                <w:p w14:paraId="6FB7E8F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颗粒物</w:t>
                  </w:r>
                </w:p>
              </w:tc>
              <w:tc>
                <w:tcPr>
                  <w:tcW w:w="877" w:type="dxa"/>
                  <w:tcBorders>
                    <w:tl2br w:val="nil"/>
                    <w:tr2bl w:val="nil"/>
                  </w:tcBorders>
                  <w:shd w:val="clear" w:color="auto" w:fill="auto"/>
                  <w:vAlign w:val="center"/>
                </w:tcPr>
                <w:p w14:paraId="6C7DD88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无组织</w:t>
                  </w:r>
                </w:p>
              </w:tc>
              <w:tc>
                <w:tcPr>
                  <w:tcW w:w="1339" w:type="dxa"/>
                  <w:tcBorders>
                    <w:tl2br w:val="nil"/>
                    <w:tr2bl w:val="nil"/>
                  </w:tcBorders>
                  <w:shd w:val="clear" w:color="auto" w:fill="auto"/>
                  <w:vAlign w:val="center"/>
                </w:tcPr>
                <w:p w14:paraId="5233467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筒仓自带布袋除尘</w:t>
                  </w:r>
                </w:p>
              </w:tc>
              <w:tc>
                <w:tcPr>
                  <w:tcW w:w="923" w:type="dxa"/>
                  <w:tcBorders>
                    <w:tl2br w:val="nil"/>
                    <w:tr2bl w:val="nil"/>
                  </w:tcBorders>
                  <w:shd w:val="clear" w:color="auto" w:fill="auto"/>
                  <w:vAlign w:val="center"/>
                </w:tcPr>
                <w:p w14:paraId="24E6426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100</w:t>
                  </w:r>
                </w:p>
              </w:tc>
              <w:tc>
                <w:tcPr>
                  <w:tcW w:w="1292" w:type="dxa"/>
                  <w:tcBorders>
                    <w:tl2br w:val="nil"/>
                    <w:tr2bl w:val="nil"/>
                  </w:tcBorders>
                  <w:shd w:val="clear" w:color="auto" w:fill="auto"/>
                  <w:vAlign w:val="center"/>
                </w:tcPr>
                <w:p w14:paraId="76D90BE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布袋99.7%、封闭厂房99%、喷雾降尘74%</w:t>
                  </w:r>
                </w:p>
              </w:tc>
              <w:tc>
                <w:tcPr>
                  <w:tcW w:w="764" w:type="dxa"/>
                  <w:tcBorders>
                    <w:tl2br w:val="nil"/>
                    <w:tr2bl w:val="nil"/>
                  </w:tcBorders>
                  <w:shd w:val="clear" w:color="auto" w:fill="auto"/>
                  <w:vAlign w:val="center"/>
                </w:tcPr>
                <w:p w14:paraId="67B7734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是</w:t>
                  </w:r>
                </w:p>
              </w:tc>
            </w:tr>
            <w:tr w14:paraId="40C1393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1" w:type="dxa"/>
                  <w:tcBorders>
                    <w:tl2br w:val="nil"/>
                    <w:tr2bl w:val="nil"/>
                  </w:tcBorders>
                  <w:vAlign w:val="center"/>
                </w:tcPr>
                <w:p w14:paraId="21F403F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投料粉尘</w:t>
                  </w:r>
                </w:p>
              </w:tc>
              <w:tc>
                <w:tcPr>
                  <w:tcW w:w="1269" w:type="dxa"/>
                  <w:tcBorders>
                    <w:tl2br w:val="nil"/>
                    <w:tr2bl w:val="nil"/>
                  </w:tcBorders>
                  <w:vAlign w:val="center"/>
                </w:tcPr>
                <w:p w14:paraId="7C7780F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颗粒物</w:t>
                  </w:r>
                </w:p>
              </w:tc>
              <w:tc>
                <w:tcPr>
                  <w:tcW w:w="877" w:type="dxa"/>
                  <w:tcBorders>
                    <w:tl2br w:val="nil"/>
                    <w:tr2bl w:val="nil"/>
                  </w:tcBorders>
                  <w:vAlign w:val="center"/>
                </w:tcPr>
                <w:p w14:paraId="21EC783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无组织</w:t>
                  </w:r>
                </w:p>
              </w:tc>
              <w:tc>
                <w:tcPr>
                  <w:tcW w:w="1339" w:type="dxa"/>
                  <w:tcBorders>
                    <w:tl2br w:val="nil"/>
                    <w:tr2bl w:val="nil"/>
                  </w:tcBorders>
                  <w:vAlign w:val="center"/>
                </w:tcPr>
                <w:p w14:paraId="459F45A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封闭</w:t>
                  </w:r>
                  <w:r>
                    <w:rPr>
                      <w:rFonts w:hint="eastAsia" w:ascii="Times New Roman" w:hAnsi="Times New Roman" w:eastAsia="宋体" w:cs="Times New Roman"/>
                      <w:b w:val="0"/>
                      <w:bCs w:val="0"/>
                      <w:color w:val="auto"/>
                      <w:sz w:val="21"/>
                      <w:szCs w:val="21"/>
                      <w:vertAlign w:val="baseline"/>
                      <w:lang w:val="en-US" w:eastAsia="zh-CN"/>
                    </w:rPr>
                    <w:t>投料斗</w:t>
                  </w:r>
                  <w:r>
                    <w:rPr>
                      <w:rFonts w:hint="default" w:ascii="Times New Roman" w:hAnsi="Times New Roman" w:eastAsia="宋体" w:cs="Times New Roman"/>
                      <w:b w:val="0"/>
                      <w:bCs w:val="0"/>
                      <w:color w:val="auto"/>
                      <w:sz w:val="21"/>
                      <w:szCs w:val="21"/>
                      <w:vertAlign w:val="baseline"/>
                      <w:lang w:val="en-US" w:eastAsia="zh-CN"/>
                    </w:rPr>
                    <w:t>+喷雾降尘</w:t>
                  </w:r>
                </w:p>
              </w:tc>
              <w:tc>
                <w:tcPr>
                  <w:tcW w:w="923" w:type="dxa"/>
                  <w:tcBorders>
                    <w:tl2br w:val="nil"/>
                    <w:tr2bl w:val="nil"/>
                  </w:tcBorders>
                  <w:vAlign w:val="center"/>
                </w:tcPr>
                <w:p w14:paraId="6C57DD4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1292" w:type="dxa"/>
                  <w:tcBorders>
                    <w:tl2br w:val="nil"/>
                    <w:tr2bl w:val="nil"/>
                  </w:tcBorders>
                  <w:vAlign w:val="center"/>
                </w:tcPr>
                <w:p w14:paraId="41B8BC0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封闭投料斗99%、喷雾降尘74%</w:t>
                  </w:r>
                </w:p>
              </w:tc>
              <w:tc>
                <w:tcPr>
                  <w:tcW w:w="764" w:type="dxa"/>
                  <w:tcBorders>
                    <w:tl2br w:val="nil"/>
                    <w:tr2bl w:val="nil"/>
                  </w:tcBorders>
                  <w:vAlign w:val="center"/>
                </w:tcPr>
                <w:p w14:paraId="37C4A42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是</w:t>
                  </w:r>
                </w:p>
              </w:tc>
            </w:tr>
            <w:tr w14:paraId="519371A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1" w:type="dxa"/>
                  <w:tcBorders>
                    <w:tl2br w:val="nil"/>
                    <w:tr2bl w:val="nil"/>
                  </w:tcBorders>
                  <w:vAlign w:val="center"/>
                </w:tcPr>
                <w:p w14:paraId="052AA9F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装卸扬尘、堆场扬尘</w:t>
                  </w:r>
                </w:p>
              </w:tc>
              <w:tc>
                <w:tcPr>
                  <w:tcW w:w="1269" w:type="dxa"/>
                  <w:tcBorders>
                    <w:tl2br w:val="nil"/>
                    <w:tr2bl w:val="nil"/>
                  </w:tcBorders>
                  <w:vAlign w:val="center"/>
                </w:tcPr>
                <w:p w14:paraId="0C75DA7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颗粒物</w:t>
                  </w:r>
                </w:p>
              </w:tc>
              <w:tc>
                <w:tcPr>
                  <w:tcW w:w="877" w:type="dxa"/>
                  <w:tcBorders>
                    <w:tl2br w:val="nil"/>
                    <w:tr2bl w:val="nil"/>
                  </w:tcBorders>
                  <w:vAlign w:val="center"/>
                </w:tcPr>
                <w:p w14:paraId="5805EDD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无组织</w:t>
                  </w:r>
                </w:p>
              </w:tc>
              <w:tc>
                <w:tcPr>
                  <w:tcW w:w="1339" w:type="dxa"/>
                  <w:tcBorders>
                    <w:tl2br w:val="nil"/>
                    <w:tr2bl w:val="nil"/>
                  </w:tcBorders>
                  <w:vAlign w:val="center"/>
                </w:tcPr>
                <w:p w14:paraId="6CD416F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封闭厂房+喷雾降尘</w:t>
                  </w:r>
                </w:p>
              </w:tc>
              <w:tc>
                <w:tcPr>
                  <w:tcW w:w="923" w:type="dxa"/>
                  <w:tcBorders>
                    <w:tl2br w:val="nil"/>
                    <w:tr2bl w:val="nil"/>
                  </w:tcBorders>
                  <w:vAlign w:val="center"/>
                </w:tcPr>
                <w:p w14:paraId="170908A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292" w:type="dxa"/>
                  <w:tcBorders>
                    <w:tl2br w:val="nil"/>
                    <w:tr2bl w:val="nil"/>
                  </w:tcBorders>
                  <w:vAlign w:val="center"/>
                </w:tcPr>
                <w:p w14:paraId="6A27895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封闭厂房99%、喷雾降尘74%</w:t>
                  </w:r>
                </w:p>
              </w:tc>
              <w:tc>
                <w:tcPr>
                  <w:tcW w:w="764" w:type="dxa"/>
                  <w:tcBorders>
                    <w:tl2br w:val="nil"/>
                    <w:tr2bl w:val="nil"/>
                  </w:tcBorders>
                  <w:vAlign w:val="center"/>
                </w:tcPr>
                <w:p w14:paraId="4308B12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是</w:t>
                  </w:r>
                </w:p>
              </w:tc>
            </w:tr>
            <w:tr w14:paraId="4E0C570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1" w:type="dxa"/>
                  <w:tcBorders>
                    <w:tl2br w:val="nil"/>
                    <w:tr2bl w:val="nil"/>
                  </w:tcBorders>
                  <w:vAlign w:val="center"/>
                </w:tcPr>
                <w:p w14:paraId="79E4B62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粉料筒仓粉尘</w:t>
                  </w:r>
                </w:p>
              </w:tc>
              <w:tc>
                <w:tcPr>
                  <w:tcW w:w="1269" w:type="dxa"/>
                  <w:tcBorders>
                    <w:tl2br w:val="nil"/>
                    <w:tr2bl w:val="nil"/>
                  </w:tcBorders>
                  <w:vAlign w:val="center"/>
                </w:tcPr>
                <w:p w14:paraId="7896A3A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颗粒物</w:t>
                  </w:r>
                </w:p>
              </w:tc>
              <w:tc>
                <w:tcPr>
                  <w:tcW w:w="877" w:type="dxa"/>
                  <w:tcBorders>
                    <w:tl2br w:val="nil"/>
                    <w:tr2bl w:val="nil"/>
                  </w:tcBorders>
                  <w:shd w:val="clear" w:color="auto" w:fill="auto"/>
                  <w:vAlign w:val="center"/>
                </w:tcPr>
                <w:p w14:paraId="094F2C1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无组织</w:t>
                  </w:r>
                </w:p>
              </w:tc>
              <w:tc>
                <w:tcPr>
                  <w:tcW w:w="1339" w:type="dxa"/>
                  <w:tcBorders>
                    <w:tl2br w:val="nil"/>
                    <w:tr2bl w:val="nil"/>
                  </w:tcBorders>
                  <w:shd w:val="clear" w:color="auto" w:fill="auto"/>
                  <w:vAlign w:val="center"/>
                </w:tcPr>
                <w:p w14:paraId="3F46937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筒仓自带布袋除尘</w:t>
                  </w:r>
                </w:p>
              </w:tc>
              <w:tc>
                <w:tcPr>
                  <w:tcW w:w="923" w:type="dxa"/>
                  <w:tcBorders>
                    <w:tl2br w:val="nil"/>
                    <w:tr2bl w:val="nil"/>
                  </w:tcBorders>
                  <w:shd w:val="clear" w:color="auto" w:fill="auto"/>
                  <w:vAlign w:val="center"/>
                </w:tcPr>
                <w:p w14:paraId="6B6271B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100</w:t>
                  </w:r>
                </w:p>
              </w:tc>
              <w:tc>
                <w:tcPr>
                  <w:tcW w:w="1292" w:type="dxa"/>
                  <w:tcBorders>
                    <w:tl2br w:val="nil"/>
                    <w:tr2bl w:val="nil"/>
                  </w:tcBorders>
                  <w:shd w:val="clear" w:color="auto" w:fill="auto"/>
                  <w:vAlign w:val="center"/>
                </w:tcPr>
                <w:p w14:paraId="28B80D5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布袋99.7%、封闭厂房99%</w:t>
                  </w:r>
                </w:p>
              </w:tc>
              <w:tc>
                <w:tcPr>
                  <w:tcW w:w="764" w:type="dxa"/>
                  <w:tcBorders>
                    <w:tl2br w:val="nil"/>
                    <w:tr2bl w:val="nil"/>
                  </w:tcBorders>
                  <w:vAlign w:val="center"/>
                </w:tcPr>
                <w:p w14:paraId="45D24E0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是</w:t>
                  </w:r>
                </w:p>
              </w:tc>
            </w:tr>
            <w:tr w14:paraId="1D8707A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1" w:type="dxa"/>
                  <w:tcBorders>
                    <w:tl2br w:val="nil"/>
                    <w:tr2bl w:val="nil"/>
                  </w:tcBorders>
                  <w:vAlign w:val="center"/>
                </w:tcPr>
                <w:p w14:paraId="13638EF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厂区道路扬尘</w:t>
                  </w:r>
                </w:p>
              </w:tc>
              <w:tc>
                <w:tcPr>
                  <w:tcW w:w="1269" w:type="dxa"/>
                  <w:tcBorders>
                    <w:tl2br w:val="nil"/>
                    <w:tr2bl w:val="nil"/>
                  </w:tcBorders>
                  <w:shd w:val="clear" w:color="auto" w:fill="auto"/>
                  <w:vAlign w:val="center"/>
                </w:tcPr>
                <w:p w14:paraId="5D8C2B6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颗粒物</w:t>
                  </w:r>
                </w:p>
              </w:tc>
              <w:tc>
                <w:tcPr>
                  <w:tcW w:w="877" w:type="dxa"/>
                  <w:tcBorders>
                    <w:tl2br w:val="nil"/>
                    <w:tr2bl w:val="nil"/>
                  </w:tcBorders>
                  <w:shd w:val="clear" w:color="auto" w:fill="auto"/>
                  <w:vAlign w:val="center"/>
                </w:tcPr>
                <w:p w14:paraId="0B95059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无组织</w:t>
                  </w:r>
                </w:p>
              </w:tc>
              <w:tc>
                <w:tcPr>
                  <w:tcW w:w="1339" w:type="dxa"/>
                  <w:tcBorders>
                    <w:tl2br w:val="nil"/>
                    <w:tr2bl w:val="nil"/>
                  </w:tcBorders>
                  <w:vAlign w:val="center"/>
                </w:tcPr>
                <w:p w14:paraId="7E77804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路面</w:t>
                  </w:r>
                  <w:r>
                    <w:rPr>
                      <w:rFonts w:hint="eastAsia" w:ascii="Times New Roman" w:hAnsi="Times New Roman" w:eastAsia="宋体" w:cs="Times New Roman"/>
                      <w:b w:val="0"/>
                      <w:bCs w:val="0"/>
                      <w:color w:val="auto"/>
                      <w:sz w:val="21"/>
                      <w:szCs w:val="21"/>
                      <w:vertAlign w:val="baseline"/>
                      <w:lang w:val="en-US" w:eastAsia="zh-CN"/>
                    </w:rPr>
                    <w:t>清洁</w:t>
                  </w:r>
                  <w:r>
                    <w:rPr>
                      <w:rFonts w:hint="default" w:ascii="Times New Roman" w:hAnsi="Times New Roman" w:eastAsia="宋体" w:cs="Times New Roman"/>
                      <w:b w:val="0"/>
                      <w:bCs w:val="0"/>
                      <w:color w:val="auto"/>
                      <w:sz w:val="21"/>
                      <w:szCs w:val="21"/>
                      <w:vertAlign w:val="baseline"/>
                      <w:lang w:val="en-US" w:eastAsia="zh-CN"/>
                    </w:rPr>
                    <w:t>+喷雾降尘</w:t>
                  </w:r>
                </w:p>
              </w:tc>
              <w:tc>
                <w:tcPr>
                  <w:tcW w:w="923" w:type="dxa"/>
                  <w:tcBorders>
                    <w:tl2br w:val="nil"/>
                    <w:tr2bl w:val="nil"/>
                  </w:tcBorders>
                  <w:vAlign w:val="center"/>
                </w:tcPr>
                <w:p w14:paraId="0F086A0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1292" w:type="dxa"/>
                  <w:tcBorders>
                    <w:tl2br w:val="nil"/>
                    <w:tr2bl w:val="nil"/>
                  </w:tcBorders>
                  <w:vAlign w:val="center"/>
                </w:tcPr>
                <w:p w14:paraId="56BA551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90</w:t>
                  </w:r>
                </w:p>
              </w:tc>
              <w:tc>
                <w:tcPr>
                  <w:tcW w:w="764" w:type="dxa"/>
                  <w:tcBorders>
                    <w:tl2br w:val="nil"/>
                    <w:tr2bl w:val="nil"/>
                  </w:tcBorders>
                  <w:vAlign w:val="center"/>
                </w:tcPr>
                <w:p w14:paraId="2427EA2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r>
            <w:tr w14:paraId="73528AF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1" w:type="dxa"/>
                  <w:tcBorders>
                    <w:tl2br w:val="nil"/>
                    <w:tr2bl w:val="nil"/>
                  </w:tcBorders>
                  <w:vAlign w:val="center"/>
                </w:tcPr>
                <w:p w14:paraId="218644F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汽车尾气</w:t>
                  </w:r>
                </w:p>
              </w:tc>
              <w:tc>
                <w:tcPr>
                  <w:tcW w:w="1269" w:type="dxa"/>
                  <w:tcBorders>
                    <w:tl2br w:val="nil"/>
                    <w:tr2bl w:val="nil"/>
                  </w:tcBorders>
                  <w:vAlign w:val="center"/>
                </w:tcPr>
                <w:p w14:paraId="18392EB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NOx、CO</w:t>
                  </w:r>
                </w:p>
              </w:tc>
              <w:tc>
                <w:tcPr>
                  <w:tcW w:w="877" w:type="dxa"/>
                  <w:tcBorders>
                    <w:tl2br w:val="nil"/>
                    <w:tr2bl w:val="nil"/>
                  </w:tcBorders>
                  <w:vAlign w:val="center"/>
                </w:tcPr>
                <w:p w14:paraId="52E17BF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无组织</w:t>
                  </w:r>
                </w:p>
              </w:tc>
              <w:tc>
                <w:tcPr>
                  <w:tcW w:w="1339" w:type="dxa"/>
                  <w:tcBorders>
                    <w:tl2br w:val="nil"/>
                    <w:tr2bl w:val="nil"/>
                  </w:tcBorders>
                  <w:vAlign w:val="center"/>
                </w:tcPr>
                <w:p w14:paraId="4D05B97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车辆保养</w:t>
                  </w:r>
                </w:p>
              </w:tc>
              <w:tc>
                <w:tcPr>
                  <w:tcW w:w="923" w:type="dxa"/>
                  <w:tcBorders>
                    <w:tl2br w:val="nil"/>
                    <w:tr2bl w:val="nil"/>
                  </w:tcBorders>
                  <w:vAlign w:val="center"/>
                </w:tcPr>
                <w:p w14:paraId="3CE9CB8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1292" w:type="dxa"/>
                  <w:tcBorders>
                    <w:tl2br w:val="nil"/>
                    <w:tr2bl w:val="nil"/>
                  </w:tcBorders>
                  <w:vAlign w:val="center"/>
                </w:tcPr>
                <w:p w14:paraId="187D0F6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764" w:type="dxa"/>
                  <w:tcBorders>
                    <w:tl2br w:val="nil"/>
                    <w:tr2bl w:val="nil"/>
                  </w:tcBorders>
                  <w:vAlign w:val="center"/>
                </w:tcPr>
                <w:p w14:paraId="0687E74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r>
            <w:tr w14:paraId="3EAC056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81" w:type="dxa"/>
                  <w:tcBorders>
                    <w:tl2br w:val="nil"/>
                    <w:tr2bl w:val="nil"/>
                  </w:tcBorders>
                  <w:vAlign w:val="center"/>
                </w:tcPr>
                <w:p w14:paraId="727332A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生产检测中心有机废</w:t>
                  </w:r>
                </w:p>
              </w:tc>
              <w:tc>
                <w:tcPr>
                  <w:tcW w:w="1269" w:type="dxa"/>
                  <w:tcBorders>
                    <w:tl2br w:val="nil"/>
                    <w:tr2bl w:val="nil"/>
                  </w:tcBorders>
                  <w:vAlign w:val="center"/>
                </w:tcPr>
                <w:p w14:paraId="1F0CC61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沥青烟、苯并[a]芘、VOCs（以非甲烷总烃计）</w:t>
                  </w:r>
                </w:p>
              </w:tc>
              <w:tc>
                <w:tcPr>
                  <w:tcW w:w="877" w:type="dxa"/>
                  <w:tcBorders>
                    <w:tl2br w:val="nil"/>
                    <w:tr2bl w:val="nil"/>
                  </w:tcBorders>
                  <w:vAlign w:val="center"/>
                </w:tcPr>
                <w:p w14:paraId="1D3C34A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无组织</w:t>
                  </w:r>
                </w:p>
              </w:tc>
              <w:tc>
                <w:tcPr>
                  <w:tcW w:w="1339" w:type="dxa"/>
                  <w:tcBorders>
                    <w:tl2br w:val="nil"/>
                    <w:tr2bl w:val="nil"/>
                  </w:tcBorders>
                  <w:vAlign w:val="center"/>
                </w:tcPr>
                <w:p w14:paraId="36DC971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加强通风</w:t>
                  </w:r>
                </w:p>
              </w:tc>
              <w:tc>
                <w:tcPr>
                  <w:tcW w:w="923" w:type="dxa"/>
                  <w:tcBorders>
                    <w:tl2br w:val="nil"/>
                    <w:tr2bl w:val="nil"/>
                  </w:tcBorders>
                  <w:vAlign w:val="center"/>
                </w:tcPr>
                <w:p w14:paraId="77840D6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1292" w:type="dxa"/>
                  <w:tcBorders>
                    <w:tl2br w:val="nil"/>
                    <w:tr2bl w:val="nil"/>
                  </w:tcBorders>
                  <w:vAlign w:val="center"/>
                </w:tcPr>
                <w:p w14:paraId="7896CC9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764" w:type="dxa"/>
                  <w:tcBorders>
                    <w:tl2br w:val="nil"/>
                    <w:tr2bl w:val="nil"/>
                  </w:tcBorders>
                  <w:vAlign w:val="center"/>
                </w:tcPr>
                <w:p w14:paraId="2A27E5A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r>
          </w:tbl>
          <w:p w14:paraId="4214B4D2">
            <w:pPr>
              <w:autoSpaceDE w:val="0"/>
              <w:autoSpaceDN w:val="0"/>
              <w:spacing w:line="240" w:lineRule="auto"/>
              <w:ind w:firstLine="420" w:firstLineChars="200"/>
              <w:jc w:val="center"/>
              <w:rPr>
                <w:rFonts w:hint="eastAsia" w:ascii="Times New Roman" w:hAnsi="Times New Roman" w:eastAsia="宋体" w:cs="Times New Roman"/>
                <w:b w:val="0"/>
                <w:bCs w:val="0"/>
                <w:color w:val="auto"/>
                <w:sz w:val="21"/>
                <w:szCs w:val="21"/>
                <w:lang w:val="en-US" w:eastAsia="zh-CN"/>
              </w:rPr>
            </w:pPr>
          </w:p>
          <w:p w14:paraId="16CA829A">
            <w:pPr>
              <w:numPr>
                <w:ilvl w:val="0"/>
                <w:numId w:val="6"/>
              </w:numPr>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废气排放口基本信息表</w:t>
            </w:r>
          </w:p>
          <w:tbl>
            <w:tblPr>
              <w:tblStyle w:val="27"/>
              <w:tblW w:w="8045"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35"/>
              <w:gridCol w:w="808"/>
              <w:gridCol w:w="1238"/>
              <w:gridCol w:w="1015"/>
              <w:gridCol w:w="1058"/>
              <w:gridCol w:w="843"/>
              <w:gridCol w:w="842"/>
              <w:gridCol w:w="712"/>
              <w:gridCol w:w="894"/>
            </w:tblGrid>
            <w:tr w14:paraId="50C6D30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35" w:type="dxa"/>
                  <w:vMerge w:val="restart"/>
                  <w:tcBorders>
                    <w:tl2br w:val="nil"/>
                    <w:tr2bl w:val="nil"/>
                  </w:tcBorders>
                  <w:vAlign w:val="center"/>
                </w:tcPr>
                <w:p w14:paraId="7DA64B2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编号</w:t>
                  </w:r>
                </w:p>
              </w:tc>
              <w:tc>
                <w:tcPr>
                  <w:tcW w:w="808" w:type="dxa"/>
                  <w:vMerge w:val="restart"/>
                  <w:tcBorders>
                    <w:tl2br w:val="nil"/>
                    <w:tr2bl w:val="nil"/>
                  </w:tcBorders>
                  <w:vAlign w:val="center"/>
                </w:tcPr>
                <w:p w14:paraId="0B40B25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排放口名称</w:t>
                  </w:r>
                </w:p>
              </w:tc>
              <w:tc>
                <w:tcPr>
                  <w:tcW w:w="1238" w:type="dxa"/>
                  <w:vMerge w:val="restart"/>
                  <w:tcBorders>
                    <w:tl2br w:val="nil"/>
                    <w:tr2bl w:val="nil"/>
                  </w:tcBorders>
                  <w:vAlign w:val="center"/>
                </w:tcPr>
                <w:p w14:paraId="4FE6EBE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污染物种类</w:t>
                  </w:r>
                </w:p>
              </w:tc>
              <w:tc>
                <w:tcPr>
                  <w:tcW w:w="2073" w:type="dxa"/>
                  <w:gridSpan w:val="2"/>
                  <w:tcBorders>
                    <w:tl2br w:val="nil"/>
                    <w:tr2bl w:val="nil"/>
                  </w:tcBorders>
                  <w:vAlign w:val="center"/>
                </w:tcPr>
                <w:p w14:paraId="2176649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排放口地理坐标</w:t>
                  </w:r>
                </w:p>
              </w:tc>
              <w:tc>
                <w:tcPr>
                  <w:tcW w:w="843" w:type="dxa"/>
                  <w:vMerge w:val="restart"/>
                  <w:tcBorders>
                    <w:tl2br w:val="nil"/>
                    <w:tr2bl w:val="nil"/>
                  </w:tcBorders>
                  <w:vAlign w:val="center"/>
                </w:tcPr>
                <w:p w14:paraId="414D63E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排气筒高度(m)</w:t>
                  </w:r>
                </w:p>
              </w:tc>
              <w:tc>
                <w:tcPr>
                  <w:tcW w:w="842" w:type="dxa"/>
                  <w:vMerge w:val="restart"/>
                  <w:tcBorders>
                    <w:tl2br w:val="nil"/>
                    <w:tr2bl w:val="nil"/>
                  </w:tcBorders>
                  <w:vAlign w:val="center"/>
                </w:tcPr>
                <w:p w14:paraId="4F2BAA2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排气筒内径(m)</w:t>
                  </w:r>
                </w:p>
              </w:tc>
              <w:tc>
                <w:tcPr>
                  <w:tcW w:w="712" w:type="dxa"/>
                  <w:vMerge w:val="restart"/>
                  <w:tcBorders>
                    <w:tl2br w:val="nil"/>
                    <w:tr2bl w:val="nil"/>
                  </w:tcBorders>
                  <w:vAlign w:val="center"/>
                </w:tcPr>
                <w:p w14:paraId="7653664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排放温度(℃)</w:t>
                  </w:r>
                </w:p>
              </w:tc>
              <w:tc>
                <w:tcPr>
                  <w:tcW w:w="894" w:type="dxa"/>
                  <w:vMerge w:val="restart"/>
                  <w:tcBorders>
                    <w:tl2br w:val="nil"/>
                    <w:tr2bl w:val="nil"/>
                  </w:tcBorders>
                  <w:vAlign w:val="center"/>
                </w:tcPr>
                <w:p w14:paraId="0249520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排放口类型</w:t>
                  </w:r>
                </w:p>
              </w:tc>
            </w:tr>
            <w:tr w14:paraId="0C0BA20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35" w:type="dxa"/>
                  <w:vMerge w:val="continue"/>
                  <w:tcBorders>
                    <w:tl2br w:val="nil"/>
                    <w:tr2bl w:val="nil"/>
                  </w:tcBorders>
                  <w:vAlign w:val="center"/>
                </w:tcPr>
                <w:p w14:paraId="6EAFF2A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808" w:type="dxa"/>
                  <w:vMerge w:val="continue"/>
                  <w:tcBorders>
                    <w:tl2br w:val="nil"/>
                    <w:tr2bl w:val="nil"/>
                  </w:tcBorders>
                  <w:vAlign w:val="center"/>
                </w:tcPr>
                <w:p w14:paraId="3311783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38" w:type="dxa"/>
                  <w:vMerge w:val="continue"/>
                  <w:tcBorders>
                    <w:tl2br w:val="nil"/>
                    <w:tr2bl w:val="nil"/>
                  </w:tcBorders>
                  <w:vAlign w:val="center"/>
                </w:tcPr>
                <w:p w14:paraId="3551E24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15" w:type="dxa"/>
                  <w:tcBorders>
                    <w:tl2br w:val="nil"/>
                    <w:tr2bl w:val="nil"/>
                  </w:tcBorders>
                  <w:vAlign w:val="center"/>
                </w:tcPr>
                <w:p w14:paraId="7A35724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经度</w:t>
                  </w:r>
                </w:p>
              </w:tc>
              <w:tc>
                <w:tcPr>
                  <w:tcW w:w="1058" w:type="dxa"/>
                  <w:tcBorders>
                    <w:tl2br w:val="nil"/>
                    <w:tr2bl w:val="nil"/>
                  </w:tcBorders>
                  <w:vAlign w:val="center"/>
                </w:tcPr>
                <w:p w14:paraId="1BBB5B4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纬度</w:t>
                  </w:r>
                </w:p>
              </w:tc>
              <w:tc>
                <w:tcPr>
                  <w:tcW w:w="843" w:type="dxa"/>
                  <w:vMerge w:val="continue"/>
                  <w:tcBorders>
                    <w:tl2br w:val="nil"/>
                    <w:tr2bl w:val="nil"/>
                  </w:tcBorders>
                  <w:vAlign w:val="center"/>
                </w:tcPr>
                <w:p w14:paraId="56DEC41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842" w:type="dxa"/>
                  <w:vMerge w:val="continue"/>
                  <w:tcBorders>
                    <w:tl2br w:val="nil"/>
                    <w:tr2bl w:val="nil"/>
                  </w:tcBorders>
                  <w:vAlign w:val="center"/>
                </w:tcPr>
                <w:p w14:paraId="05C1193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12" w:type="dxa"/>
                  <w:vMerge w:val="continue"/>
                  <w:tcBorders>
                    <w:tl2br w:val="nil"/>
                    <w:tr2bl w:val="nil"/>
                  </w:tcBorders>
                  <w:vAlign w:val="center"/>
                </w:tcPr>
                <w:p w14:paraId="687D013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894" w:type="dxa"/>
                  <w:vMerge w:val="continue"/>
                  <w:tcBorders>
                    <w:tl2br w:val="nil"/>
                    <w:tr2bl w:val="nil"/>
                  </w:tcBorders>
                  <w:vAlign w:val="center"/>
                </w:tcPr>
                <w:p w14:paraId="104F417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0D78818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35" w:type="dxa"/>
                  <w:tcBorders>
                    <w:tl2br w:val="nil"/>
                    <w:tr2bl w:val="nil"/>
                  </w:tcBorders>
                  <w:vAlign w:val="center"/>
                </w:tcPr>
                <w:p w14:paraId="3C21198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DA001</w:t>
                  </w:r>
                </w:p>
              </w:tc>
              <w:tc>
                <w:tcPr>
                  <w:tcW w:w="808" w:type="dxa"/>
                  <w:tcBorders>
                    <w:tl2br w:val="nil"/>
                    <w:tr2bl w:val="nil"/>
                  </w:tcBorders>
                  <w:vAlign w:val="center"/>
                </w:tcPr>
                <w:p w14:paraId="5F21A73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1#排气筒</w:t>
                  </w:r>
                </w:p>
              </w:tc>
              <w:tc>
                <w:tcPr>
                  <w:tcW w:w="1238" w:type="dxa"/>
                  <w:tcBorders>
                    <w:tl2br w:val="nil"/>
                    <w:tr2bl w:val="nil"/>
                  </w:tcBorders>
                  <w:vAlign w:val="center"/>
                </w:tcPr>
                <w:p w14:paraId="2D77804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颗粒物、NO</w:t>
                  </w:r>
                  <w:r>
                    <w:rPr>
                      <w:rFonts w:hint="eastAsia" w:ascii="Times New Roman" w:hAnsi="Times New Roman" w:eastAsia="宋体" w:cs="Times New Roman"/>
                      <w:b w:val="0"/>
                      <w:bCs w:val="0"/>
                      <w:color w:val="auto"/>
                      <w:sz w:val="21"/>
                      <w:szCs w:val="21"/>
                      <w:vertAlign w:val="subscript"/>
                      <w:lang w:val="en-US" w:eastAsia="zh-CN"/>
                    </w:rPr>
                    <w:t>x</w:t>
                  </w:r>
                  <w:r>
                    <w:rPr>
                      <w:rFonts w:hint="default" w:ascii="Times New Roman" w:hAnsi="Times New Roman" w:eastAsia="宋体" w:cs="Times New Roman"/>
                      <w:b w:val="0"/>
                      <w:bCs w:val="0"/>
                      <w:color w:val="auto"/>
                      <w:sz w:val="21"/>
                      <w:szCs w:val="21"/>
                      <w:vertAlign w:val="baseline"/>
                      <w:lang w:val="en-US" w:eastAsia="zh-CN"/>
                    </w:rPr>
                    <w:t>、SO</w:t>
                  </w:r>
                  <w:r>
                    <w:rPr>
                      <w:rFonts w:hint="default" w:ascii="Times New Roman" w:hAnsi="Times New Roman" w:eastAsia="宋体" w:cs="Times New Roman"/>
                      <w:b w:val="0"/>
                      <w:bCs w:val="0"/>
                      <w:color w:val="auto"/>
                      <w:sz w:val="21"/>
                      <w:szCs w:val="21"/>
                      <w:vertAlign w:val="subscript"/>
                      <w:lang w:val="en-US" w:eastAsia="zh-CN"/>
                    </w:rPr>
                    <w:t>2</w:t>
                  </w:r>
                </w:p>
              </w:tc>
              <w:tc>
                <w:tcPr>
                  <w:tcW w:w="1015" w:type="dxa"/>
                  <w:tcBorders>
                    <w:tl2br w:val="nil"/>
                    <w:tr2bl w:val="nil"/>
                  </w:tcBorders>
                  <w:vAlign w:val="center"/>
                </w:tcPr>
                <w:p w14:paraId="7AD5842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107.482330</w:t>
                  </w:r>
                </w:p>
              </w:tc>
              <w:tc>
                <w:tcPr>
                  <w:tcW w:w="1058" w:type="dxa"/>
                  <w:tcBorders>
                    <w:tl2br w:val="nil"/>
                    <w:tr2bl w:val="nil"/>
                  </w:tcBorders>
                  <w:vAlign w:val="center"/>
                </w:tcPr>
                <w:p w14:paraId="10C4B79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31.327146</w:t>
                  </w:r>
                </w:p>
              </w:tc>
              <w:tc>
                <w:tcPr>
                  <w:tcW w:w="843" w:type="dxa"/>
                  <w:tcBorders>
                    <w:tl2br w:val="nil"/>
                    <w:tr2bl w:val="nil"/>
                  </w:tcBorders>
                  <w:vAlign w:val="center"/>
                </w:tcPr>
                <w:p w14:paraId="190E9ED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22</w:t>
                  </w:r>
                </w:p>
              </w:tc>
              <w:tc>
                <w:tcPr>
                  <w:tcW w:w="842" w:type="dxa"/>
                  <w:tcBorders>
                    <w:tl2br w:val="nil"/>
                    <w:tr2bl w:val="nil"/>
                  </w:tcBorders>
                  <w:vAlign w:val="center"/>
                </w:tcPr>
                <w:p w14:paraId="0C7AA43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1.7</w:t>
                  </w:r>
                </w:p>
              </w:tc>
              <w:tc>
                <w:tcPr>
                  <w:tcW w:w="712" w:type="dxa"/>
                  <w:tcBorders>
                    <w:tl2br w:val="nil"/>
                    <w:tr2bl w:val="nil"/>
                  </w:tcBorders>
                  <w:vAlign w:val="center"/>
                </w:tcPr>
                <w:p w14:paraId="0153488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100</w:t>
                  </w:r>
                </w:p>
              </w:tc>
              <w:tc>
                <w:tcPr>
                  <w:tcW w:w="894" w:type="dxa"/>
                  <w:tcBorders>
                    <w:tl2br w:val="nil"/>
                    <w:tr2bl w:val="nil"/>
                  </w:tcBorders>
                  <w:vAlign w:val="center"/>
                </w:tcPr>
                <w:p w14:paraId="44F6365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一般排放口</w:t>
                  </w:r>
                </w:p>
              </w:tc>
            </w:tr>
            <w:tr w14:paraId="700671B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35" w:type="dxa"/>
                  <w:tcBorders>
                    <w:tl2br w:val="nil"/>
                    <w:tr2bl w:val="nil"/>
                  </w:tcBorders>
                  <w:vAlign w:val="center"/>
                </w:tcPr>
                <w:p w14:paraId="10F6E55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DA002</w:t>
                  </w:r>
                </w:p>
              </w:tc>
              <w:tc>
                <w:tcPr>
                  <w:tcW w:w="808" w:type="dxa"/>
                  <w:tcBorders>
                    <w:tl2br w:val="nil"/>
                    <w:tr2bl w:val="nil"/>
                  </w:tcBorders>
                  <w:vAlign w:val="center"/>
                </w:tcPr>
                <w:p w14:paraId="172BAC6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w:t>
                  </w:r>
                  <w:r>
                    <w:rPr>
                      <w:rFonts w:hint="default" w:ascii="Times New Roman" w:hAnsi="Times New Roman" w:eastAsia="宋体" w:cs="Times New Roman"/>
                      <w:b w:val="0"/>
                      <w:bCs w:val="0"/>
                      <w:color w:val="auto"/>
                      <w:sz w:val="21"/>
                      <w:szCs w:val="21"/>
                      <w:vertAlign w:val="baseline"/>
                      <w:lang w:val="en-US" w:eastAsia="zh-CN"/>
                    </w:rPr>
                    <w:t>#排气筒</w:t>
                  </w:r>
                </w:p>
              </w:tc>
              <w:tc>
                <w:tcPr>
                  <w:tcW w:w="1238" w:type="dxa"/>
                  <w:tcBorders>
                    <w:tl2br w:val="nil"/>
                    <w:tr2bl w:val="nil"/>
                  </w:tcBorders>
                  <w:vAlign w:val="center"/>
                </w:tcPr>
                <w:p w14:paraId="2837997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沥青烟、苯并[a]芘、VOCs（以非甲烷总烃计）</w:t>
                  </w:r>
                </w:p>
              </w:tc>
              <w:tc>
                <w:tcPr>
                  <w:tcW w:w="1015" w:type="dxa"/>
                  <w:tcBorders>
                    <w:tl2br w:val="nil"/>
                    <w:tr2bl w:val="nil"/>
                  </w:tcBorders>
                  <w:vAlign w:val="center"/>
                </w:tcPr>
                <w:p w14:paraId="2134399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107.48230</w:t>
                  </w:r>
                  <w:r>
                    <w:rPr>
                      <w:rFonts w:hint="eastAsia" w:ascii="Times New Roman" w:hAnsi="Times New Roman" w:eastAsia="宋体" w:cs="Times New Roman"/>
                      <w:b w:val="0"/>
                      <w:bCs w:val="0"/>
                      <w:color w:val="auto"/>
                      <w:sz w:val="21"/>
                      <w:szCs w:val="21"/>
                      <w:vertAlign w:val="baseline"/>
                      <w:lang w:val="en-US" w:eastAsia="zh-CN"/>
                    </w:rPr>
                    <w:t>1</w:t>
                  </w:r>
                </w:p>
              </w:tc>
              <w:tc>
                <w:tcPr>
                  <w:tcW w:w="1058" w:type="dxa"/>
                  <w:tcBorders>
                    <w:tl2br w:val="nil"/>
                    <w:tr2bl w:val="nil"/>
                  </w:tcBorders>
                  <w:vAlign w:val="center"/>
                </w:tcPr>
                <w:p w14:paraId="63C780D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31.327371</w:t>
                  </w:r>
                </w:p>
              </w:tc>
              <w:tc>
                <w:tcPr>
                  <w:tcW w:w="843" w:type="dxa"/>
                  <w:tcBorders>
                    <w:tl2br w:val="nil"/>
                    <w:tr2bl w:val="nil"/>
                  </w:tcBorders>
                  <w:vAlign w:val="center"/>
                </w:tcPr>
                <w:p w14:paraId="4643A8E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22</w:t>
                  </w:r>
                </w:p>
              </w:tc>
              <w:tc>
                <w:tcPr>
                  <w:tcW w:w="842" w:type="dxa"/>
                  <w:tcBorders>
                    <w:tl2br w:val="nil"/>
                    <w:tr2bl w:val="nil"/>
                  </w:tcBorders>
                  <w:vAlign w:val="center"/>
                </w:tcPr>
                <w:p w14:paraId="3D007D9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1.4</w:t>
                  </w:r>
                </w:p>
              </w:tc>
              <w:tc>
                <w:tcPr>
                  <w:tcW w:w="712" w:type="dxa"/>
                  <w:tcBorders>
                    <w:tl2br w:val="nil"/>
                    <w:tr2bl w:val="nil"/>
                  </w:tcBorders>
                  <w:vAlign w:val="center"/>
                </w:tcPr>
                <w:p w14:paraId="6874A28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60</w:t>
                  </w:r>
                </w:p>
              </w:tc>
              <w:tc>
                <w:tcPr>
                  <w:tcW w:w="894" w:type="dxa"/>
                  <w:tcBorders>
                    <w:tl2br w:val="nil"/>
                    <w:tr2bl w:val="nil"/>
                  </w:tcBorders>
                  <w:vAlign w:val="center"/>
                </w:tcPr>
                <w:p w14:paraId="63E3D96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一般排放口</w:t>
                  </w:r>
                </w:p>
              </w:tc>
            </w:tr>
            <w:tr w14:paraId="28B87A0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35" w:type="dxa"/>
                  <w:tcBorders>
                    <w:tl2br w:val="nil"/>
                    <w:tr2bl w:val="nil"/>
                  </w:tcBorders>
                  <w:shd w:val="clear" w:color="auto" w:fill="auto"/>
                  <w:vAlign w:val="center"/>
                </w:tcPr>
                <w:p w14:paraId="1814A4B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DA003</w:t>
                  </w:r>
                </w:p>
              </w:tc>
              <w:tc>
                <w:tcPr>
                  <w:tcW w:w="808" w:type="dxa"/>
                  <w:tcBorders>
                    <w:tl2br w:val="nil"/>
                    <w:tr2bl w:val="nil"/>
                  </w:tcBorders>
                  <w:shd w:val="clear" w:color="auto" w:fill="auto"/>
                  <w:vAlign w:val="center"/>
                </w:tcPr>
                <w:p w14:paraId="3E45E37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3</w:t>
                  </w:r>
                  <w:r>
                    <w:rPr>
                      <w:rFonts w:hint="default" w:ascii="Times New Roman" w:hAnsi="Times New Roman" w:eastAsia="宋体" w:cs="Times New Roman"/>
                      <w:b w:val="0"/>
                      <w:bCs w:val="0"/>
                      <w:color w:val="auto"/>
                      <w:sz w:val="21"/>
                      <w:szCs w:val="21"/>
                      <w:vertAlign w:val="baseline"/>
                      <w:lang w:val="en-US" w:eastAsia="zh-CN"/>
                    </w:rPr>
                    <w:t>#排气筒</w:t>
                  </w:r>
                </w:p>
              </w:tc>
              <w:tc>
                <w:tcPr>
                  <w:tcW w:w="1238" w:type="dxa"/>
                  <w:tcBorders>
                    <w:tl2br w:val="nil"/>
                    <w:tr2bl w:val="nil"/>
                  </w:tcBorders>
                  <w:vAlign w:val="center"/>
                </w:tcPr>
                <w:p w14:paraId="3A813BB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颗粒物、NO</w:t>
                  </w:r>
                  <w:r>
                    <w:rPr>
                      <w:rFonts w:hint="eastAsia" w:ascii="Times New Roman" w:hAnsi="Times New Roman" w:eastAsia="宋体" w:cs="Times New Roman"/>
                      <w:b w:val="0"/>
                      <w:bCs w:val="0"/>
                      <w:color w:val="auto"/>
                      <w:sz w:val="21"/>
                      <w:szCs w:val="21"/>
                      <w:vertAlign w:val="subscript"/>
                      <w:lang w:val="en-US" w:eastAsia="zh-CN"/>
                    </w:rPr>
                    <w:t>x</w:t>
                  </w:r>
                  <w:r>
                    <w:rPr>
                      <w:rFonts w:hint="default" w:ascii="Times New Roman" w:hAnsi="Times New Roman" w:eastAsia="宋体" w:cs="Times New Roman"/>
                      <w:b w:val="0"/>
                      <w:bCs w:val="0"/>
                      <w:color w:val="auto"/>
                      <w:sz w:val="21"/>
                      <w:szCs w:val="21"/>
                      <w:vertAlign w:val="baseline"/>
                      <w:lang w:val="en-US" w:eastAsia="zh-CN"/>
                    </w:rPr>
                    <w:t>、SO</w:t>
                  </w:r>
                  <w:r>
                    <w:rPr>
                      <w:rFonts w:hint="default" w:ascii="Times New Roman" w:hAnsi="Times New Roman" w:eastAsia="宋体" w:cs="Times New Roman"/>
                      <w:b w:val="0"/>
                      <w:bCs w:val="0"/>
                      <w:color w:val="auto"/>
                      <w:sz w:val="21"/>
                      <w:szCs w:val="21"/>
                      <w:vertAlign w:val="subscript"/>
                      <w:lang w:val="en-US" w:eastAsia="zh-CN"/>
                    </w:rPr>
                    <w:t>2</w:t>
                  </w:r>
                </w:p>
              </w:tc>
              <w:tc>
                <w:tcPr>
                  <w:tcW w:w="1015" w:type="dxa"/>
                  <w:tcBorders>
                    <w:tl2br w:val="nil"/>
                    <w:tr2bl w:val="nil"/>
                  </w:tcBorders>
                  <w:vAlign w:val="center"/>
                </w:tcPr>
                <w:p w14:paraId="7F4311B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107.482421</w:t>
                  </w:r>
                </w:p>
              </w:tc>
              <w:tc>
                <w:tcPr>
                  <w:tcW w:w="1058" w:type="dxa"/>
                  <w:tcBorders>
                    <w:tl2br w:val="nil"/>
                    <w:tr2bl w:val="nil"/>
                  </w:tcBorders>
                  <w:vAlign w:val="center"/>
                </w:tcPr>
                <w:p w14:paraId="66F242B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31.327218</w:t>
                  </w:r>
                </w:p>
              </w:tc>
              <w:tc>
                <w:tcPr>
                  <w:tcW w:w="843" w:type="dxa"/>
                  <w:tcBorders>
                    <w:tl2br w:val="nil"/>
                    <w:tr2bl w:val="nil"/>
                  </w:tcBorders>
                  <w:vAlign w:val="center"/>
                </w:tcPr>
                <w:p w14:paraId="5F31E29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13</w:t>
                  </w:r>
                </w:p>
              </w:tc>
              <w:tc>
                <w:tcPr>
                  <w:tcW w:w="842" w:type="dxa"/>
                  <w:tcBorders>
                    <w:tl2br w:val="nil"/>
                    <w:tr2bl w:val="nil"/>
                  </w:tcBorders>
                  <w:vAlign w:val="center"/>
                </w:tcPr>
                <w:p w14:paraId="6A2BDAB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0.2</w:t>
                  </w:r>
                </w:p>
              </w:tc>
              <w:tc>
                <w:tcPr>
                  <w:tcW w:w="712" w:type="dxa"/>
                  <w:tcBorders>
                    <w:tl2br w:val="nil"/>
                    <w:tr2bl w:val="nil"/>
                  </w:tcBorders>
                  <w:vAlign w:val="center"/>
                </w:tcPr>
                <w:p w14:paraId="3CD8780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150</w:t>
                  </w:r>
                </w:p>
              </w:tc>
              <w:tc>
                <w:tcPr>
                  <w:tcW w:w="894" w:type="dxa"/>
                  <w:tcBorders>
                    <w:tl2br w:val="nil"/>
                    <w:tr2bl w:val="nil"/>
                  </w:tcBorders>
                  <w:vAlign w:val="center"/>
                </w:tcPr>
                <w:p w14:paraId="3F5F36A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一般排放口</w:t>
                  </w:r>
                </w:p>
              </w:tc>
            </w:tr>
            <w:tr w14:paraId="4FE7956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35" w:type="dxa"/>
                  <w:tcBorders>
                    <w:tl2br w:val="nil"/>
                    <w:tr2bl w:val="nil"/>
                  </w:tcBorders>
                  <w:vAlign w:val="center"/>
                </w:tcPr>
                <w:p w14:paraId="0371233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DA004</w:t>
                  </w:r>
                </w:p>
              </w:tc>
              <w:tc>
                <w:tcPr>
                  <w:tcW w:w="808" w:type="dxa"/>
                  <w:tcBorders>
                    <w:tl2br w:val="nil"/>
                    <w:tr2bl w:val="nil"/>
                  </w:tcBorders>
                  <w:vAlign w:val="center"/>
                </w:tcPr>
                <w:p w14:paraId="59D2F4B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w:t>
                  </w:r>
                  <w:r>
                    <w:rPr>
                      <w:rFonts w:hint="default" w:ascii="Times New Roman" w:hAnsi="Times New Roman" w:eastAsia="宋体" w:cs="Times New Roman"/>
                      <w:b w:val="0"/>
                      <w:bCs w:val="0"/>
                      <w:color w:val="auto"/>
                      <w:sz w:val="21"/>
                      <w:szCs w:val="21"/>
                      <w:vertAlign w:val="baseline"/>
                      <w:lang w:val="en-US" w:eastAsia="zh-CN"/>
                    </w:rPr>
                    <w:t>#排气筒</w:t>
                  </w:r>
                </w:p>
              </w:tc>
              <w:tc>
                <w:tcPr>
                  <w:tcW w:w="1238" w:type="dxa"/>
                  <w:tcBorders>
                    <w:tl2br w:val="nil"/>
                    <w:tr2bl w:val="nil"/>
                  </w:tcBorders>
                  <w:vAlign w:val="center"/>
                </w:tcPr>
                <w:p w14:paraId="1D6FF13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颗粒物、NO</w:t>
                  </w:r>
                  <w:r>
                    <w:rPr>
                      <w:rFonts w:hint="eastAsia" w:ascii="Times New Roman" w:hAnsi="Times New Roman" w:eastAsia="宋体" w:cs="Times New Roman"/>
                      <w:b w:val="0"/>
                      <w:bCs w:val="0"/>
                      <w:color w:val="auto"/>
                      <w:sz w:val="21"/>
                      <w:szCs w:val="21"/>
                      <w:vertAlign w:val="subscript"/>
                      <w:lang w:val="en-US" w:eastAsia="zh-CN"/>
                    </w:rPr>
                    <w:t>x</w:t>
                  </w:r>
                  <w:r>
                    <w:rPr>
                      <w:rFonts w:hint="default" w:ascii="Times New Roman" w:hAnsi="Times New Roman" w:eastAsia="宋体" w:cs="Times New Roman"/>
                      <w:b w:val="0"/>
                      <w:bCs w:val="0"/>
                      <w:color w:val="auto"/>
                      <w:sz w:val="21"/>
                      <w:szCs w:val="21"/>
                      <w:vertAlign w:val="baseline"/>
                      <w:lang w:val="en-US" w:eastAsia="zh-CN"/>
                    </w:rPr>
                    <w:t>、SO</w:t>
                  </w:r>
                  <w:r>
                    <w:rPr>
                      <w:rFonts w:hint="default" w:ascii="Times New Roman" w:hAnsi="Times New Roman" w:eastAsia="宋体" w:cs="Times New Roman"/>
                      <w:b w:val="0"/>
                      <w:bCs w:val="0"/>
                      <w:color w:val="auto"/>
                      <w:sz w:val="21"/>
                      <w:szCs w:val="21"/>
                      <w:vertAlign w:val="subscript"/>
                      <w:lang w:val="en-US" w:eastAsia="zh-CN"/>
                    </w:rPr>
                    <w:t>2</w:t>
                  </w:r>
                </w:p>
              </w:tc>
              <w:tc>
                <w:tcPr>
                  <w:tcW w:w="1015" w:type="dxa"/>
                  <w:tcBorders>
                    <w:tl2br w:val="nil"/>
                    <w:tr2bl w:val="nil"/>
                  </w:tcBorders>
                  <w:vAlign w:val="center"/>
                </w:tcPr>
                <w:p w14:paraId="585E16E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107.482199</w:t>
                  </w:r>
                </w:p>
              </w:tc>
              <w:tc>
                <w:tcPr>
                  <w:tcW w:w="1058" w:type="dxa"/>
                  <w:tcBorders>
                    <w:tl2br w:val="nil"/>
                    <w:tr2bl w:val="nil"/>
                  </w:tcBorders>
                  <w:vAlign w:val="center"/>
                </w:tcPr>
                <w:p w14:paraId="78F100D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31.328179</w:t>
                  </w:r>
                </w:p>
              </w:tc>
              <w:tc>
                <w:tcPr>
                  <w:tcW w:w="843" w:type="dxa"/>
                  <w:tcBorders>
                    <w:tl2br w:val="nil"/>
                    <w:tr2bl w:val="nil"/>
                  </w:tcBorders>
                  <w:vAlign w:val="center"/>
                </w:tcPr>
                <w:p w14:paraId="53E0D34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15</w:t>
                  </w:r>
                </w:p>
              </w:tc>
              <w:tc>
                <w:tcPr>
                  <w:tcW w:w="842" w:type="dxa"/>
                  <w:tcBorders>
                    <w:tl2br w:val="nil"/>
                    <w:tr2bl w:val="nil"/>
                  </w:tcBorders>
                  <w:vAlign w:val="center"/>
                </w:tcPr>
                <w:p w14:paraId="570FA61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1.6</w:t>
                  </w:r>
                </w:p>
              </w:tc>
              <w:tc>
                <w:tcPr>
                  <w:tcW w:w="712" w:type="dxa"/>
                  <w:tcBorders>
                    <w:tl2br w:val="nil"/>
                    <w:tr2bl w:val="nil"/>
                  </w:tcBorders>
                  <w:vAlign w:val="center"/>
                </w:tcPr>
                <w:p w14:paraId="11115F5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100</w:t>
                  </w:r>
                </w:p>
              </w:tc>
              <w:tc>
                <w:tcPr>
                  <w:tcW w:w="894" w:type="dxa"/>
                  <w:tcBorders>
                    <w:tl2br w:val="nil"/>
                    <w:tr2bl w:val="nil"/>
                  </w:tcBorders>
                  <w:vAlign w:val="center"/>
                </w:tcPr>
                <w:p w14:paraId="493B61E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一般排放口</w:t>
                  </w:r>
                </w:p>
              </w:tc>
            </w:tr>
            <w:tr w14:paraId="4DA7CFD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35" w:type="dxa"/>
                  <w:tcBorders>
                    <w:tl2br w:val="nil"/>
                    <w:tr2bl w:val="nil"/>
                  </w:tcBorders>
                  <w:vAlign w:val="center"/>
                </w:tcPr>
                <w:p w14:paraId="4B7B98E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DA005</w:t>
                  </w:r>
                </w:p>
              </w:tc>
              <w:tc>
                <w:tcPr>
                  <w:tcW w:w="808" w:type="dxa"/>
                  <w:tcBorders>
                    <w:tl2br w:val="nil"/>
                    <w:tr2bl w:val="nil"/>
                  </w:tcBorders>
                  <w:vAlign w:val="center"/>
                </w:tcPr>
                <w:p w14:paraId="099367B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w:t>
                  </w:r>
                  <w:r>
                    <w:rPr>
                      <w:rFonts w:hint="default" w:ascii="Times New Roman" w:hAnsi="Times New Roman" w:eastAsia="宋体" w:cs="Times New Roman"/>
                      <w:b w:val="0"/>
                      <w:bCs w:val="0"/>
                      <w:color w:val="auto"/>
                      <w:sz w:val="21"/>
                      <w:szCs w:val="21"/>
                      <w:vertAlign w:val="baseline"/>
                      <w:lang w:val="en-US" w:eastAsia="zh-CN"/>
                    </w:rPr>
                    <w:t>#排气筒</w:t>
                  </w:r>
                </w:p>
              </w:tc>
              <w:tc>
                <w:tcPr>
                  <w:tcW w:w="1238" w:type="dxa"/>
                  <w:tcBorders>
                    <w:tl2br w:val="nil"/>
                    <w:tr2bl w:val="nil"/>
                  </w:tcBorders>
                  <w:vAlign w:val="center"/>
                </w:tcPr>
                <w:p w14:paraId="4E79A8F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颗粒物</w:t>
                  </w:r>
                </w:p>
              </w:tc>
              <w:tc>
                <w:tcPr>
                  <w:tcW w:w="1015" w:type="dxa"/>
                  <w:tcBorders>
                    <w:tl2br w:val="nil"/>
                    <w:tr2bl w:val="nil"/>
                  </w:tcBorders>
                  <w:vAlign w:val="center"/>
                </w:tcPr>
                <w:p w14:paraId="672B6C4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107.482990</w:t>
                  </w:r>
                </w:p>
              </w:tc>
              <w:tc>
                <w:tcPr>
                  <w:tcW w:w="1058" w:type="dxa"/>
                  <w:tcBorders>
                    <w:tl2br w:val="nil"/>
                    <w:tr2bl w:val="nil"/>
                  </w:tcBorders>
                  <w:vAlign w:val="center"/>
                </w:tcPr>
                <w:p w14:paraId="1EBD9A3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31.327382</w:t>
                  </w:r>
                </w:p>
              </w:tc>
              <w:tc>
                <w:tcPr>
                  <w:tcW w:w="843" w:type="dxa"/>
                  <w:tcBorders>
                    <w:tl2br w:val="nil"/>
                    <w:tr2bl w:val="nil"/>
                  </w:tcBorders>
                  <w:vAlign w:val="center"/>
                </w:tcPr>
                <w:p w14:paraId="199F75E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15</w:t>
                  </w:r>
                </w:p>
              </w:tc>
              <w:tc>
                <w:tcPr>
                  <w:tcW w:w="842" w:type="dxa"/>
                  <w:tcBorders>
                    <w:tl2br w:val="nil"/>
                    <w:tr2bl w:val="nil"/>
                  </w:tcBorders>
                  <w:vAlign w:val="center"/>
                </w:tcPr>
                <w:p w14:paraId="7A4D54C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0.9</w:t>
                  </w:r>
                </w:p>
              </w:tc>
              <w:tc>
                <w:tcPr>
                  <w:tcW w:w="712" w:type="dxa"/>
                  <w:tcBorders>
                    <w:tl2br w:val="nil"/>
                    <w:tr2bl w:val="nil"/>
                  </w:tcBorders>
                  <w:vAlign w:val="center"/>
                </w:tcPr>
                <w:p w14:paraId="644ADEE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常温</w:t>
                  </w:r>
                </w:p>
              </w:tc>
              <w:tc>
                <w:tcPr>
                  <w:tcW w:w="894" w:type="dxa"/>
                  <w:tcBorders>
                    <w:tl2br w:val="nil"/>
                    <w:tr2bl w:val="nil"/>
                  </w:tcBorders>
                  <w:vAlign w:val="center"/>
                </w:tcPr>
                <w:p w14:paraId="13324AA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一般排放口</w:t>
                  </w:r>
                </w:p>
              </w:tc>
            </w:tr>
            <w:tr w14:paraId="543258C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35" w:type="dxa"/>
                  <w:tcBorders>
                    <w:tl2br w:val="nil"/>
                    <w:tr2bl w:val="nil"/>
                  </w:tcBorders>
                  <w:vAlign w:val="center"/>
                </w:tcPr>
                <w:p w14:paraId="6A4165B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DA006</w:t>
                  </w:r>
                </w:p>
              </w:tc>
              <w:tc>
                <w:tcPr>
                  <w:tcW w:w="808" w:type="dxa"/>
                  <w:tcBorders>
                    <w:tl2br w:val="nil"/>
                    <w:tr2bl w:val="nil"/>
                  </w:tcBorders>
                  <w:vAlign w:val="center"/>
                </w:tcPr>
                <w:p w14:paraId="1C17A1D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w:t>
                  </w:r>
                  <w:r>
                    <w:rPr>
                      <w:rFonts w:hint="default" w:ascii="Times New Roman" w:hAnsi="Times New Roman" w:eastAsia="宋体" w:cs="Times New Roman"/>
                      <w:b w:val="0"/>
                      <w:bCs w:val="0"/>
                      <w:color w:val="auto"/>
                      <w:sz w:val="21"/>
                      <w:szCs w:val="21"/>
                      <w:vertAlign w:val="baseline"/>
                      <w:lang w:val="en-US" w:eastAsia="zh-CN"/>
                    </w:rPr>
                    <w:t>#排气筒</w:t>
                  </w:r>
                </w:p>
              </w:tc>
              <w:tc>
                <w:tcPr>
                  <w:tcW w:w="1238" w:type="dxa"/>
                  <w:tcBorders>
                    <w:tl2br w:val="nil"/>
                    <w:tr2bl w:val="nil"/>
                  </w:tcBorders>
                  <w:vAlign w:val="center"/>
                </w:tcPr>
                <w:p w14:paraId="7F17B51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油烟</w:t>
                  </w:r>
                </w:p>
              </w:tc>
              <w:tc>
                <w:tcPr>
                  <w:tcW w:w="1015" w:type="dxa"/>
                  <w:tcBorders>
                    <w:tl2br w:val="nil"/>
                    <w:tr2bl w:val="nil"/>
                  </w:tcBorders>
                  <w:vAlign w:val="center"/>
                </w:tcPr>
                <w:p w14:paraId="6445A60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107.481297</w:t>
                  </w:r>
                </w:p>
              </w:tc>
              <w:tc>
                <w:tcPr>
                  <w:tcW w:w="1058" w:type="dxa"/>
                  <w:tcBorders>
                    <w:tl2br w:val="nil"/>
                    <w:tr2bl w:val="nil"/>
                  </w:tcBorders>
                  <w:vAlign w:val="center"/>
                </w:tcPr>
                <w:p w14:paraId="5A931F2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31.327363</w:t>
                  </w:r>
                </w:p>
              </w:tc>
              <w:tc>
                <w:tcPr>
                  <w:tcW w:w="843" w:type="dxa"/>
                  <w:tcBorders>
                    <w:tl2br w:val="nil"/>
                    <w:tr2bl w:val="nil"/>
                  </w:tcBorders>
                  <w:vAlign w:val="center"/>
                </w:tcPr>
                <w:p w14:paraId="6AC8174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w:t>
                  </w:r>
                </w:p>
              </w:tc>
              <w:tc>
                <w:tcPr>
                  <w:tcW w:w="842" w:type="dxa"/>
                  <w:tcBorders>
                    <w:tl2br w:val="nil"/>
                    <w:tr2bl w:val="nil"/>
                  </w:tcBorders>
                  <w:vAlign w:val="center"/>
                </w:tcPr>
                <w:p w14:paraId="2726B35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0.2</w:t>
                  </w:r>
                </w:p>
              </w:tc>
              <w:tc>
                <w:tcPr>
                  <w:tcW w:w="712" w:type="dxa"/>
                  <w:tcBorders>
                    <w:tl2br w:val="nil"/>
                    <w:tr2bl w:val="nil"/>
                  </w:tcBorders>
                  <w:vAlign w:val="center"/>
                </w:tcPr>
                <w:p w14:paraId="1902945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常温</w:t>
                  </w:r>
                </w:p>
              </w:tc>
              <w:tc>
                <w:tcPr>
                  <w:tcW w:w="894" w:type="dxa"/>
                  <w:tcBorders>
                    <w:tl2br w:val="nil"/>
                    <w:tr2bl w:val="nil"/>
                  </w:tcBorders>
                  <w:vAlign w:val="center"/>
                </w:tcPr>
                <w:p w14:paraId="7FE902E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一般排放口</w:t>
                  </w:r>
                </w:p>
              </w:tc>
            </w:tr>
          </w:tbl>
          <w:p w14:paraId="464C9F7D">
            <w:pPr>
              <w:autoSpaceDE w:val="0"/>
              <w:autoSpaceDN w:val="0"/>
              <w:spacing w:line="360" w:lineRule="auto"/>
              <w:ind w:firstLine="422" w:firstLineChars="200"/>
              <w:rPr>
                <w:rFonts w:hint="eastAsia"/>
                <w:b/>
                <w:color w:val="auto"/>
                <w:kern w:val="0"/>
                <w:szCs w:val="21"/>
              </w:rPr>
            </w:pPr>
          </w:p>
        </w:tc>
      </w:tr>
    </w:tbl>
    <w:p w14:paraId="42443E6D">
      <w:pPr>
        <w:wordWrap w:val="0"/>
        <w:adjustRightInd w:val="0"/>
        <w:snapToGrid w:val="0"/>
        <w:spacing w:line="360" w:lineRule="auto"/>
        <w:rPr>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
        <w:gridCol w:w="14623"/>
      </w:tblGrid>
      <w:tr w14:paraId="519AF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noWrap w:val="0"/>
            <w:vAlign w:val="center"/>
          </w:tcPr>
          <w:p w14:paraId="3ED27E8F">
            <w:pPr>
              <w:wordWrap w:val="0"/>
              <w:jc w:val="center"/>
              <w:rPr>
                <w:b/>
                <w:sz w:val="24"/>
              </w:rPr>
            </w:pPr>
            <w:r>
              <w:rPr>
                <w:b/>
                <w:sz w:val="24"/>
              </w:rPr>
              <w:t>运营</w:t>
            </w:r>
          </w:p>
          <w:p w14:paraId="0FA3ACC8">
            <w:pPr>
              <w:wordWrap w:val="0"/>
              <w:jc w:val="center"/>
              <w:rPr>
                <w:b/>
                <w:sz w:val="24"/>
              </w:rPr>
            </w:pPr>
            <w:r>
              <w:rPr>
                <w:b/>
                <w:sz w:val="24"/>
              </w:rPr>
              <w:t>期环</w:t>
            </w:r>
          </w:p>
          <w:p w14:paraId="5ECB1AFE">
            <w:pPr>
              <w:wordWrap w:val="0"/>
              <w:jc w:val="center"/>
              <w:rPr>
                <w:b/>
                <w:sz w:val="24"/>
              </w:rPr>
            </w:pPr>
            <w:r>
              <w:rPr>
                <w:b/>
                <w:sz w:val="24"/>
              </w:rPr>
              <w:t>境影</w:t>
            </w:r>
          </w:p>
          <w:p w14:paraId="5F42B3B4">
            <w:pPr>
              <w:wordWrap w:val="0"/>
              <w:jc w:val="center"/>
              <w:rPr>
                <w:b/>
                <w:sz w:val="24"/>
              </w:rPr>
            </w:pPr>
            <w:r>
              <w:rPr>
                <w:b/>
                <w:sz w:val="24"/>
              </w:rPr>
              <w:t>响和</w:t>
            </w:r>
          </w:p>
          <w:p w14:paraId="6BF3893E">
            <w:pPr>
              <w:wordWrap w:val="0"/>
              <w:jc w:val="center"/>
              <w:rPr>
                <w:b/>
                <w:sz w:val="24"/>
              </w:rPr>
            </w:pPr>
            <w:r>
              <w:rPr>
                <w:b/>
                <w:sz w:val="24"/>
              </w:rPr>
              <w:t>保护</w:t>
            </w:r>
          </w:p>
          <w:p w14:paraId="454BCE9D">
            <w:pPr>
              <w:pStyle w:val="2"/>
              <w:wordWrap w:val="0"/>
              <w:snapToGrid/>
              <w:spacing w:before="0" w:after="0" w:line="240" w:lineRule="auto"/>
              <w:ind w:right="0"/>
              <w:jc w:val="center"/>
              <w:rPr>
                <w:rFonts w:cs="Times New Roman"/>
                <w:lang w:val="en-US" w:eastAsia="zh-CN" w:bidi="ar-SA"/>
              </w:rPr>
            </w:pPr>
            <w:r>
              <w:rPr>
                <w:rFonts w:cs="Times New Roman"/>
                <w:b/>
                <w:sz w:val="24"/>
                <w:lang w:val="en-US" w:eastAsia="zh-CN" w:bidi="ar-SA"/>
              </w:rPr>
              <w:t>措施</w:t>
            </w:r>
          </w:p>
        </w:tc>
        <w:tc>
          <w:tcPr>
            <w:tcW w:w="14623" w:type="dxa"/>
            <w:noWrap w:val="0"/>
            <w:vAlign w:val="top"/>
          </w:tcPr>
          <w:p w14:paraId="237C68A0">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1.3污染物排放信息</w:t>
            </w:r>
          </w:p>
          <w:p w14:paraId="670AC629">
            <w:pPr>
              <w:keepNext w:val="0"/>
              <w:keepLines w:val="0"/>
              <w:pageBreakBefore w:val="0"/>
              <w:widowControl w:val="0"/>
              <w:numPr>
                <w:ilvl w:val="0"/>
                <w:numId w:val="0"/>
              </w:numPr>
              <w:kinsoku/>
              <w:wordWrap/>
              <w:overflowPunct/>
              <w:topLinePunct w:val="0"/>
              <w:bidi w:val="0"/>
              <w:adjustRightInd/>
              <w:snapToGrid/>
              <w:spacing w:line="360" w:lineRule="auto"/>
              <w:ind w:leftChars="0" w:firstLine="480" w:firstLineChars="200"/>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val="0"/>
                <w:bCs w:val="0"/>
                <w:color w:val="auto"/>
                <w:sz w:val="24"/>
                <w:szCs w:val="24"/>
                <w:lang w:val="en-US" w:eastAsia="zh-CN"/>
              </w:rPr>
              <w:t>本项目废气污染物排放信息见下表：</w:t>
            </w:r>
          </w:p>
          <w:p w14:paraId="56F6A3F8">
            <w:pPr>
              <w:numPr>
                <w:ilvl w:val="0"/>
                <w:numId w:val="6"/>
              </w:numPr>
              <w:jc w:val="center"/>
              <w:rPr>
                <w:rFonts w:hint="default"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项目废气排放情况一览表</w:t>
            </w:r>
          </w:p>
          <w:tbl>
            <w:tblPr>
              <w:tblStyle w:val="27"/>
              <w:tblW w:w="14564"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25"/>
              <w:gridCol w:w="1269"/>
              <w:gridCol w:w="847"/>
              <w:gridCol w:w="480"/>
              <w:gridCol w:w="969"/>
              <w:gridCol w:w="785"/>
              <w:gridCol w:w="1154"/>
              <w:gridCol w:w="847"/>
              <w:gridCol w:w="847"/>
              <w:gridCol w:w="848"/>
              <w:gridCol w:w="942"/>
              <w:gridCol w:w="853"/>
              <w:gridCol w:w="837"/>
              <w:gridCol w:w="760"/>
              <w:gridCol w:w="848"/>
              <w:gridCol w:w="848"/>
              <w:gridCol w:w="1005"/>
            </w:tblGrid>
            <w:tr w14:paraId="1149DED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5" w:type="dxa"/>
                  <w:vMerge w:val="restart"/>
                  <w:tcBorders>
                    <w:tl2br w:val="nil"/>
                    <w:tr2bl w:val="nil"/>
                  </w:tcBorders>
                  <w:vAlign w:val="center"/>
                </w:tcPr>
                <w:p w14:paraId="25E3BA2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工序</w:t>
                  </w:r>
                </w:p>
              </w:tc>
              <w:tc>
                <w:tcPr>
                  <w:tcW w:w="1269" w:type="dxa"/>
                  <w:vMerge w:val="restart"/>
                  <w:tcBorders>
                    <w:tl2br w:val="nil"/>
                    <w:tr2bl w:val="nil"/>
                  </w:tcBorders>
                  <w:vAlign w:val="center"/>
                </w:tcPr>
                <w:p w14:paraId="4E2403ED">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污染物类型</w:t>
                  </w:r>
                </w:p>
              </w:tc>
              <w:tc>
                <w:tcPr>
                  <w:tcW w:w="847" w:type="dxa"/>
                  <w:vMerge w:val="restart"/>
                  <w:tcBorders>
                    <w:tl2br w:val="nil"/>
                    <w:tr2bl w:val="nil"/>
                  </w:tcBorders>
                  <w:vAlign w:val="center"/>
                </w:tcPr>
                <w:p w14:paraId="53D09B5A">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污染物种类</w:t>
                  </w:r>
                </w:p>
              </w:tc>
              <w:tc>
                <w:tcPr>
                  <w:tcW w:w="480" w:type="dxa"/>
                  <w:vMerge w:val="restart"/>
                  <w:tcBorders>
                    <w:tl2br w:val="nil"/>
                    <w:tr2bl w:val="nil"/>
                  </w:tcBorders>
                  <w:vAlign w:val="center"/>
                </w:tcPr>
                <w:p w14:paraId="358CEF0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核算方法</w:t>
                  </w:r>
                </w:p>
              </w:tc>
              <w:tc>
                <w:tcPr>
                  <w:tcW w:w="969" w:type="dxa"/>
                  <w:vMerge w:val="restart"/>
                  <w:tcBorders>
                    <w:tl2br w:val="nil"/>
                    <w:tr2bl w:val="nil"/>
                  </w:tcBorders>
                  <w:vAlign w:val="center"/>
                </w:tcPr>
                <w:p w14:paraId="682B623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污染物产生量(t/a)</w:t>
                  </w:r>
                </w:p>
              </w:tc>
              <w:tc>
                <w:tcPr>
                  <w:tcW w:w="2786" w:type="dxa"/>
                  <w:gridSpan w:val="3"/>
                  <w:tcBorders>
                    <w:tl2br w:val="nil"/>
                    <w:tr2bl w:val="nil"/>
                  </w:tcBorders>
                  <w:vAlign w:val="center"/>
                </w:tcPr>
                <w:p w14:paraId="0131B32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治理措施</w:t>
                  </w:r>
                </w:p>
              </w:tc>
              <w:tc>
                <w:tcPr>
                  <w:tcW w:w="5087" w:type="dxa"/>
                  <w:gridSpan w:val="6"/>
                  <w:tcBorders>
                    <w:tl2br w:val="nil"/>
                    <w:tr2bl w:val="nil"/>
                  </w:tcBorders>
                  <w:vAlign w:val="center"/>
                </w:tcPr>
                <w:p w14:paraId="1010F187">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污染物排放</w:t>
                  </w:r>
                </w:p>
              </w:tc>
              <w:tc>
                <w:tcPr>
                  <w:tcW w:w="848" w:type="dxa"/>
                  <w:vMerge w:val="restart"/>
                  <w:tcBorders>
                    <w:tl2br w:val="nil"/>
                    <w:tr2bl w:val="nil"/>
                  </w:tcBorders>
                  <w:vAlign w:val="center"/>
                </w:tcPr>
                <w:p w14:paraId="25F3E251">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排放口</w:t>
                  </w:r>
                </w:p>
                <w:p w14:paraId="772EE7A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编号</w:t>
                  </w:r>
                </w:p>
              </w:tc>
              <w:tc>
                <w:tcPr>
                  <w:tcW w:w="1853" w:type="dxa"/>
                  <w:gridSpan w:val="2"/>
                  <w:tcBorders>
                    <w:tl2br w:val="nil"/>
                    <w:tr2bl w:val="nil"/>
                  </w:tcBorders>
                  <w:vAlign w:val="center"/>
                </w:tcPr>
                <w:p w14:paraId="46C6EB87">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排放标准</w:t>
                  </w:r>
                </w:p>
              </w:tc>
            </w:tr>
            <w:tr w14:paraId="71156E7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5" w:type="dxa"/>
                  <w:vMerge w:val="continue"/>
                  <w:tcBorders>
                    <w:tl2br w:val="nil"/>
                    <w:tr2bl w:val="nil"/>
                  </w:tcBorders>
                  <w:vAlign w:val="center"/>
                </w:tcPr>
                <w:p w14:paraId="69B6626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269" w:type="dxa"/>
                  <w:vMerge w:val="continue"/>
                  <w:tcBorders>
                    <w:tl2br w:val="nil"/>
                    <w:tr2bl w:val="nil"/>
                  </w:tcBorders>
                  <w:vAlign w:val="center"/>
                </w:tcPr>
                <w:p w14:paraId="1AC0551E">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continue"/>
                  <w:tcBorders>
                    <w:tl2br w:val="nil"/>
                    <w:tr2bl w:val="nil"/>
                  </w:tcBorders>
                  <w:vAlign w:val="center"/>
                </w:tcPr>
                <w:p w14:paraId="58DC501D">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480" w:type="dxa"/>
                  <w:vMerge w:val="continue"/>
                  <w:tcBorders>
                    <w:tl2br w:val="nil"/>
                    <w:tr2bl w:val="nil"/>
                  </w:tcBorders>
                  <w:vAlign w:val="center"/>
                </w:tcPr>
                <w:p w14:paraId="5BF32685">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69" w:type="dxa"/>
                  <w:vMerge w:val="continue"/>
                  <w:tcBorders>
                    <w:tl2br w:val="nil"/>
                    <w:tr2bl w:val="nil"/>
                  </w:tcBorders>
                  <w:vAlign w:val="center"/>
                </w:tcPr>
                <w:p w14:paraId="1486B50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785" w:type="dxa"/>
                  <w:vMerge w:val="restart"/>
                  <w:tcBorders>
                    <w:tl2br w:val="nil"/>
                    <w:tr2bl w:val="nil"/>
                  </w:tcBorders>
                  <w:vAlign w:val="center"/>
                </w:tcPr>
                <w:p w14:paraId="6A5F90AA">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收集效率(%)</w:t>
                  </w:r>
                </w:p>
              </w:tc>
              <w:tc>
                <w:tcPr>
                  <w:tcW w:w="1154" w:type="dxa"/>
                  <w:vMerge w:val="restart"/>
                  <w:tcBorders>
                    <w:tl2br w:val="nil"/>
                    <w:tr2bl w:val="nil"/>
                  </w:tcBorders>
                  <w:vAlign w:val="center"/>
                </w:tcPr>
                <w:p w14:paraId="63C7BB5E">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治理工艺</w:t>
                  </w:r>
                </w:p>
              </w:tc>
              <w:tc>
                <w:tcPr>
                  <w:tcW w:w="847" w:type="dxa"/>
                  <w:vMerge w:val="restart"/>
                  <w:tcBorders>
                    <w:tl2br w:val="nil"/>
                    <w:tr2bl w:val="nil"/>
                  </w:tcBorders>
                  <w:vAlign w:val="center"/>
                </w:tcPr>
                <w:p w14:paraId="585CB18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去除效率(%)</w:t>
                  </w:r>
                </w:p>
              </w:tc>
              <w:tc>
                <w:tcPr>
                  <w:tcW w:w="847" w:type="dxa"/>
                  <w:vMerge w:val="restart"/>
                  <w:tcBorders>
                    <w:tl2br w:val="nil"/>
                    <w:tr2bl w:val="nil"/>
                  </w:tcBorders>
                  <w:vAlign w:val="center"/>
                </w:tcPr>
                <w:p w14:paraId="59EBF5B0">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排放形式</w:t>
                  </w:r>
                </w:p>
              </w:tc>
              <w:tc>
                <w:tcPr>
                  <w:tcW w:w="848" w:type="dxa"/>
                  <w:vMerge w:val="restart"/>
                  <w:tcBorders>
                    <w:tl2br w:val="nil"/>
                    <w:tr2bl w:val="nil"/>
                  </w:tcBorders>
                  <w:vAlign w:val="center"/>
                </w:tcPr>
                <w:p w14:paraId="3C66E391">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废气量(m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/h)</w:t>
                  </w:r>
                </w:p>
              </w:tc>
              <w:tc>
                <w:tcPr>
                  <w:tcW w:w="942" w:type="dxa"/>
                  <w:vMerge w:val="restart"/>
                  <w:tcBorders>
                    <w:tl2br w:val="nil"/>
                    <w:tr2bl w:val="nil"/>
                  </w:tcBorders>
                  <w:vAlign w:val="center"/>
                </w:tcPr>
                <w:p w14:paraId="1182096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浓度(mg/m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w:t>
                  </w:r>
                </w:p>
              </w:tc>
              <w:tc>
                <w:tcPr>
                  <w:tcW w:w="1690" w:type="dxa"/>
                  <w:gridSpan w:val="2"/>
                  <w:tcBorders>
                    <w:tl2br w:val="nil"/>
                    <w:tr2bl w:val="nil"/>
                  </w:tcBorders>
                  <w:vAlign w:val="center"/>
                </w:tcPr>
                <w:p w14:paraId="506A537E">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排放量</w:t>
                  </w:r>
                </w:p>
              </w:tc>
              <w:tc>
                <w:tcPr>
                  <w:tcW w:w="760" w:type="dxa"/>
                  <w:vMerge w:val="restart"/>
                  <w:tcBorders>
                    <w:tl2br w:val="nil"/>
                    <w:tr2bl w:val="nil"/>
                  </w:tcBorders>
                  <w:vAlign w:val="center"/>
                </w:tcPr>
                <w:p w14:paraId="6105B17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排放时间(h)</w:t>
                  </w:r>
                </w:p>
              </w:tc>
              <w:tc>
                <w:tcPr>
                  <w:tcW w:w="848" w:type="dxa"/>
                  <w:vMerge w:val="continue"/>
                  <w:tcBorders>
                    <w:tl2br w:val="nil"/>
                    <w:tr2bl w:val="nil"/>
                  </w:tcBorders>
                  <w:vAlign w:val="center"/>
                </w:tcPr>
                <w:p w14:paraId="55F59315">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vMerge w:val="restart"/>
                  <w:tcBorders>
                    <w:tl2br w:val="nil"/>
                    <w:tr2bl w:val="nil"/>
                  </w:tcBorders>
                  <w:vAlign w:val="center"/>
                </w:tcPr>
                <w:p w14:paraId="58477431">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kg/h</w:t>
                  </w:r>
                </w:p>
              </w:tc>
              <w:tc>
                <w:tcPr>
                  <w:tcW w:w="1005" w:type="dxa"/>
                  <w:vMerge w:val="restart"/>
                  <w:tcBorders>
                    <w:tl2br w:val="nil"/>
                    <w:tr2bl w:val="nil"/>
                  </w:tcBorders>
                  <w:vAlign w:val="center"/>
                </w:tcPr>
                <w:p w14:paraId="2A4329E5">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mg/m</w:t>
                  </w:r>
                  <w:r>
                    <w:rPr>
                      <w:rFonts w:hint="default" w:ascii="Times New Roman" w:hAnsi="Times New Roman" w:eastAsia="宋体" w:cs="Times New Roman"/>
                      <w:sz w:val="21"/>
                      <w:szCs w:val="21"/>
                      <w:vertAlign w:val="superscript"/>
                      <w:lang w:val="en-US" w:eastAsia="zh-CN"/>
                    </w:rPr>
                    <w:t>3</w:t>
                  </w:r>
                </w:p>
              </w:tc>
            </w:tr>
            <w:tr w14:paraId="20235FC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5" w:type="dxa"/>
                  <w:vMerge w:val="continue"/>
                  <w:tcBorders>
                    <w:tl2br w:val="nil"/>
                    <w:tr2bl w:val="nil"/>
                  </w:tcBorders>
                  <w:vAlign w:val="center"/>
                </w:tcPr>
                <w:p w14:paraId="4B4C292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269" w:type="dxa"/>
                  <w:vMerge w:val="continue"/>
                  <w:tcBorders>
                    <w:tl2br w:val="nil"/>
                    <w:tr2bl w:val="nil"/>
                  </w:tcBorders>
                  <w:vAlign w:val="center"/>
                </w:tcPr>
                <w:p w14:paraId="16433D1B">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continue"/>
                  <w:tcBorders>
                    <w:tl2br w:val="nil"/>
                    <w:tr2bl w:val="nil"/>
                  </w:tcBorders>
                  <w:vAlign w:val="center"/>
                </w:tcPr>
                <w:p w14:paraId="26D0EBE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480" w:type="dxa"/>
                  <w:vMerge w:val="continue"/>
                  <w:tcBorders>
                    <w:tl2br w:val="nil"/>
                    <w:tr2bl w:val="nil"/>
                  </w:tcBorders>
                  <w:vAlign w:val="center"/>
                </w:tcPr>
                <w:p w14:paraId="1A02D459">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69" w:type="dxa"/>
                  <w:vMerge w:val="continue"/>
                  <w:tcBorders>
                    <w:tl2br w:val="nil"/>
                    <w:tr2bl w:val="nil"/>
                  </w:tcBorders>
                  <w:vAlign w:val="center"/>
                </w:tcPr>
                <w:p w14:paraId="1325C891">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785" w:type="dxa"/>
                  <w:vMerge w:val="continue"/>
                  <w:tcBorders>
                    <w:tl2br w:val="nil"/>
                    <w:tr2bl w:val="nil"/>
                  </w:tcBorders>
                  <w:vAlign w:val="center"/>
                </w:tcPr>
                <w:p w14:paraId="4B58AD81">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154" w:type="dxa"/>
                  <w:vMerge w:val="continue"/>
                  <w:tcBorders>
                    <w:tl2br w:val="nil"/>
                    <w:tr2bl w:val="nil"/>
                  </w:tcBorders>
                  <w:vAlign w:val="center"/>
                </w:tcPr>
                <w:p w14:paraId="45C3D0D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continue"/>
                  <w:tcBorders>
                    <w:tl2br w:val="nil"/>
                    <w:tr2bl w:val="nil"/>
                  </w:tcBorders>
                  <w:vAlign w:val="center"/>
                </w:tcPr>
                <w:p w14:paraId="28E6DED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continue"/>
                  <w:tcBorders>
                    <w:tl2br w:val="nil"/>
                    <w:tr2bl w:val="nil"/>
                  </w:tcBorders>
                  <w:vAlign w:val="center"/>
                </w:tcPr>
                <w:p w14:paraId="5AD18C25">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vMerge w:val="continue"/>
                  <w:tcBorders>
                    <w:tl2br w:val="nil"/>
                    <w:tr2bl w:val="nil"/>
                  </w:tcBorders>
                  <w:vAlign w:val="center"/>
                </w:tcPr>
                <w:p w14:paraId="46D716AD">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42" w:type="dxa"/>
                  <w:vMerge w:val="continue"/>
                  <w:tcBorders>
                    <w:tl2br w:val="nil"/>
                    <w:tr2bl w:val="nil"/>
                  </w:tcBorders>
                  <w:vAlign w:val="center"/>
                </w:tcPr>
                <w:p w14:paraId="5C116C1A">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53" w:type="dxa"/>
                  <w:tcBorders>
                    <w:tl2br w:val="nil"/>
                    <w:tr2bl w:val="nil"/>
                  </w:tcBorders>
                  <w:vAlign w:val="center"/>
                </w:tcPr>
                <w:p w14:paraId="024669D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kg/h</w:t>
                  </w:r>
                </w:p>
              </w:tc>
              <w:tc>
                <w:tcPr>
                  <w:tcW w:w="837" w:type="dxa"/>
                  <w:tcBorders>
                    <w:tl2br w:val="nil"/>
                    <w:tr2bl w:val="nil"/>
                  </w:tcBorders>
                  <w:vAlign w:val="center"/>
                </w:tcPr>
                <w:p w14:paraId="5FA3C651">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t/a</w:t>
                  </w:r>
                </w:p>
              </w:tc>
              <w:tc>
                <w:tcPr>
                  <w:tcW w:w="760" w:type="dxa"/>
                  <w:vMerge w:val="continue"/>
                  <w:tcBorders>
                    <w:tl2br w:val="nil"/>
                    <w:tr2bl w:val="nil"/>
                  </w:tcBorders>
                  <w:vAlign w:val="center"/>
                </w:tcPr>
                <w:p w14:paraId="7F4FB21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vMerge w:val="continue"/>
                  <w:tcBorders>
                    <w:tl2br w:val="nil"/>
                    <w:tr2bl w:val="nil"/>
                  </w:tcBorders>
                  <w:vAlign w:val="center"/>
                </w:tcPr>
                <w:p w14:paraId="5013C94B">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vMerge w:val="continue"/>
                  <w:tcBorders>
                    <w:tl2br w:val="nil"/>
                    <w:tr2bl w:val="nil"/>
                  </w:tcBorders>
                  <w:vAlign w:val="center"/>
                </w:tcPr>
                <w:p w14:paraId="1CA678CD">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005" w:type="dxa"/>
                  <w:vMerge w:val="continue"/>
                  <w:tcBorders>
                    <w:tl2br w:val="nil"/>
                    <w:tr2bl w:val="nil"/>
                  </w:tcBorders>
                  <w:vAlign w:val="center"/>
                </w:tcPr>
                <w:p w14:paraId="62926D58">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r>
            <w:tr w14:paraId="61F9026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25" w:type="dxa"/>
                  <w:vMerge w:val="restart"/>
                  <w:tcBorders>
                    <w:tl2br w:val="nil"/>
                    <w:tr2bl w:val="nil"/>
                  </w:tcBorders>
                  <w:vAlign w:val="center"/>
                </w:tcPr>
                <w:p w14:paraId="2CEB334E">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生产</w:t>
                  </w:r>
                </w:p>
              </w:tc>
              <w:tc>
                <w:tcPr>
                  <w:tcW w:w="1269" w:type="dxa"/>
                  <w:vMerge w:val="restart"/>
                  <w:tcBorders>
                    <w:tl2br w:val="nil"/>
                    <w:tr2bl w:val="nil"/>
                  </w:tcBorders>
                  <w:vAlign w:val="center"/>
                </w:tcPr>
                <w:p w14:paraId="782CBD57">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输送粉尘</w:t>
                  </w:r>
                  <w:r>
                    <w:rPr>
                      <w:rFonts w:hint="default" w:ascii="Times New Roman" w:hAnsi="Times New Roman" w:eastAsia="宋体" w:cs="Times New Roman"/>
                      <w:sz w:val="21"/>
                      <w:szCs w:val="21"/>
                      <w:vertAlign w:val="baseline"/>
                      <w:lang w:val="en-US" w:eastAsia="zh-CN"/>
                    </w:rPr>
                    <w:t>、烘干粉尘、提升粉尘、筛分粉尘、烘干系统天然气燃烧废气</w:t>
                  </w:r>
                </w:p>
              </w:tc>
              <w:tc>
                <w:tcPr>
                  <w:tcW w:w="847" w:type="dxa"/>
                  <w:vMerge w:val="restart"/>
                  <w:tcBorders>
                    <w:tl2br w:val="nil"/>
                    <w:tr2bl w:val="nil"/>
                  </w:tcBorders>
                  <w:vAlign w:val="center"/>
                </w:tcPr>
                <w:p w14:paraId="5EA55AFA">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p>
              </w:tc>
              <w:tc>
                <w:tcPr>
                  <w:tcW w:w="480" w:type="dxa"/>
                  <w:vMerge w:val="restart"/>
                  <w:tcBorders>
                    <w:tl2br w:val="nil"/>
                    <w:tr2bl w:val="nil"/>
                  </w:tcBorders>
                  <w:vAlign w:val="center"/>
                </w:tcPr>
                <w:p w14:paraId="117CDDC5">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产污系数</w:t>
                  </w:r>
                </w:p>
              </w:tc>
              <w:tc>
                <w:tcPr>
                  <w:tcW w:w="969" w:type="dxa"/>
                  <w:vMerge w:val="restart"/>
                  <w:tcBorders>
                    <w:tl2br w:val="nil"/>
                    <w:tr2bl w:val="nil"/>
                  </w:tcBorders>
                  <w:vAlign w:val="center"/>
                </w:tcPr>
                <w:p w14:paraId="50C78B3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552.572</w:t>
                  </w:r>
                </w:p>
              </w:tc>
              <w:tc>
                <w:tcPr>
                  <w:tcW w:w="785" w:type="dxa"/>
                  <w:vMerge w:val="restart"/>
                  <w:tcBorders>
                    <w:tl2br w:val="nil"/>
                    <w:tr2bl w:val="nil"/>
                  </w:tcBorders>
                  <w:vAlign w:val="center"/>
                </w:tcPr>
                <w:p w14:paraId="3BEE648E">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95</w:t>
                  </w:r>
                </w:p>
              </w:tc>
              <w:tc>
                <w:tcPr>
                  <w:tcW w:w="1154" w:type="dxa"/>
                  <w:vMerge w:val="restart"/>
                  <w:tcBorders>
                    <w:tl2br w:val="nil"/>
                    <w:tr2bl w:val="nil"/>
                  </w:tcBorders>
                  <w:vAlign w:val="center"/>
                </w:tcPr>
                <w:p w14:paraId="734FF10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密闭收集+高温布袋除尘器（TA001）</w:t>
                  </w:r>
                </w:p>
              </w:tc>
              <w:tc>
                <w:tcPr>
                  <w:tcW w:w="847" w:type="dxa"/>
                  <w:vMerge w:val="restart"/>
                  <w:tcBorders>
                    <w:tl2br w:val="nil"/>
                    <w:tr2bl w:val="nil"/>
                  </w:tcBorders>
                  <w:vAlign w:val="center"/>
                </w:tcPr>
                <w:p w14:paraId="07F6E36D">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99.7</w:t>
                  </w:r>
                </w:p>
              </w:tc>
              <w:tc>
                <w:tcPr>
                  <w:tcW w:w="847" w:type="dxa"/>
                  <w:tcBorders>
                    <w:tl2br w:val="nil"/>
                    <w:tr2bl w:val="nil"/>
                  </w:tcBorders>
                  <w:vAlign w:val="center"/>
                </w:tcPr>
                <w:p w14:paraId="44F4068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有组织</w:t>
                  </w:r>
                </w:p>
              </w:tc>
              <w:tc>
                <w:tcPr>
                  <w:tcW w:w="848" w:type="dxa"/>
                  <w:vMerge w:val="restart"/>
                  <w:tcBorders>
                    <w:tl2br w:val="nil"/>
                    <w:tr2bl w:val="nil"/>
                  </w:tcBorders>
                  <w:vAlign w:val="center"/>
                </w:tcPr>
                <w:p w14:paraId="69AF8A47">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100000</w:t>
                  </w:r>
                </w:p>
              </w:tc>
              <w:tc>
                <w:tcPr>
                  <w:tcW w:w="942" w:type="dxa"/>
                  <w:tcBorders>
                    <w:tl2br w:val="nil"/>
                    <w:tr2bl w:val="nil"/>
                  </w:tcBorders>
                  <w:vAlign w:val="center"/>
                </w:tcPr>
                <w:p w14:paraId="2B17FF7B">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4.7722</w:t>
                  </w:r>
                </w:p>
              </w:tc>
              <w:tc>
                <w:tcPr>
                  <w:tcW w:w="853" w:type="dxa"/>
                  <w:tcBorders>
                    <w:tl2br w:val="nil"/>
                    <w:tr2bl w:val="nil"/>
                  </w:tcBorders>
                  <w:vAlign w:val="center"/>
                </w:tcPr>
                <w:p w14:paraId="54CCF5A9">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0.4772</w:t>
                  </w:r>
                </w:p>
              </w:tc>
              <w:tc>
                <w:tcPr>
                  <w:tcW w:w="837" w:type="dxa"/>
                  <w:tcBorders>
                    <w:tl2br w:val="nil"/>
                    <w:tr2bl w:val="nil"/>
                  </w:tcBorders>
                  <w:vAlign w:val="center"/>
                </w:tcPr>
                <w:p w14:paraId="2A3E4F4E">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1.5748</w:t>
                  </w:r>
                </w:p>
              </w:tc>
              <w:tc>
                <w:tcPr>
                  <w:tcW w:w="760" w:type="dxa"/>
                  <w:vMerge w:val="restart"/>
                  <w:tcBorders>
                    <w:tl2br w:val="nil"/>
                    <w:tr2bl w:val="nil"/>
                  </w:tcBorders>
                  <w:vAlign w:val="center"/>
                </w:tcPr>
                <w:p w14:paraId="095D55BA">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3300</w:t>
                  </w:r>
                </w:p>
              </w:tc>
              <w:tc>
                <w:tcPr>
                  <w:tcW w:w="848" w:type="dxa"/>
                  <w:vMerge w:val="restart"/>
                  <w:tcBorders>
                    <w:tl2br w:val="nil"/>
                    <w:tr2bl w:val="nil"/>
                  </w:tcBorders>
                  <w:vAlign w:val="center"/>
                </w:tcPr>
                <w:p w14:paraId="1AB3661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DA001</w:t>
                  </w:r>
                </w:p>
              </w:tc>
              <w:tc>
                <w:tcPr>
                  <w:tcW w:w="848" w:type="dxa"/>
                  <w:tcBorders>
                    <w:tl2br w:val="nil"/>
                    <w:tr2bl w:val="nil"/>
                  </w:tcBorders>
                  <w:vAlign w:val="center"/>
                </w:tcPr>
                <w:p w14:paraId="40F92C3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05" w:type="dxa"/>
                  <w:tcBorders>
                    <w:tl2br w:val="nil"/>
                    <w:tr2bl w:val="nil"/>
                  </w:tcBorders>
                  <w:vAlign w:val="center"/>
                </w:tcPr>
                <w:p w14:paraId="1A05DCC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30</w:t>
                  </w:r>
                </w:p>
              </w:tc>
            </w:tr>
            <w:tr w14:paraId="6061B5C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25" w:type="dxa"/>
                  <w:vMerge w:val="continue"/>
                  <w:tcBorders>
                    <w:tl2br w:val="nil"/>
                    <w:tr2bl w:val="nil"/>
                  </w:tcBorders>
                  <w:vAlign w:val="center"/>
                </w:tcPr>
                <w:p w14:paraId="548BA21A">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Times New Roman" w:hAnsi="Times New Roman" w:eastAsia="宋体" w:cs="Times New Roman"/>
                      <w:sz w:val="21"/>
                      <w:szCs w:val="21"/>
                      <w:vertAlign w:val="baseline"/>
                      <w:lang w:val="en-US" w:eastAsia="zh-CN"/>
                    </w:rPr>
                  </w:pPr>
                </w:p>
              </w:tc>
              <w:tc>
                <w:tcPr>
                  <w:tcW w:w="1269" w:type="dxa"/>
                  <w:vMerge w:val="continue"/>
                  <w:tcBorders>
                    <w:tl2br w:val="nil"/>
                    <w:tr2bl w:val="nil"/>
                  </w:tcBorders>
                  <w:vAlign w:val="center"/>
                </w:tcPr>
                <w:p w14:paraId="2DE99B91">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continue"/>
                  <w:tcBorders>
                    <w:tl2br w:val="nil"/>
                    <w:tr2bl w:val="nil"/>
                  </w:tcBorders>
                  <w:vAlign w:val="center"/>
                </w:tcPr>
                <w:p w14:paraId="4BDFEB48">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480" w:type="dxa"/>
                  <w:vMerge w:val="continue"/>
                  <w:tcBorders>
                    <w:tl2br w:val="nil"/>
                    <w:tr2bl w:val="nil"/>
                  </w:tcBorders>
                  <w:vAlign w:val="center"/>
                </w:tcPr>
                <w:p w14:paraId="295E173E">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Times New Roman" w:hAnsi="Times New Roman" w:eastAsia="宋体" w:cs="Times New Roman"/>
                      <w:sz w:val="21"/>
                      <w:szCs w:val="21"/>
                      <w:vertAlign w:val="baseline"/>
                      <w:lang w:val="en-US" w:eastAsia="zh-CN"/>
                    </w:rPr>
                  </w:pPr>
                </w:p>
              </w:tc>
              <w:tc>
                <w:tcPr>
                  <w:tcW w:w="969" w:type="dxa"/>
                  <w:vMerge w:val="continue"/>
                  <w:tcBorders>
                    <w:tl2br w:val="nil"/>
                    <w:tr2bl w:val="nil"/>
                  </w:tcBorders>
                  <w:vAlign w:val="center"/>
                </w:tcPr>
                <w:p w14:paraId="25552677">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785" w:type="dxa"/>
                  <w:vMerge w:val="continue"/>
                  <w:tcBorders>
                    <w:tl2br w:val="nil"/>
                    <w:tr2bl w:val="nil"/>
                  </w:tcBorders>
                  <w:vAlign w:val="center"/>
                </w:tcPr>
                <w:p w14:paraId="20E35532">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Times New Roman" w:hAnsi="Times New Roman" w:eastAsia="宋体" w:cs="Times New Roman"/>
                      <w:sz w:val="21"/>
                      <w:szCs w:val="21"/>
                      <w:vertAlign w:val="baseline"/>
                      <w:lang w:val="en-US" w:eastAsia="zh-CN"/>
                    </w:rPr>
                  </w:pPr>
                </w:p>
              </w:tc>
              <w:tc>
                <w:tcPr>
                  <w:tcW w:w="1154" w:type="dxa"/>
                  <w:vMerge w:val="continue"/>
                  <w:tcBorders>
                    <w:tl2br w:val="nil"/>
                    <w:tr2bl w:val="nil"/>
                  </w:tcBorders>
                  <w:vAlign w:val="center"/>
                </w:tcPr>
                <w:p w14:paraId="2122A66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continue"/>
                  <w:tcBorders>
                    <w:tl2br w:val="nil"/>
                    <w:tr2bl w:val="nil"/>
                  </w:tcBorders>
                  <w:vAlign w:val="center"/>
                </w:tcPr>
                <w:p w14:paraId="404EBB05">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Times New Roman" w:hAnsi="Times New Roman" w:eastAsia="宋体" w:cs="Times New Roman"/>
                      <w:sz w:val="21"/>
                      <w:szCs w:val="21"/>
                      <w:vertAlign w:val="baseline"/>
                      <w:lang w:val="en-US" w:eastAsia="zh-CN"/>
                    </w:rPr>
                  </w:pPr>
                </w:p>
              </w:tc>
              <w:tc>
                <w:tcPr>
                  <w:tcW w:w="847" w:type="dxa"/>
                  <w:tcBorders>
                    <w:tl2br w:val="nil"/>
                    <w:tr2bl w:val="nil"/>
                  </w:tcBorders>
                  <w:vAlign w:val="center"/>
                </w:tcPr>
                <w:p w14:paraId="448559EE">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无组织</w:t>
                  </w:r>
                </w:p>
              </w:tc>
              <w:tc>
                <w:tcPr>
                  <w:tcW w:w="848" w:type="dxa"/>
                  <w:vMerge w:val="continue"/>
                  <w:tcBorders>
                    <w:tl2br w:val="nil"/>
                    <w:tr2bl w:val="nil"/>
                  </w:tcBorders>
                  <w:vAlign w:val="center"/>
                </w:tcPr>
                <w:p w14:paraId="133FEA1E">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42" w:type="dxa"/>
                  <w:tcBorders>
                    <w:tl2br w:val="nil"/>
                    <w:tr2bl w:val="nil"/>
                  </w:tcBorders>
                  <w:vAlign w:val="center"/>
                </w:tcPr>
                <w:p w14:paraId="66B73058">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853" w:type="dxa"/>
                  <w:tcBorders>
                    <w:tl2br w:val="nil"/>
                    <w:tr2bl w:val="nil"/>
                  </w:tcBorders>
                  <w:vAlign w:val="center"/>
                </w:tcPr>
                <w:p w14:paraId="1995616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0.0837</w:t>
                  </w:r>
                </w:p>
              </w:tc>
              <w:tc>
                <w:tcPr>
                  <w:tcW w:w="837" w:type="dxa"/>
                  <w:tcBorders>
                    <w:tl2br w:val="nil"/>
                    <w:tr2bl w:val="nil"/>
                  </w:tcBorders>
                  <w:vAlign w:val="center"/>
                </w:tcPr>
                <w:p w14:paraId="7714D9D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0.2763</w:t>
                  </w:r>
                </w:p>
              </w:tc>
              <w:tc>
                <w:tcPr>
                  <w:tcW w:w="760" w:type="dxa"/>
                  <w:vMerge w:val="continue"/>
                  <w:tcBorders>
                    <w:tl2br w:val="nil"/>
                    <w:tr2bl w:val="nil"/>
                  </w:tcBorders>
                  <w:vAlign w:val="center"/>
                </w:tcPr>
                <w:p w14:paraId="097485F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vMerge w:val="continue"/>
                  <w:tcBorders>
                    <w:tl2br w:val="nil"/>
                    <w:tr2bl w:val="nil"/>
                  </w:tcBorders>
                  <w:vAlign w:val="center"/>
                </w:tcPr>
                <w:p w14:paraId="1A9CC4F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tcBorders>
                    <w:tl2br w:val="nil"/>
                    <w:tr2bl w:val="nil"/>
                  </w:tcBorders>
                  <w:vAlign w:val="center"/>
                </w:tcPr>
                <w:p w14:paraId="5985483B">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05" w:type="dxa"/>
                  <w:tcBorders>
                    <w:tl2br w:val="nil"/>
                    <w:tr2bl w:val="nil"/>
                  </w:tcBorders>
                  <w:vAlign w:val="center"/>
                </w:tcPr>
                <w:p w14:paraId="0DE1A70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r>
            <w:tr w14:paraId="6FD1027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25" w:type="dxa"/>
                  <w:vMerge w:val="continue"/>
                  <w:tcBorders>
                    <w:tl2br w:val="nil"/>
                    <w:tr2bl w:val="nil"/>
                  </w:tcBorders>
                  <w:vAlign w:val="center"/>
                </w:tcPr>
                <w:p w14:paraId="5BE29E5A">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269" w:type="dxa"/>
                  <w:vMerge w:val="continue"/>
                  <w:tcBorders>
                    <w:tl2br w:val="nil"/>
                    <w:tr2bl w:val="nil"/>
                  </w:tcBorders>
                  <w:vAlign w:val="center"/>
                </w:tcPr>
                <w:p w14:paraId="683C4D8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restart"/>
                  <w:tcBorders>
                    <w:tl2br w:val="nil"/>
                    <w:tr2bl w:val="nil"/>
                  </w:tcBorders>
                  <w:vAlign w:val="center"/>
                </w:tcPr>
                <w:p w14:paraId="00A0AEE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NO</w:t>
                  </w:r>
                  <w:r>
                    <w:rPr>
                      <w:rFonts w:hint="eastAsia" w:ascii="Times New Roman" w:hAnsi="Times New Roman" w:eastAsia="宋体" w:cs="Times New Roman"/>
                      <w:sz w:val="21"/>
                      <w:szCs w:val="21"/>
                      <w:vertAlign w:val="subscript"/>
                      <w:lang w:val="en-US" w:eastAsia="zh-CN"/>
                    </w:rPr>
                    <w:t>x</w:t>
                  </w:r>
                </w:p>
              </w:tc>
              <w:tc>
                <w:tcPr>
                  <w:tcW w:w="480" w:type="dxa"/>
                  <w:vMerge w:val="continue"/>
                  <w:tcBorders>
                    <w:tl2br w:val="nil"/>
                    <w:tr2bl w:val="nil"/>
                  </w:tcBorders>
                  <w:vAlign w:val="center"/>
                </w:tcPr>
                <w:p w14:paraId="400ED5D8">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69" w:type="dxa"/>
                  <w:vMerge w:val="restart"/>
                  <w:tcBorders>
                    <w:tl2br w:val="nil"/>
                    <w:tr2bl w:val="nil"/>
                  </w:tcBorders>
                  <w:vAlign w:val="center"/>
                </w:tcPr>
                <w:p w14:paraId="515D0CB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3.74</w:t>
                  </w:r>
                </w:p>
              </w:tc>
              <w:tc>
                <w:tcPr>
                  <w:tcW w:w="785" w:type="dxa"/>
                  <w:vMerge w:val="continue"/>
                  <w:tcBorders>
                    <w:tl2br w:val="nil"/>
                    <w:tr2bl w:val="nil"/>
                  </w:tcBorders>
                  <w:vAlign w:val="center"/>
                </w:tcPr>
                <w:p w14:paraId="6E606DA1">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154" w:type="dxa"/>
                  <w:vMerge w:val="continue"/>
                  <w:tcBorders>
                    <w:tl2br w:val="nil"/>
                    <w:tr2bl w:val="nil"/>
                  </w:tcBorders>
                  <w:vAlign w:val="center"/>
                </w:tcPr>
                <w:p w14:paraId="52487209">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restart"/>
                  <w:tcBorders>
                    <w:tl2br w:val="nil"/>
                    <w:tr2bl w:val="nil"/>
                  </w:tcBorders>
                  <w:vAlign w:val="center"/>
                </w:tcPr>
                <w:p w14:paraId="018F7440">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847" w:type="dxa"/>
                  <w:tcBorders>
                    <w:tl2br w:val="nil"/>
                    <w:tr2bl w:val="nil"/>
                  </w:tcBorders>
                  <w:vAlign w:val="center"/>
                </w:tcPr>
                <w:p w14:paraId="3E17DA26">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有组织</w:t>
                  </w:r>
                </w:p>
              </w:tc>
              <w:tc>
                <w:tcPr>
                  <w:tcW w:w="848" w:type="dxa"/>
                  <w:vMerge w:val="continue"/>
                  <w:tcBorders>
                    <w:tl2br w:val="nil"/>
                    <w:tr2bl w:val="nil"/>
                  </w:tcBorders>
                  <w:vAlign w:val="center"/>
                </w:tcPr>
                <w:p w14:paraId="550AC105">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42" w:type="dxa"/>
                  <w:tcBorders>
                    <w:tl2br w:val="nil"/>
                    <w:tr2bl w:val="nil"/>
                  </w:tcBorders>
                  <w:vAlign w:val="center"/>
                </w:tcPr>
                <w:p w14:paraId="370CC0E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10.7667</w:t>
                  </w:r>
                </w:p>
              </w:tc>
              <w:tc>
                <w:tcPr>
                  <w:tcW w:w="853" w:type="dxa"/>
                  <w:tcBorders>
                    <w:tl2br w:val="nil"/>
                    <w:tr2bl w:val="nil"/>
                  </w:tcBorders>
                  <w:vAlign w:val="center"/>
                </w:tcPr>
                <w:p w14:paraId="3E056339">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1.0767</w:t>
                  </w:r>
                </w:p>
              </w:tc>
              <w:tc>
                <w:tcPr>
                  <w:tcW w:w="837" w:type="dxa"/>
                  <w:tcBorders>
                    <w:tl2br w:val="nil"/>
                    <w:tr2bl w:val="nil"/>
                  </w:tcBorders>
                  <w:vAlign w:val="center"/>
                </w:tcPr>
                <w:p w14:paraId="12EB8D3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3.553</w:t>
                  </w:r>
                </w:p>
              </w:tc>
              <w:tc>
                <w:tcPr>
                  <w:tcW w:w="760" w:type="dxa"/>
                  <w:vMerge w:val="continue"/>
                  <w:tcBorders>
                    <w:tl2br w:val="nil"/>
                    <w:tr2bl w:val="nil"/>
                  </w:tcBorders>
                  <w:vAlign w:val="center"/>
                </w:tcPr>
                <w:p w14:paraId="3DD0DD8B">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vMerge w:val="continue"/>
                  <w:tcBorders>
                    <w:tl2br w:val="nil"/>
                    <w:tr2bl w:val="nil"/>
                  </w:tcBorders>
                  <w:vAlign w:val="center"/>
                </w:tcPr>
                <w:p w14:paraId="3A6BFCA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tcBorders>
                    <w:tl2br w:val="nil"/>
                    <w:tr2bl w:val="nil"/>
                  </w:tcBorders>
                  <w:vAlign w:val="center"/>
                </w:tcPr>
                <w:p w14:paraId="1FA871F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05" w:type="dxa"/>
                  <w:tcBorders>
                    <w:tl2br w:val="nil"/>
                    <w:tr2bl w:val="nil"/>
                  </w:tcBorders>
                  <w:vAlign w:val="center"/>
                </w:tcPr>
                <w:p w14:paraId="50AEFF9A">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200</w:t>
                  </w:r>
                </w:p>
              </w:tc>
            </w:tr>
            <w:tr w14:paraId="40D3B74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25" w:type="dxa"/>
                  <w:vMerge w:val="continue"/>
                  <w:tcBorders>
                    <w:tl2br w:val="nil"/>
                    <w:tr2bl w:val="nil"/>
                  </w:tcBorders>
                  <w:vAlign w:val="center"/>
                </w:tcPr>
                <w:p w14:paraId="4846210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269" w:type="dxa"/>
                  <w:vMerge w:val="continue"/>
                  <w:tcBorders>
                    <w:tl2br w:val="nil"/>
                    <w:tr2bl w:val="nil"/>
                  </w:tcBorders>
                  <w:vAlign w:val="center"/>
                </w:tcPr>
                <w:p w14:paraId="46CDD307">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continue"/>
                  <w:tcBorders>
                    <w:tl2br w:val="nil"/>
                    <w:tr2bl w:val="nil"/>
                  </w:tcBorders>
                  <w:vAlign w:val="center"/>
                </w:tcPr>
                <w:p w14:paraId="449D465E">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Times New Roman" w:hAnsi="Times New Roman" w:eastAsia="宋体" w:cs="Times New Roman"/>
                      <w:sz w:val="21"/>
                      <w:szCs w:val="21"/>
                      <w:vertAlign w:val="baseline"/>
                      <w:lang w:val="en-US" w:eastAsia="zh-CN"/>
                    </w:rPr>
                  </w:pPr>
                </w:p>
              </w:tc>
              <w:tc>
                <w:tcPr>
                  <w:tcW w:w="480" w:type="dxa"/>
                  <w:vMerge w:val="continue"/>
                  <w:tcBorders>
                    <w:tl2br w:val="nil"/>
                    <w:tr2bl w:val="nil"/>
                  </w:tcBorders>
                  <w:vAlign w:val="center"/>
                </w:tcPr>
                <w:p w14:paraId="087F9040">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69" w:type="dxa"/>
                  <w:vMerge w:val="continue"/>
                  <w:tcBorders>
                    <w:tl2br w:val="nil"/>
                    <w:tr2bl w:val="nil"/>
                  </w:tcBorders>
                  <w:vAlign w:val="center"/>
                </w:tcPr>
                <w:p w14:paraId="28451A62">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785" w:type="dxa"/>
                  <w:vMerge w:val="continue"/>
                  <w:tcBorders>
                    <w:tl2br w:val="nil"/>
                    <w:tr2bl w:val="nil"/>
                  </w:tcBorders>
                  <w:vAlign w:val="center"/>
                </w:tcPr>
                <w:p w14:paraId="5B3E9A4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154" w:type="dxa"/>
                  <w:vMerge w:val="continue"/>
                  <w:tcBorders>
                    <w:tl2br w:val="nil"/>
                    <w:tr2bl w:val="nil"/>
                  </w:tcBorders>
                  <w:vAlign w:val="center"/>
                </w:tcPr>
                <w:p w14:paraId="54AE3C4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continue"/>
                  <w:tcBorders>
                    <w:tl2br w:val="nil"/>
                    <w:tr2bl w:val="nil"/>
                  </w:tcBorders>
                  <w:vAlign w:val="center"/>
                </w:tcPr>
                <w:p w14:paraId="6E17E38A">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Times New Roman" w:hAnsi="Times New Roman" w:eastAsia="宋体" w:cs="Times New Roman"/>
                      <w:sz w:val="21"/>
                      <w:szCs w:val="21"/>
                      <w:vertAlign w:val="baseline"/>
                      <w:lang w:val="en-US" w:eastAsia="zh-CN"/>
                    </w:rPr>
                  </w:pPr>
                </w:p>
              </w:tc>
              <w:tc>
                <w:tcPr>
                  <w:tcW w:w="847" w:type="dxa"/>
                  <w:tcBorders>
                    <w:tl2br w:val="nil"/>
                    <w:tr2bl w:val="nil"/>
                  </w:tcBorders>
                  <w:vAlign w:val="center"/>
                </w:tcPr>
                <w:p w14:paraId="5214B102">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无组织</w:t>
                  </w:r>
                </w:p>
              </w:tc>
              <w:tc>
                <w:tcPr>
                  <w:tcW w:w="848" w:type="dxa"/>
                  <w:vMerge w:val="continue"/>
                  <w:tcBorders>
                    <w:tl2br w:val="nil"/>
                    <w:tr2bl w:val="nil"/>
                  </w:tcBorders>
                  <w:vAlign w:val="center"/>
                </w:tcPr>
                <w:p w14:paraId="450D5A4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42" w:type="dxa"/>
                  <w:tcBorders>
                    <w:tl2br w:val="nil"/>
                    <w:tr2bl w:val="nil"/>
                  </w:tcBorders>
                  <w:vAlign w:val="center"/>
                </w:tcPr>
                <w:p w14:paraId="536A301D">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853" w:type="dxa"/>
                  <w:tcBorders>
                    <w:tl2br w:val="nil"/>
                    <w:tr2bl w:val="nil"/>
                  </w:tcBorders>
                  <w:vAlign w:val="center"/>
                </w:tcPr>
                <w:p w14:paraId="2D0FD1FE">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0.0567</w:t>
                  </w:r>
                </w:p>
              </w:tc>
              <w:tc>
                <w:tcPr>
                  <w:tcW w:w="837" w:type="dxa"/>
                  <w:tcBorders>
                    <w:tl2br w:val="nil"/>
                    <w:tr2bl w:val="nil"/>
                  </w:tcBorders>
                  <w:vAlign w:val="center"/>
                </w:tcPr>
                <w:p w14:paraId="10F75FA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0.187</w:t>
                  </w:r>
                </w:p>
              </w:tc>
              <w:tc>
                <w:tcPr>
                  <w:tcW w:w="760" w:type="dxa"/>
                  <w:vMerge w:val="continue"/>
                  <w:tcBorders>
                    <w:tl2br w:val="nil"/>
                    <w:tr2bl w:val="nil"/>
                  </w:tcBorders>
                  <w:vAlign w:val="center"/>
                </w:tcPr>
                <w:p w14:paraId="7378BD9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vMerge w:val="continue"/>
                  <w:tcBorders>
                    <w:tl2br w:val="nil"/>
                    <w:tr2bl w:val="nil"/>
                  </w:tcBorders>
                  <w:vAlign w:val="center"/>
                </w:tcPr>
                <w:p w14:paraId="7CA5F211">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tcBorders>
                    <w:tl2br w:val="nil"/>
                    <w:tr2bl w:val="nil"/>
                  </w:tcBorders>
                  <w:vAlign w:val="center"/>
                </w:tcPr>
                <w:p w14:paraId="08C385A8">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05" w:type="dxa"/>
                  <w:tcBorders>
                    <w:tl2br w:val="nil"/>
                    <w:tr2bl w:val="nil"/>
                  </w:tcBorders>
                  <w:vAlign w:val="center"/>
                </w:tcPr>
                <w:p w14:paraId="334CE4EE">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0.12</w:t>
                  </w:r>
                </w:p>
              </w:tc>
            </w:tr>
            <w:tr w14:paraId="40AFFF2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25" w:type="dxa"/>
                  <w:vMerge w:val="continue"/>
                  <w:tcBorders>
                    <w:tl2br w:val="nil"/>
                    <w:tr2bl w:val="nil"/>
                  </w:tcBorders>
                  <w:vAlign w:val="center"/>
                </w:tcPr>
                <w:p w14:paraId="687885FD">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269" w:type="dxa"/>
                  <w:vMerge w:val="continue"/>
                  <w:tcBorders>
                    <w:tl2br w:val="nil"/>
                    <w:tr2bl w:val="nil"/>
                  </w:tcBorders>
                  <w:vAlign w:val="center"/>
                </w:tcPr>
                <w:p w14:paraId="04C7699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restart"/>
                  <w:tcBorders>
                    <w:tl2br w:val="nil"/>
                    <w:tr2bl w:val="nil"/>
                  </w:tcBorders>
                  <w:vAlign w:val="center"/>
                </w:tcPr>
                <w:p w14:paraId="3BA13CA2">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SO</w:t>
                  </w:r>
                  <w:r>
                    <w:rPr>
                      <w:rFonts w:hint="eastAsia" w:ascii="Times New Roman" w:hAnsi="Times New Roman" w:eastAsia="宋体" w:cs="Times New Roman"/>
                      <w:sz w:val="21"/>
                      <w:szCs w:val="21"/>
                      <w:vertAlign w:val="subscript"/>
                      <w:lang w:val="en-US" w:eastAsia="zh-CN"/>
                    </w:rPr>
                    <w:t>2</w:t>
                  </w:r>
                </w:p>
              </w:tc>
              <w:tc>
                <w:tcPr>
                  <w:tcW w:w="480" w:type="dxa"/>
                  <w:vMerge w:val="continue"/>
                  <w:tcBorders>
                    <w:tl2br w:val="nil"/>
                    <w:tr2bl w:val="nil"/>
                  </w:tcBorders>
                  <w:vAlign w:val="center"/>
                </w:tcPr>
                <w:p w14:paraId="66431E4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69" w:type="dxa"/>
                  <w:vMerge w:val="restart"/>
                  <w:tcBorders>
                    <w:tl2br w:val="nil"/>
                    <w:tr2bl w:val="nil"/>
                  </w:tcBorders>
                  <w:vAlign w:val="center"/>
                </w:tcPr>
                <w:p w14:paraId="48D4AEC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0.08</w:t>
                  </w:r>
                </w:p>
              </w:tc>
              <w:tc>
                <w:tcPr>
                  <w:tcW w:w="785" w:type="dxa"/>
                  <w:vMerge w:val="continue"/>
                  <w:tcBorders>
                    <w:tl2br w:val="nil"/>
                    <w:tr2bl w:val="nil"/>
                  </w:tcBorders>
                  <w:vAlign w:val="center"/>
                </w:tcPr>
                <w:p w14:paraId="48B807BB">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154" w:type="dxa"/>
                  <w:vMerge w:val="continue"/>
                  <w:tcBorders>
                    <w:tl2br w:val="nil"/>
                    <w:tr2bl w:val="nil"/>
                  </w:tcBorders>
                  <w:vAlign w:val="center"/>
                </w:tcPr>
                <w:p w14:paraId="4843C138">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restart"/>
                  <w:tcBorders>
                    <w:tl2br w:val="nil"/>
                    <w:tr2bl w:val="nil"/>
                  </w:tcBorders>
                  <w:vAlign w:val="center"/>
                </w:tcPr>
                <w:p w14:paraId="362921BD">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847" w:type="dxa"/>
                  <w:tcBorders>
                    <w:tl2br w:val="nil"/>
                    <w:tr2bl w:val="nil"/>
                  </w:tcBorders>
                  <w:vAlign w:val="center"/>
                </w:tcPr>
                <w:p w14:paraId="334279A6">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有组织</w:t>
                  </w:r>
                </w:p>
              </w:tc>
              <w:tc>
                <w:tcPr>
                  <w:tcW w:w="848" w:type="dxa"/>
                  <w:vMerge w:val="continue"/>
                  <w:tcBorders>
                    <w:tl2br w:val="nil"/>
                    <w:tr2bl w:val="nil"/>
                  </w:tcBorders>
                  <w:vAlign w:val="center"/>
                </w:tcPr>
                <w:p w14:paraId="175108B9">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42" w:type="dxa"/>
                  <w:tcBorders>
                    <w:tl2br w:val="nil"/>
                    <w:tr2bl w:val="nil"/>
                  </w:tcBorders>
                  <w:vAlign w:val="center"/>
                </w:tcPr>
                <w:p w14:paraId="7EE537EB">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0.2303</w:t>
                  </w:r>
                </w:p>
              </w:tc>
              <w:tc>
                <w:tcPr>
                  <w:tcW w:w="853" w:type="dxa"/>
                  <w:tcBorders>
                    <w:tl2br w:val="nil"/>
                    <w:tr2bl w:val="nil"/>
                  </w:tcBorders>
                  <w:vAlign w:val="center"/>
                </w:tcPr>
                <w:p w14:paraId="3EA178C1">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0.023</w:t>
                  </w:r>
                </w:p>
              </w:tc>
              <w:tc>
                <w:tcPr>
                  <w:tcW w:w="837" w:type="dxa"/>
                  <w:tcBorders>
                    <w:tl2br w:val="nil"/>
                    <w:tr2bl w:val="nil"/>
                  </w:tcBorders>
                  <w:vAlign w:val="center"/>
                </w:tcPr>
                <w:p w14:paraId="5FF65FE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0.076</w:t>
                  </w:r>
                </w:p>
              </w:tc>
              <w:tc>
                <w:tcPr>
                  <w:tcW w:w="760" w:type="dxa"/>
                  <w:vMerge w:val="continue"/>
                  <w:tcBorders>
                    <w:tl2br w:val="nil"/>
                    <w:tr2bl w:val="nil"/>
                  </w:tcBorders>
                  <w:vAlign w:val="center"/>
                </w:tcPr>
                <w:p w14:paraId="75B952BB">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vMerge w:val="continue"/>
                  <w:tcBorders>
                    <w:tl2br w:val="nil"/>
                    <w:tr2bl w:val="nil"/>
                  </w:tcBorders>
                  <w:vAlign w:val="center"/>
                </w:tcPr>
                <w:p w14:paraId="6DFDACA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tcBorders>
                    <w:tl2br w:val="nil"/>
                    <w:tr2bl w:val="nil"/>
                  </w:tcBorders>
                  <w:vAlign w:val="center"/>
                </w:tcPr>
                <w:p w14:paraId="3AC3D5C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05" w:type="dxa"/>
                  <w:tcBorders>
                    <w:tl2br w:val="nil"/>
                    <w:tr2bl w:val="nil"/>
                  </w:tcBorders>
                  <w:vAlign w:val="center"/>
                </w:tcPr>
                <w:p w14:paraId="30E124E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300</w:t>
                  </w:r>
                </w:p>
              </w:tc>
            </w:tr>
            <w:tr w14:paraId="51B91B6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25" w:type="dxa"/>
                  <w:vMerge w:val="continue"/>
                  <w:tcBorders>
                    <w:tl2br w:val="nil"/>
                    <w:tr2bl w:val="nil"/>
                  </w:tcBorders>
                  <w:vAlign w:val="center"/>
                </w:tcPr>
                <w:p w14:paraId="542DB030">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269" w:type="dxa"/>
                  <w:vMerge w:val="continue"/>
                  <w:tcBorders>
                    <w:tl2br w:val="nil"/>
                    <w:tr2bl w:val="nil"/>
                  </w:tcBorders>
                  <w:vAlign w:val="center"/>
                </w:tcPr>
                <w:p w14:paraId="593FE32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continue"/>
                  <w:tcBorders>
                    <w:tl2br w:val="nil"/>
                    <w:tr2bl w:val="nil"/>
                  </w:tcBorders>
                  <w:vAlign w:val="center"/>
                </w:tcPr>
                <w:p w14:paraId="201E452E">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Times New Roman" w:hAnsi="Times New Roman" w:eastAsia="宋体" w:cs="Times New Roman"/>
                      <w:sz w:val="21"/>
                      <w:szCs w:val="21"/>
                      <w:vertAlign w:val="baseline"/>
                      <w:lang w:val="en-US" w:eastAsia="zh-CN"/>
                    </w:rPr>
                  </w:pPr>
                </w:p>
              </w:tc>
              <w:tc>
                <w:tcPr>
                  <w:tcW w:w="480" w:type="dxa"/>
                  <w:vMerge w:val="continue"/>
                  <w:tcBorders>
                    <w:tl2br w:val="nil"/>
                    <w:tr2bl w:val="nil"/>
                  </w:tcBorders>
                  <w:vAlign w:val="center"/>
                </w:tcPr>
                <w:p w14:paraId="2AC07B68">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69" w:type="dxa"/>
                  <w:vMerge w:val="continue"/>
                  <w:tcBorders>
                    <w:tl2br w:val="nil"/>
                    <w:tr2bl w:val="nil"/>
                  </w:tcBorders>
                  <w:vAlign w:val="center"/>
                </w:tcPr>
                <w:p w14:paraId="38061189">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785" w:type="dxa"/>
                  <w:vMerge w:val="continue"/>
                  <w:tcBorders>
                    <w:tl2br w:val="nil"/>
                    <w:tr2bl w:val="nil"/>
                  </w:tcBorders>
                  <w:vAlign w:val="center"/>
                </w:tcPr>
                <w:p w14:paraId="60EBD86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154" w:type="dxa"/>
                  <w:vMerge w:val="continue"/>
                  <w:tcBorders>
                    <w:tl2br w:val="nil"/>
                    <w:tr2bl w:val="nil"/>
                  </w:tcBorders>
                  <w:vAlign w:val="center"/>
                </w:tcPr>
                <w:p w14:paraId="5429259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continue"/>
                  <w:tcBorders>
                    <w:tl2br w:val="nil"/>
                    <w:tr2bl w:val="nil"/>
                  </w:tcBorders>
                  <w:vAlign w:val="center"/>
                </w:tcPr>
                <w:p w14:paraId="29E1EB8D">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eastAsia" w:ascii="Times New Roman" w:hAnsi="Times New Roman" w:eastAsia="宋体" w:cs="Times New Roman"/>
                      <w:sz w:val="21"/>
                      <w:szCs w:val="21"/>
                      <w:vertAlign w:val="baseline"/>
                      <w:lang w:val="en-US" w:eastAsia="zh-CN"/>
                    </w:rPr>
                  </w:pPr>
                </w:p>
              </w:tc>
              <w:tc>
                <w:tcPr>
                  <w:tcW w:w="847" w:type="dxa"/>
                  <w:tcBorders>
                    <w:tl2br w:val="nil"/>
                    <w:tr2bl w:val="nil"/>
                  </w:tcBorders>
                  <w:vAlign w:val="center"/>
                </w:tcPr>
                <w:p w14:paraId="03D58DB1">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无组织</w:t>
                  </w:r>
                </w:p>
              </w:tc>
              <w:tc>
                <w:tcPr>
                  <w:tcW w:w="848" w:type="dxa"/>
                  <w:vMerge w:val="continue"/>
                  <w:tcBorders>
                    <w:tl2br w:val="nil"/>
                    <w:tr2bl w:val="nil"/>
                  </w:tcBorders>
                  <w:vAlign w:val="center"/>
                </w:tcPr>
                <w:p w14:paraId="6D5FA290">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42" w:type="dxa"/>
                  <w:tcBorders>
                    <w:tl2br w:val="nil"/>
                    <w:tr2bl w:val="nil"/>
                  </w:tcBorders>
                  <w:vAlign w:val="center"/>
                </w:tcPr>
                <w:p w14:paraId="633EF51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853" w:type="dxa"/>
                  <w:tcBorders>
                    <w:tl2br w:val="nil"/>
                    <w:tr2bl w:val="nil"/>
                  </w:tcBorders>
                  <w:vAlign w:val="center"/>
                </w:tcPr>
                <w:p w14:paraId="6295F55D">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0.0012</w:t>
                  </w:r>
                </w:p>
              </w:tc>
              <w:tc>
                <w:tcPr>
                  <w:tcW w:w="837" w:type="dxa"/>
                  <w:tcBorders>
                    <w:tl2br w:val="nil"/>
                    <w:tr2bl w:val="nil"/>
                  </w:tcBorders>
                  <w:vAlign w:val="center"/>
                </w:tcPr>
                <w:p w14:paraId="13D62A1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0.004</w:t>
                  </w:r>
                </w:p>
              </w:tc>
              <w:tc>
                <w:tcPr>
                  <w:tcW w:w="760" w:type="dxa"/>
                  <w:vMerge w:val="continue"/>
                  <w:tcBorders>
                    <w:tl2br w:val="nil"/>
                    <w:tr2bl w:val="nil"/>
                  </w:tcBorders>
                  <w:vAlign w:val="center"/>
                </w:tcPr>
                <w:p w14:paraId="22A378EA">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vMerge w:val="continue"/>
                  <w:tcBorders>
                    <w:tl2br w:val="nil"/>
                    <w:tr2bl w:val="nil"/>
                  </w:tcBorders>
                  <w:vAlign w:val="center"/>
                </w:tcPr>
                <w:p w14:paraId="3D4DCEB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tcBorders>
                    <w:tl2br w:val="nil"/>
                    <w:tr2bl w:val="nil"/>
                  </w:tcBorders>
                  <w:vAlign w:val="center"/>
                </w:tcPr>
                <w:p w14:paraId="30BED975">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05" w:type="dxa"/>
                  <w:tcBorders>
                    <w:tl2br w:val="nil"/>
                    <w:tr2bl w:val="nil"/>
                  </w:tcBorders>
                  <w:vAlign w:val="center"/>
                </w:tcPr>
                <w:p w14:paraId="42C2F97D">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0.4</w:t>
                  </w:r>
                </w:p>
              </w:tc>
            </w:tr>
            <w:tr w14:paraId="005174B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5" w:type="dxa"/>
                  <w:vMerge w:val="continue"/>
                  <w:tcBorders>
                    <w:tl2br w:val="nil"/>
                    <w:tr2bl w:val="nil"/>
                  </w:tcBorders>
                  <w:vAlign w:val="center"/>
                </w:tcPr>
                <w:p w14:paraId="3DD54FAA">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269" w:type="dxa"/>
                  <w:vMerge w:val="restart"/>
                  <w:tcBorders>
                    <w:tl2br w:val="nil"/>
                    <w:tr2bl w:val="nil"/>
                  </w:tcBorders>
                  <w:vAlign w:val="center"/>
                </w:tcPr>
                <w:p w14:paraId="4F4E9F5D">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搅拌废气、卸料废气、沥青加热废气</w:t>
                  </w:r>
                </w:p>
              </w:tc>
              <w:tc>
                <w:tcPr>
                  <w:tcW w:w="847" w:type="dxa"/>
                  <w:vMerge w:val="restart"/>
                  <w:tcBorders>
                    <w:tl2br w:val="nil"/>
                    <w:tr2bl w:val="nil"/>
                  </w:tcBorders>
                  <w:vAlign w:val="center"/>
                </w:tcPr>
                <w:p w14:paraId="32EBAA1E">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沥青烟</w:t>
                  </w:r>
                </w:p>
              </w:tc>
              <w:tc>
                <w:tcPr>
                  <w:tcW w:w="480" w:type="dxa"/>
                  <w:vMerge w:val="continue"/>
                  <w:tcBorders>
                    <w:tl2br w:val="nil"/>
                    <w:tr2bl w:val="nil"/>
                  </w:tcBorders>
                  <w:vAlign w:val="center"/>
                </w:tcPr>
                <w:p w14:paraId="512BDA6B">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69" w:type="dxa"/>
                  <w:vMerge w:val="restart"/>
                  <w:tcBorders>
                    <w:tl2br w:val="nil"/>
                    <w:tr2bl w:val="nil"/>
                  </w:tcBorders>
                  <w:vAlign w:val="center"/>
                </w:tcPr>
                <w:p w14:paraId="7FC39DB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0.2558</w:t>
                  </w:r>
                </w:p>
              </w:tc>
              <w:tc>
                <w:tcPr>
                  <w:tcW w:w="785" w:type="dxa"/>
                  <w:vMerge w:val="restart"/>
                  <w:tcBorders>
                    <w:tl2br w:val="nil"/>
                    <w:tr2bl w:val="nil"/>
                  </w:tcBorders>
                  <w:vAlign w:val="center"/>
                </w:tcPr>
                <w:p w14:paraId="420EBD2D">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95</w:t>
                  </w:r>
                </w:p>
              </w:tc>
              <w:tc>
                <w:tcPr>
                  <w:tcW w:w="1154" w:type="dxa"/>
                  <w:vMerge w:val="restart"/>
                  <w:tcBorders>
                    <w:tl2br w:val="nil"/>
                    <w:tr2bl w:val="nil"/>
                  </w:tcBorders>
                  <w:vAlign w:val="center"/>
                </w:tcPr>
                <w:p w14:paraId="7B8FB3E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密闭收集+“喷淋+干式过滤+活性炭吸附脱附+催化燃烧”装置（TA002）</w:t>
                  </w:r>
                </w:p>
              </w:tc>
              <w:tc>
                <w:tcPr>
                  <w:tcW w:w="847" w:type="dxa"/>
                  <w:vMerge w:val="restart"/>
                  <w:tcBorders>
                    <w:tl2br w:val="nil"/>
                    <w:tr2bl w:val="nil"/>
                  </w:tcBorders>
                  <w:vAlign w:val="center"/>
                </w:tcPr>
                <w:p w14:paraId="0C5B817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90</w:t>
                  </w:r>
                </w:p>
              </w:tc>
              <w:tc>
                <w:tcPr>
                  <w:tcW w:w="847" w:type="dxa"/>
                  <w:tcBorders>
                    <w:tl2br w:val="nil"/>
                    <w:tr2bl w:val="nil"/>
                  </w:tcBorders>
                  <w:vAlign w:val="center"/>
                </w:tcPr>
                <w:p w14:paraId="3F7C6FE1">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有组织</w:t>
                  </w:r>
                </w:p>
              </w:tc>
              <w:tc>
                <w:tcPr>
                  <w:tcW w:w="848" w:type="dxa"/>
                  <w:vMerge w:val="restart"/>
                  <w:tcBorders>
                    <w:tl2br w:val="nil"/>
                    <w:tr2bl w:val="nil"/>
                  </w:tcBorders>
                  <w:vAlign w:val="center"/>
                </w:tcPr>
                <w:p w14:paraId="46FCD5D8">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38600</w:t>
                  </w:r>
                </w:p>
              </w:tc>
              <w:tc>
                <w:tcPr>
                  <w:tcW w:w="942" w:type="dxa"/>
                  <w:tcBorders>
                    <w:tl2br w:val="nil"/>
                    <w:tr2bl w:val="nil"/>
                  </w:tcBorders>
                  <w:vAlign w:val="center"/>
                </w:tcPr>
                <w:p w14:paraId="2E69D9F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0.1908</w:t>
                  </w:r>
                </w:p>
              </w:tc>
              <w:tc>
                <w:tcPr>
                  <w:tcW w:w="853" w:type="dxa"/>
                  <w:tcBorders>
                    <w:tl2br w:val="nil"/>
                    <w:tr2bl w:val="nil"/>
                  </w:tcBorders>
                  <w:vAlign w:val="center"/>
                </w:tcPr>
                <w:p w14:paraId="1ADD61A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0.0074</w:t>
                  </w:r>
                </w:p>
              </w:tc>
              <w:tc>
                <w:tcPr>
                  <w:tcW w:w="837" w:type="dxa"/>
                  <w:tcBorders>
                    <w:tl2br w:val="nil"/>
                    <w:tr2bl w:val="nil"/>
                  </w:tcBorders>
                  <w:vAlign w:val="center"/>
                </w:tcPr>
                <w:p w14:paraId="566FEE8E">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0.0243</w:t>
                  </w:r>
                </w:p>
              </w:tc>
              <w:tc>
                <w:tcPr>
                  <w:tcW w:w="760" w:type="dxa"/>
                  <w:vMerge w:val="restart"/>
                  <w:tcBorders>
                    <w:tl2br w:val="nil"/>
                    <w:tr2bl w:val="nil"/>
                  </w:tcBorders>
                  <w:vAlign w:val="center"/>
                </w:tcPr>
                <w:p w14:paraId="20E921D5">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3300</w:t>
                  </w:r>
                </w:p>
              </w:tc>
              <w:tc>
                <w:tcPr>
                  <w:tcW w:w="848" w:type="dxa"/>
                  <w:vMerge w:val="restart"/>
                  <w:tcBorders>
                    <w:tl2br w:val="nil"/>
                    <w:tr2bl w:val="nil"/>
                  </w:tcBorders>
                  <w:vAlign w:val="center"/>
                </w:tcPr>
                <w:p w14:paraId="12BD602E">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DA002</w:t>
                  </w:r>
                </w:p>
              </w:tc>
              <w:tc>
                <w:tcPr>
                  <w:tcW w:w="848" w:type="dxa"/>
                  <w:tcBorders>
                    <w:tl2br w:val="nil"/>
                    <w:tr2bl w:val="nil"/>
                  </w:tcBorders>
                  <w:vAlign w:val="center"/>
                </w:tcPr>
                <w:p w14:paraId="277F62E0">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0.5</w:t>
                  </w:r>
                </w:p>
              </w:tc>
              <w:tc>
                <w:tcPr>
                  <w:tcW w:w="1005" w:type="dxa"/>
                  <w:tcBorders>
                    <w:tl2br w:val="nil"/>
                    <w:tr2bl w:val="nil"/>
                  </w:tcBorders>
                  <w:vAlign w:val="center"/>
                </w:tcPr>
                <w:p w14:paraId="4F45A925">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75</w:t>
                  </w:r>
                </w:p>
              </w:tc>
            </w:tr>
            <w:tr w14:paraId="554ED87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5" w:type="dxa"/>
                  <w:vMerge w:val="continue"/>
                  <w:tcBorders>
                    <w:tl2br w:val="nil"/>
                    <w:tr2bl w:val="nil"/>
                  </w:tcBorders>
                  <w:vAlign w:val="center"/>
                </w:tcPr>
                <w:p w14:paraId="59D25B05">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269" w:type="dxa"/>
                  <w:vMerge w:val="continue"/>
                  <w:tcBorders>
                    <w:tl2br w:val="nil"/>
                    <w:tr2bl w:val="nil"/>
                  </w:tcBorders>
                  <w:vAlign w:val="center"/>
                </w:tcPr>
                <w:p w14:paraId="76379840">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continue"/>
                  <w:tcBorders>
                    <w:tl2br w:val="nil"/>
                    <w:tr2bl w:val="nil"/>
                  </w:tcBorders>
                  <w:vAlign w:val="center"/>
                </w:tcPr>
                <w:p w14:paraId="576AE1F1">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480" w:type="dxa"/>
                  <w:vMerge w:val="continue"/>
                  <w:tcBorders>
                    <w:tl2br w:val="nil"/>
                    <w:tr2bl w:val="nil"/>
                  </w:tcBorders>
                  <w:vAlign w:val="center"/>
                </w:tcPr>
                <w:p w14:paraId="4E3BBFE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69" w:type="dxa"/>
                  <w:vMerge w:val="continue"/>
                  <w:tcBorders>
                    <w:tl2br w:val="nil"/>
                    <w:tr2bl w:val="nil"/>
                  </w:tcBorders>
                  <w:vAlign w:val="center"/>
                </w:tcPr>
                <w:p w14:paraId="29566AD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785" w:type="dxa"/>
                  <w:vMerge w:val="continue"/>
                  <w:tcBorders>
                    <w:tl2br w:val="nil"/>
                    <w:tr2bl w:val="nil"/>
                  </w:tcBorders>
                  <w:vAlign w:val="center"/>
                </w:tcPr>
                <w:p w14:paraId="4672EFE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154" w:type="dxa"/>
                  <w:vMerge w:val="continue"/>
                  <w:tcBorders>
                    <w:tl2br w:val="nil"/>
                    <w:tr2bl w:val="nil"/>
                  </w:tcBorders>
                  <w:vAlign w:val="center"/>
                </w:tcPr>
                <w:p w14:paraId="5BFECC71">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continue"/>
                  <w:tcBorders>
                    <w:tl2br w:val="nil"/>
                    <w:tr2bl w:val="nil"/>
                  </w:tcBorders>
                  <w:vAlign w:val="center"/>
                </w:tcPr>
                <w:p w14:paraId="6EC4757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tcBorders>
                    <w:tl2br w:val="nil"/>
                    <w:tr2bl w:val="nil"/>
                  </w:tcBorders>
                  <w:vAlign w:val="center"/>
                </w:tcPr>
                <w:p w14:paraId="2FB23E41">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无组织</w:t>
                  </w:r>
                </w:p>
              </w:tc>
              <w:tc>
                <w:tcPr>
                  <w:tcW w:w="848" w:type="dxa"/>
                  <w:vMerge w:val="continue"/>
                  <w:tcBorders>
                    <w:tl2br w:val="nil"/>
                    <w:tr2bl w:val="nil"/>
                  </w:tcBorders>
                  <w:vAlign w:val="center"/>
                </w:tcPr>
                <w:p w14:paraId="1461C11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42" w:type="dxa"/>
                  <w:tcBorders>
                    <w:tl2br w:val="nil"/>
                    <w:tr2bl w:val="nil"/>
                  </w:tcBorders>
                  <w:vAlign w:val="center"/>
                </w:tcPr>
                <w:p w14:paraId="28E07975">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853" w:type="dxa"/>
                  <w:tcBorders>
                    <w:tl2br w:val="nil"/>
                    <w:tr2bl w:val="nil"/>
                  </w:tcBorders>
                  <w:vAlign w:val="center"/>
                </w:tcPr>
                <w:p w14:paraId="5459A93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0.0039</w:t>
                  </w:r>
                </w:p>
              </w:tc>
              <w:tc>
                <w:tcPr>
                  <w:tcW w:w="837" w:type="dxa"/>
                  <w:tcBorders>
                    <w:tl2br w:val="nil"/>
                    <w:tr2bl w:val="nil"/>
                  </w:tcBorders>
                  <w:vAlign w:val="center"/>
                </w:tcPr>
                <w:p w14:paraId="24E0A9E8">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0.0128</w:t>
                  </w:r>
                </w:p>
              </w:tc>
              <w:tc>
                <w:tcPr>
                  <w:tcW w:w="760" w:type="dxa"/>
                  <w:vMerge w:val="continue"/>
                  <w:tcBorders>
                    <w:tl2br w:val="nil"/>
                    <w:tr2bl w:val="nil"/>
                  </w:tcBorders>
                  <w:vAlign w:val="center"/>
                </w:tcPr>
                <w:p w14:paraId="4F319A5B">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vMerge w:val="continue"/>
                  <w:tcBorders>
                    <w:tl2br w:val="nil"/>
                    <w:tr2bl w:val="nil"/>
                  </w:tcBorders>
                  <w:vAlign w:val="center"/>
                </w:tcPr>
                <w:p w14:paraId="3A707557">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tcBorders>
                    <w:tl2br w:val="nil"/>
                    <w:tr2bl w:val="nil"/>
                  </w:tcBorders>
                  <w:vAlign w:val="center"/>
                </w:tcPr>
                <w:p w14:paraId="440D7A7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05" w:type="dxa"/>
                  <w:tcBorders>
                    <w:tl2br w:val="nil"/>
                    <w:tr2bl w:val="nil"/>
                  </w:tcBorders>
                  <w:vAlign w:val="center"/>
                </w:tcPr>
                <w:p w14:paraId="4E19FE69">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r>
            <w:tr w14:paraId="50BE28A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5" w:type="dxa"/>
                  <w:vMerge w:val="continue"/>
                  <w:tcBorders>
                    <w:tl2br w:val="nil"/>
                    <w:tr2bl w:val="nil"/>
                  </w:tcBorders>
                  <w:vAlign w:val="center"/>
                </w:tcPr>
                <w:p w14:paraId="1E118FE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269" w:type="dxa"/>
                  <w:vMerge w:val="continue"/>
                  <w:tcBorders>
                    <w:tl2br w:val="nil"/>
                    <w:tr2bl w:val="nil"/>
                  </w:tcBorders>
                  <w:vAlign w:val="center"/>
                </w:tcPr>
                <w:p w14:paraId="18BE3D5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restart"/>
                  <w:tcBorders>
                    <w:tl2br w:val="nil"/>
                    <w:tr2bl w:val="nil"/>
                  </w:tcBorders>
                  <w:vAlign w:val="center"/>
                </w:tcPr>
                <w:p w14:paraId="7A5BB03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苯并[a]芘</w:t>
                  </w:r>
                </w:p>
              </w:tc>
              <w:tc>
                <w:tcPr>
                  <w:tcW w:w="480" w:type="dxa"/>
                  <w:vMerge w:val="continue"/>
                  <w:tcBorders>
                    <w:tl2br w:val="nil"/>
                    <w:tr2bl w:val="nil"/>
                  </w:tcBorders>
                  <w:vAlign w:val="center"/>
                </w:tcPr>
                <w:p w14:paraId="34B3622D">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69" w:type="dxa"/>
                  <w:vMerge w:val="restart"/>
                  <w:tcBorders>
                    <w:tl2br w:val="nil"/>
                    <w:tr2bl w:val="nil"/>
                  </w:tcBorders>
                  <w:vAlign w:val="center"/>
                </w:tcPr>
                <w:p w14:paraId="39A5880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5.1156×10</w:t>
                  </w:r>
                  <w:r>
                    <w:rPr>
                      <w:rFonts w:hint="default" w:ascii="Times New Roman" w:hAnsi="Times New Roman" w:eastAsia="宋体" w:cs="Times New Roman"/>
                      <w:b w:val="0"/>
                      <w:bCs w:val="0"/>
                      <w:color w:val="auto"/>
                      <w:sz w:val="21"/>
                      <w:szCs w:val="21"/>
                      <w:vertAlign w:val="superscript"/>
                      <w:lang w:val="en-US" w:eastAsia="zh-CN"/>
                    </w:rPr>
                    <w:t>-6</w:t>
                  </w:r>
                </w:p>
              </w:tc>
              <w:tc>
                <w:tcPr>
                  <w:tcW w:w="785" w:type="dxa"/>
                  <w:vMerge w:val="continue"/>
                  <w:tcBorders>
                    <w:tl2br w:val="nil"/>
                    <w:tr2bl w:val="nil"/>
                  </w:tcBorders>
                  <w:vAlign w:val="center"/>
                </w:tcPr>
                <w:p w14:paraId="4CA19E15">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154" w:type="dxa"/>
                  <w:vMerge w:val="continue"/>
                  <w:tcBorders>
                    <w:tl2br w:val="nil"/>
                    <w:tr2bl w:val="nil"/>
                  </w:tcBorders>
                  <w:vAlign w:val="center"/>
                </w:tcPr>
                <w:p w14:paraId="118D5A8D">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continue"/>
                  <w:tcBorders>
                    <w:tl2br w:val="nil"/>
                    <w:tr2bl w:val="nil"/>
                  </w:tcBorders>
                  <w:vAlign w:val="center"/>
                </w:tcPr>
                <w:p w14:paraId="77BF450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tcBorders>
                    <w:tl2br w:val="nil"/>
                    <w:tr2bl w:val="nil"/>
                  </w:tcBorders>
                  <w:vAlign w:val="center"/>
                </w:tcPr>
                <w:p w14:paraId="304E0E6D">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有组织</w:t>
                  </w:r>
                </w:p>
              </w:tc>
              <w:tc>
                <w:tcPr>
                  <w:tcW w:w="848" w:type="dxa"/>
                  <w:vMerge w:val="continue"/>
                  <w:tcBorders>
                    <w:tl2br w:val="nil"/>
                    <w:tr2bl w:val="nil"/>
                  </w:tcBorders>
                  <w:vAlign w:val="center"/>
                </w:tcPr>
                <w:p w14:paraId="32C54082">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42" w:type="dxa"/>
                  <w:tcBorders>
                    <w:tl2br w:val="nil"/>
                    <w:tr2bl w:val="nil"/>
                  </w:tcBorders>
                  <w:vAlign w:val="center"/>
                </w:tcPr>
                <w:p w14:paraId="12B260C5">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3.8152</w:t>
                  </w: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b w:val="0"/>
                      <w:bCs w:val="0"/>
                      <w:color w:val="auto"/>
                      <w:sz w:val="21"/>
                      <w:szCs w:val="21"/>
                      <w:vertAlign w:val="superscript"/>
                      <w:lang w:val="en-US" w:eastAsia="zh-CN"/>
                    </w:rPr>
                    <w:t>-6</w:t>
                  </w:r>
                </w:p>
              </w:tc>
              <w:tc>
                <w:tcPr>
                  <w:tcW w:w="853" w:type="dxa"/>
                  <w:tcBorders>
                    <w:tl2br w:val="nil"/>
                    <w:tr2bl w:val="nil"/>
                  </w:tcBorders>
                  <w:vAlign w:val="center"/>
                </w:tcPr>
                <w:p w14:paraId="7517F8FE">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1.4727</w:t>
                  </w: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b w:val="0"/>
                      <w:bCs w:val="0"/>
                      <w:color w:val="auto"/>
                      <w:sz w:val="21"/>
                      <w:szCs w:val="21"/>
                      <w:vertAlign w:val="superscript"/>
                      <w:lang w:val="en-US" w:eastAsia="zh-CN"/>
                    </w:rPr>
                    <w:t>-</w:t>
                  </w:r>
                  <w:r>
                    <w:rPr>
                      <w:rFonts w:hint="eastAsia" w:ascii="Times New Roman" w:hAnsi="Times New Roman" w:eastAsia="宋体" w:cs="Times New Roman"/>
                      <w:b w:val="0"/>
                      <w:bCs w:val="0"/>
                      <w:color w:val="auto"/>
                      <w:sz w:val="21"/>
                      <w:szCs w:val="21"/>
                      <w:vertAlign w:val="superscript"/>
                      <w:lang w:val="en-US" w:eastAsia="zh-CN"/>
                    </w:rPr>
                    <w:t>7</w:t>
                  </w:r>
                </w:p>
              </w:tc>
              <w:tc>
                <w:tcPr>
                  <w:tcW w:w="837" w:type="dxa"/>
                  <w:tcBorders>
                    <w:tl2br w:val="nil"/>
                    <w:tr2bl w:val="nil"/>
                  </w:tcBorders>
                  <w:vAlign w:val="center"/>
                </w:tcPr>
                <w:p w14:paraId="4703686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4.8598</w:t>
                  </w: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b w:val="0"/>
                      <w:bCs w:val="0"/>
                      <w:color w:val="auto"/>
                      <w:sz w:val="21"/>
                      <w:szCs w:val="21"/>
                      <w:vertAlign w:val="superscript"/>
                      <w:lang w:val="en-US" w:eastAsia="zh-CN"/>
                    </w:rPr>
                    <w:t>-</w:t>
                  </w:r>
                  <w:r>
                    <w:rPr>
                      <w:rFonts w:hint="eastAsia" w:ascii="Times New Roman" w:hAnsi="Times New Roman" w:eastAsia="宋体" w:cs="Times New Roman"/>
                      <w:b w:val="0"/>
                      <w:bCs w:val="0"/>
                      <w:color w:val="auto"/>
                      <w:sz w:val="21"/>
                      <w:szCs w:val="21"/>
                      <w:vertAlign w:val="superscript"/>
                      <w:lang w:val="en-US" w:eastAsia="zh-CN"/>
                    </w:rPr>
                    <w:t>7</w:t>
                  </w:r>
                </w:p>
              </w:tc>
              <w:tc>
                <w:tcPr>
                  <w:tcW w:w="760" w:type="dxa"/>
                  <w:vMerge w:val="continue"/>
                  <w:tcBorders>
                    <w:tl2br w:val="nil"/>
                    <w:tr2bl w:val="nil"/>
                  </w:tcBorders>
                  <w:vAlign w:val="center"/>
                </w:tcPr>
                <w:p w14:paraId="48C6BBBA">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vMerge w:val="continue"/>
                  <w:tcBorders>
                    <w:tl2br w:val="nil"/>
                    <w:tr2bl w:val="nil"/>
                  </w:tcBorders>
                  <w:vAlign w:val="center"/>
                </w:tcPr>
                <w:p w14:paraId="406C3CC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tcBorders>
                    <w:tl2br w:val="nil"/>
                    <w:tr2bl w:val="nil"/>
                  </w:tcBorders>
                  <w:vAlign w:val="center"/>
                </w:tcPr>
                <w:p w14:paraId="16EB4131">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highlight w:val="yellow"/>
                      <w:vertAlign w:val="baseline"/>
                      <w:lang w:val="en-US" w:eastAsia="zh-CN"/>
                    </w:rPr>
                  </w:pPr>
                  <w:r>
                    <w:rPr>
                      <w:rFonts w:hint="eastAsia" w:ascii="Times New Roman" w:hAnsi="Times New Roman" w:eastAsia="宋体" w:cs="Times New Roman"/>
                      <w:sz w:val="21"/>
                      <w:szCs w:val="21"/>
                      <w:highlight w:val="none"/>
                      <w:vertAlign w:val="baseline"/>
                      <w:lang w:val="en-US" w:eastAsia="zh-CN"/>
                    </w:rPr>
                    <w:t>0.126</w:t>
                  </w:r>
                  <w:r>
                    <w:rPr>
                      <w:rFonts w:hint="default" w:ascii="Times New Roman" w:hAnsi="Times New Roman" w:eastAsia="宋体" w:cs="Times New Roman"/>
                      <w:sz w:val="21"/>
                      <w:szCs w:val="21"/>
                      <w:highlight w:val="none"/>
                      <w:vertAlign w:val="baseline"/>
                      <w:lang w:val="en-US" w:eastAsia="zh-CN"/>
                    </w:rPr>
                    <w:t>×10</w:t>
                  </w:r>
                  <w:r>
                    <w:rPr>
                      <w:rFonts w:hint="default" w:ascii="Times New Roman" w:hAnsi="Times New Roman" w:eastAsia="宋体" w:cs="Times New Roman"/>
                      <w:sz w:val="21"/>
                      <w:szCs w:val="21"/>
                      <w:highlight w:val="none"/>
                      <w:vertAlign w:val="superscript"/>
                      <w:lang w:val="en-US" w:eastAsia="zh-CN"/>
                    </w:rPr>
                    <w:t>-3</w:t>
                  </w:r>
                </w:p>
              </w:tc>
              <w:tc>
                <w:tcPr>
                  <w:tcW w:w="1005" w:type="dxa"/>
                  <w:tcBorders>
                    <w:tl2br w:val="nil"/>
                    <w:tr2bl w:val="nil"/>
                  </w:tcBorders>
                  <w:vAlign w:val="center"/>
                </w:tcPr>
                <w:p w14:paraId="6F3FD000">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highlight w:val="yellow"/>
                      <w:vertAlign w:val="baseline"/>
                      <w:lang w:val="en-US" w:eastAsia="zh-CN"/>
                    </w:rPr>
                  </w:pPr>
                  <w:r>
                    <w:rPr>
                      <w:rFonts w:hint="default" w:ascii="Times New Roman" w:hAnsi="Times New Roman" w:eastAsia="宋体" w:cs="Times New Roman"/>
                      <w:sz w:val="21"/>
                      <w:szCs w:val="21"/>
                      <w:highlight w:val="none"/>
                      <w:vertAlign w:val="baseline"/>
                      <w:lang w:val="en-US" w:eastAsia="zh-CN"/>
                    </w:rPr>
                    <w:t>0.3×10</w:t>
                  </w:r>
                  <w:r>
                    <w:rPr>
                      <w:rFonts w:hint="default" w:ascii="Times New Roman" w:hAnsi="Times New Roman" w:eastAsia="宋体" w:cs="Times New Roman"/>
                      <w:sz w:val="21"/>
                      <w:szCs w:val="21"/>
                      <w:highlight w:val="none"/>
                      <w:vertAlign w:val="superscript"/>
                      <w:lang w:val="en-US" w:eastAsia="zh-CN"/>
                    </w:rPr>
                    <w:t>-3</w:t>
                  </w:r>
                </w:p>
              </w:tc>
            </w:tr>
            <w:tr w14:paraId="099C5C4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5" w:type="dxa"/>
                  <w:vMerge w:val="continue"/>
                  <w:tcBorders>
                    <w:tl2br w:val="nil"/>
                    <w:tr2bl w:val="nil"/>
                  </w:tcBorders>
                  <w:vAlign w:val="center"/>
                </w:tcPr>
                <w:p w14:paraId="3AA20C81">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269" w:type="dxa"/>
                  <w:vMerge w:val="continue"/>
                  <w:tcBorders>
                    <w:tl2br w:val="nil"/>
                    <w:tr2bl w:val="nil"/>
                  </w:tcBorders>
                  <w:vAlign w:val="center"/>
                </w:tcPr>
                <w:p w14:paraId="55A0A06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continue"/>
                  <w:tcBorders>
                    <w:tl2br w:val="nil"/>
                    <w:tr2bl w:val="nil"/>
                  </w:tcBorders>
                  <w:vAlign w:val="center"/>
                </w:tcPr>
                <w:p w14:paraId="0DC5151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480" w:type="dxa"/>
                  <w:vMerge w:val="continue"/>
                  <w:tcBorders>
                    <w:tl2br w:val="nil"/>
                    <w:tr2bl w:val="nil"/>
                  </w:tcBorders>
                  <w:vAlign w:val="center"/>
                </w:tcPr>
                <w:p w14:paraId="05880777">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69" w:type="dxa"/>
                  <w:vMerge w:val="continue"/>
                  <w:tcBorders>
                    <w:tl2br w:val="nil"/>
                    <w:tr2bl w:val="nil"/>
                  </w:tcBorders>
                  <w:vAlign w:val="center"/>
                </w:tcPr>
                <w:p w14:paraId="20816561">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785" w:type="dxa"/>
                  <w:vMerge w:val="continue"/>
                  <w:tcBorders>
                    <w:tl2br w:val="nil"/>
                    <w:tr2bl w:val="nil"/>
                  </w:tcBorders>
                  <w:vAlign w:val="center"/>
                </w:tcPr>
                <w:p w14:paraId="6B3AF72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154" w:type="dxa"/>
                  <w:vMerge w:val="continue"/>
                  <w:tcBorders>
                    <w:tl2br w:val="nil"/>
                    <w:tr2bl w:val="nil"/>
                  </w:tcBorders>
                  <w:vAlign w:val="center"/>
                </w:tcPr>
                <w:p w14:paraId="798ED9C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continue"/>
                  <w:tcBorders>
                    <w:tl2br w:val="nil"/>
                    <w:tr2bl w:val="nil"/>
                  </w:tcBorders>
                  <w:vAlign w:val="center"/>
                </w:tcPr>
                <w:p w14:paraId="127BA6F1">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tcBorders>
                    <w:tl2br w:val="nil"/>
                    <w:tr2bl w:val="nil"/>
                  </w:tcBorders>
                  <w:vAlign w:val="center"/>
                </w:tcPr>
                <w:p w14:paraId="43399BFC">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无组织</w:t>
                  </w:r>
                </w:p>
              </w:tc>
              <w:tc>
                <w:tcPr>
                  <w:tcW w:w="848" w:type="dxa"/>
                  <w:vMerge w:val="continue"/>
                  <w:tcBorders>
                    <w:tl2br w:val="nil"/>
                    <w:tr2bl w:val="nil"/>
                  </w:tcBorders>
                  <w:vAlign w:val="center"/>
                </w:tcPr>
                <w:p w14:paraId="6DE493D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42" w:type="dxa"/>
                  <w:tcBorders>
                    <w:tl2br w:val="nil"/>
                    <w:tr2bl w:val="nil"/>
                  </w:tcBorders>
                  <w:vAlign w:val="center"/>
                </w:tcPr>
                <w:p w14:paraId="6EDC86E0">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853" w:type="dxa"/>
                  <w:tcBorders>
                    <w:tl2br w:val="nil"/>
                    <w:tr2bl w:val="nil"/>
                  </w:tcBorders>
                  <w:vAlign w:val="center"/>
                </w:tcPr>
                <w:p w14:paraId="5AD8EEF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7.7509</w:t>
                  </w: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b w:val="0"/>
                      <w:bCs w:val="0"/>
                      <w:color w:val="auto"/>
                      <w:sz w:val="21"/>
                      <w:szCs w:val="21"/>
                      <w:vertAlign w:val="superscript"/>
                      <w:lang w:val="en-US" w:eastAsia="zh-CN"/>
                    </w:rPr>
                    <w:t>-</w:t>
                  </w:r>
                  <w:r>
                    <w:rPr>
                      <w:rFonts w:hint="eastAsia" w:ascii="Times New Roman" w:hAnsi="Times New Roman" w:eastAsia="宋体" w:cs="Times New Roman"/>
                      <w:b w:val="0"/>
                      <w:bCs w:val="0"/>
                      <w:color w:val="auto"/>
                      <w:sz w:val="21"/>
                      <w:szCs w:val="21"/>
                      <w:vertAlign w:val="superscript"/>
                      <w:lang w:val="en-US" w:eastAsia="zh-CN"/>
                    </w:rPr>
                    <w:t>8</w:t>
                  </w:r>
                </w:p>
              </w:tc>
              <w:tc>
                <w:tcPr>
                  <w:tcW w:w="837" w:type="dxa"/>
                  <w:tcBorders>
                    <w:tl2br w:val="nil"/>
                    <w:tr2bl w:val="nil"/>
                  </w:tcBorders>
                  <w:vAlign w:val="center"/>
                </w:tcPr>
                <w:p w14:paraId="75C44218">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2.5578</w:t>
                  </w: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b w:val="0"/>
                      <w:bCs w:val="0"/>
                      <w:color w:val="auto"/>
                      <w:sz w:val="21"/>
                      <w:szCs w:val="21"/>
                      <w:vertAlign w:val="superscript"/>
                      <w:lang w:val="en-US" w:eastAsia="zh-CN"/>
                    </w:rPr>
                    <w:t>-</w:t>
                  </w:r>
                  <w:r>
                    <w:rPr>
                      <w:rFonts w:hint="eastAsia" w:ascii="Times New Roman" w:hAnsi="Times New Roman" w:eastAsia="宋体" w:cs="Times New Roman"/>
                      <w:b w:val="0"/>
                      <w:bCs w:val="0"/>
                      <w:color w:val="auto"/>
                      <w:sz w:val="21"/>
                      <w:szCs w:val="21"/>
                      <w:vertAlign w:val="superscript"/>
                      <w:lang w:val="en-US" w:eastAsia="zh-CN"/>
                    </w:rPr>
                    <w:t>7</w:t>
                  </w:r>
                </w:p>
              </w:tc>
              <w:tc>
                <w:tcPr>
                  <w:tcW w:w="760" w:type="dxa"/>
                  <w:vMerge w:val="continue"/>
                  <w:tcBorders>
                    <w:tl2br w:val="nil"/>
                    <w:tr2bl w:val="nil"/>
                  </w:tcBorders>
                  <w:vAlign w:val="center"/>
                </w:tcPr>
                <w:p w14:paraId="38BE9C35">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vMerge w:val="continue"/>
                  <w:tcBorders>
                    <w:tl2br w:val="nil"/>
                    <w:tr2bl w:val="nil"/>
                  </w:tcBorders>
                  <w:vAlign w:val="center"/>
                </w:tcPr>
                <w:p w14:paraId="73021BB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tcBorders>
                    <w:tl2br w:val="nil"/>
                    <w:tr2bl w:val="nil"/>
                  </w:tcBorders>
                  <w:vAlign w:val="center"/>
                </w:tcPr>
                <w:p w14:paraId="73DAC77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05" w:type="dxa"/>
                  <w:tcBorders>
                    <w:tl2br w:val="nil"/>
                    <w:tr2bl w:val="nil"/>
                  </w:tcBorders>
                  <w:vAlign w:val="center"/>
                </w:tcPr>
                <w:p w14:paraId="6A020EB7">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0.008μg/m</w:t>
                  </w:r>
                  <w:r>
                    <w:rPr>
                      <w:rFonts w:hint="default" w:ascii="Times New Roman" w:hAnsi="Times New Roman" w:eastAsia="宋体" w:cs="Times New Roman"/>
                      <w:sz w:val="21"/>
                      <w:szCs w:val="21"/>
                      <w:vertAlign w:val="superscript"/>
                      <w:lang w:val="en-US" w:eastAsia="zh-CN"/>
                    </w:rPr>
                    <w:t>3</w:t>
                  </w:r>
                </w:p>
              </w:tc>
            </w:tr>
            <w:tr w14:paraId="0C4B2A2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5" w:type="dxa"/>
                  <w:vMerge w:val="continue"/>
                  <w:tcBorders>
                    <w:tl2br w:val="nil"/>
                    <w:tr2bl w:val="nil"/>
                  </w:tcBorders>
                  <w:vAlign w:val="center"/>
                </w:tcPr>
                <w:p w14:paraId="7137D025">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269" w:type="dxa"/>
                  <w:vMerge w:val="continue"/>
                  <w:tcBorders>
                    <w:tl2br w:val="nil"/>
                    <w:tr2bl w:val="nil"/>
                  </w:tcBorders>
                  <w:vAlign w:val="center"/>
                </w:tcPr>
                <w:p w14:paraId="3A6CBCF8">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restart"/>
                  <w:tcBorders>
                    <w:tl2br w:val="nil"/>
                    <w:tr2bl w:val="nil"/>
                  </w:tcBorders>
                  <w:vAlign w:val="center"/>
                </w:tcPr>
                <w:p w14:paraId="4C8F9BF2">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VOCs（以非甲烷总烃计）</w:t>
                  </w:r>
                </w:p>
              </w:tc>
              <w:tc>
                <w:tcPr>
                  <w:tcW w:w="480" w:type="dxa"/>
                  <w:vMerge w:val="continue"/>
                  <w:tcBorders>
                    <w:tl2br w:val="nil"/>
                    <w:tr2bl w:val="nil"/>
                  </w:tcBorders>
                  <w:vAlign w:val="center"/>
                </w:tcPr>
                <w:p w14:paraId="035BE31B">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69" w:type="dxa"/>
                  <w:vMerge w:val="restart"/>
                  <w:tcBorders>
                    <w:tl2br w:val="nil"/>
                    <w:tr2bl w:val="nil"/>
                  </w:tcBorders>
                  <w:vAlign w:val="center"/>
                </w:tcPr>
                <w:p w14:paraId="289FC32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0.179</w:t>
                  </w:r>
                </w:p>
              </w:tc>
              <w:tc>
                <w:tcPr>
                  <w:tcW w:w="785" w:type="dxa"/>
                  <w:vMerge w:val="continue"/>
                  <w:tcBorders>
                    <w:tl2br w:val="nil"/>
                    <w:tr2bl w:val="nil"/>
                  </w:tcBorders>
                  <w:vAlign w:val="center"/>
                </w:tcPr>
                <w:p w14:paraId="157E593B">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154" w:type="dxa"/>
                  <w:vMerge w:val="continue"/>
                  <w:tcBorders>
                    <w:tl2br w:val="nil"/>
                    <w:tr2bl w:val="nil"/>
                  </w:tcBorders>
                  <w:vAlign w:val="center"/>
                </w:tcPr>
                <w:p w14:paraId="66079F8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continue"/>
                  <w:tcBorders>
                    <w:tl2br w:val="nil"/>
                    <w:tr2bl w:val="nil"/>
                  </w:tcBorders>
                  <w:vAlign w:val="center"/>
                </w:tcPr>
                <w:p w14:paraId="279E2E1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tcBorders>
                    <w:tl2br w:val="nil"/>
                    <w:tr2bl w:val="nil"/>
                  </w:tcBorders>
                  <w:vAlign w:val="center"/>
                </w:tcPr>
                <w:p w14:paraId="36D780D1">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有组织</w:t>
                  </w:r>
                </w:p>
              </w:tc>
              <w:tc>
                <w:tcPr>
                  <w:tcW w:w="848" w:type="dxa"/>
                  <w:vMerge w:val="continue"/>
                  <w:tcBorders>
                    <w:tl2br w:val="nil"/>
                    <w:tr2bl w:val="nil"/>
                  </w:tcBorders>
                  <w:vAlign w:val="center"/>
                </w:tcPr>
                <w:p w14:paraId="7174AE5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42" w:type="dxa"/>
                  <w:tcBorders>
                    <w:tl2br w:val="nil"/>
                    <w:tr2bl w:val="nil"/>
                  </w:tcBorders>
                  <w:vAlign w:val="center"/>
                </w:tcPr>
                <w:p w14:paraId="323B3EEE">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0.1335</w:t>
                  </w:r>
                </w:p>
              </w:tc>
              <w:tc>
                <w:tcPr>
                  <w:tcW w:w="853" w:type="dxa"/>
                  <w:tcBorders>
                    <w:tl2br w:val="nil"/>
                    <w:tr2bl w:val="nil"/>
                  </w:tcBorders>
                  <w:vAlign w:val="center"/>
                </w:tcPr>
                <w:p w14:paraId="6E9D863D">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0.0052</w:t>
                  </w:r>
                </w:p>
              </w:tc>
              <w:tc>
                <w:tcPr>
                  <w:tcW w:w="837" w:type="dxa"/>
                  <w:tcBorders>
                    <w:tl2br w:val="nil"/>
                    <w:tr2bl w:val="nil"/>
                  </w:tcBorders>
                  <w:vAlign w:val="center"/>
                </w:tcPr>
                <w:p w14:paraId="0538411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0.017</w:t>
                  </w:r>
                </w:p>
              </w:tc>
              <w:tc>
                <w:tcPr>
                  <w:tcW w:w="760" w:type="dxa"/>
                  <w:vMerge w:val="continue"/>
                  <w:tcBorders>
                    <w:tl2br w:val="nil"/>
                    <w:tr2bl w:val="nil"/>
                  </w:tcBorders>
                  <w:vAlign w:val="center"/>
                </w:tcPr>
                <w:p w14:paraId="78BE050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vMerge w:val="continue"/>
                  <w:tcBorders>
                    <w:tl2br w:val="nil"/>
                    <w:tr2bl w:val="nil"/>
                  </w:tcBorders>
                  <w:vAlign w:val="center"/>
                </w:tcPr>
                <w:p w14:paraId="4078D2F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tcBorders>
                    <w:tl2br w:val="nil"/>
                    <w:tr2bl w:val="nil"/>
                  </w:tcBorders>
                  <w:vAlign w:val="center"/>
                </w:tcPr>
                <w:p w14:paraId="77FAD89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9.44</w:t>
                  </w:r>
                </w:p>
              </w:tc>
              <w:tc>
                <w:tcPr>
                  <w:tcW w:w="1005" w:type="dxa"/>
                  <w:tcBorders>
                    <w:tl2br w:val="nil"/>
                    <w:tr2bl w:val="nil"/>
                  </w:tcBorders>
                  <w:vAlign w:val="center"/>
                </w:tcPr>
                <w:p w14:paraId="6BF58449">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60</w:t>
                  </w:r>
                </w:p>
              </w:tc>
            </w:tr>
            <w:tr w14:paraId="370348A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5" w:type="dxa"/>
                  <w:vMerge w:val="continue"/>
                  <w:tcBorders>
                    <w:tl2br w:val="nil"/>
                    <w:tr2bl w:val="nil"/>
                  </w:tcBorders>
                  <w:vAlign w:val="center"/>
                </w:tcPr>
                <w:p w14:paraId="6E9A6E9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269" w:type="dxa"/>
                  <w:vMerge w:val="continue"/>
                  <w:tcBorders>
                    <w:tl2br w:val="nil"/>
                    <w:tr2bl w:val="nil"/>
                  </w:tcBorders>
                  <w:vAlign w:val="center"/>
                </w:tcPr>
                <w:p w14:paraId="66CB1DB8">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continue"/>
                  <w:tcBorders>
                    <w:tl2br w:val="nil"/>
                    <w:tr2bl w:val="nil"/>
                  </w:tcBorders>
                  <w:vAlign w:val="center"/>
                </w:tcPr>
                <w:p w14:paraId="4E1BA5C9">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480" w:type="dxa"/>
                  <w:vMerge w:val="continue"/>
                  <w:tcBorders>
                    <w:tl2br w:val="nil"/>
                    <w:tr2bl w:val="nil"/>
                  </w:tcBorders>
                  <w:vAlign w:val="center"/>
                </w:tcPr>
                <w:p w14:paraId="02E88A0D">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69" w:type="dxa"/>
                  <w:vMerge w:val="continue"/>
                  <w:tcBorders>
                    <w:tl2br w:val="nil"/>
                    <w:tr2bl w:val="nil"/>
                  </w:tcBorders>
                  <w:vAlign w:val="center"/>
                </w:tcPr>
                <w:p w14:paraId="05A983B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785" w:type="dxa"/>
                  <w:vMerge w:val="continue"/>
                  <w:tcBorders>
                    <w:tl2br w:val="nil"/>
                    <w:tr2bl w:val="nil"/>
                  </w:tcBorders>
                  <w:vAlign w:val="center"/>
                </w:tcPr>
                <w:p w14:paraId="5B00361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154" w:type="dxa"/>
                  <w:vMerge w:val="continue"/>
                  <w:tcBorders>
                    <w:tl2br w:val="nil"/>
                    <w:tr2bl w:val="nil"/>
                  </w:tcBorders>
                  <w:vAlign w:val="center"/>
                </w:tcPr>
                <w:p w14:paraId="61ABF79E">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continue"/>
                  <w:tcBorders>
                    <w:tl2br w:val="nil"/>
                    <w:tr2bl w:val="nil"/>
                  </w:tcBorders>
                  <w:vAlign w:val="center"/>
                </w:tcPr>
                <w:p w14:paraId="7F201750">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tcBorders>
                    <w:tl2br w:val="nil"/>
                    <w:tr2bl w:val="nil"/>
                  </w:tcBorders>
                  <w:vAlign w:val="center"/>
                </w:tcPr>
                <w:p w14:paraId="49B98EB4">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无组织</w:t>
                  </w:r>
                </w:p>
              </w:tc>
              <w:tc>
                <w:tcPr>
                  <w:tcW w:w="848" w:type="dxa"/>
                  <w:vMerge w:val="continue"/>
                  <w:tcBorders>
                    <w:tl2br w:val="nil"/>
                    <w:tr2bl w:val="nil"/>
                  </w:tcBorders>
                  <w:vAlign w:val="center"/>
                </w:tcPr>
                <w:p w14:paraId="6EB874F8">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42" w:type="dxa"/>
                  <w:tcBorders>
                    <w:tl2br w:val="nil"/>
                    <w:tr2bl w:val="nil"/>
                  </w:tcBorders>
                  <w:vAlign w:val="center"/>
                </w:tcPr>
                <w:p w14:paraId="062DD0C5">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853" w:type="dxa"/>
                  <w:tcBorders>
                    <w:tl2br w:val="nil"/>
                    <w:tr2bl w:val="nil"/>
                  </w:tcBorders>
                  <w:vAlign w:val="center"/>
                </w:tcPr>
                <w:p w14:paraId="2B00A4BB">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0.0027</w:t>
                  </w:r>
                </w:p>
              </w:tc>
              <w:tc>
                <w:tcPr>
                  <w:tcW w:w="837" w:type="dxa"/>
                  <w:tcBorders>
                    <w:tl2br w:val="nil"/>
                    <w:tr2bl w:val="nil"/>
                  </w:tcBorders>
                  <w:vAlign w:val="center"/>
                </w:tcPr>
                <w:p w14:paraId="76F72C97">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0.009</w:t>
                  </w:r>
                </w:p>
              </w:tc>
              <w:tc>
                <w:tcPr>
                  <w:tcW w:w="760" w:type="dxa"/>
                  <w:vMerge w:val="continue"/>
                  <w:tcBorders>
                    <w:tl2br w:val="nil"/>
                    <w:tr2bl w:val="nil"/>
                  </w:tcBorders>
                  <w:vAlign w:val="center"/>
                </w:tcPr>
                <w:p w14:paraId="2DD4DA9D">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vMerge w:val="continue"/>
                  <w:tcBorders>
                    <w:tl2br w:val="nil"/>
                    <w:tr2bl w:val="nil"/>
                  </w:tcBorders>
                  <w:vAlign w:val="center"/>
                </w:tcPr>
                <w:p w14:paraId="6D60A635">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tcBorders>
                    <w:tl2br w:val="nil"/>
                    <w:tr2bl w:val="nil"/>
                  </w:tcBorders>
                  <w:vAlign w:val="center"/>
                </w:tcPr>
                <w:p w14:paraId="6AD33D7D">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05" w:type="dxa"/>
                  <w:tcBorders>
                    <w:tl2br w:val="nil"/>
                    <w:tr2bl w:val="nil"/>
                  </w:tcBorders>
                  <w:vAlign w:val="center"/>
                </w:tcPr>
                <w:p w14:paraId="0ED31449">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w:t>
                  </w:r>
                </w:p>
              </w:tc>
            </w:tr>
            <w:tr w14:paraId="3F41278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5" w:type="dxa"/>
                  <w:vMerge w:val="continue"/>
                  <w:tcBorders>
                    <w:tl2br w:val="nil"/>
                    <w:tr2bl w:val="nil"/>
                  </w:tcBorders>
                  <w:vAlign w:val="center"/>
                </w:tcPr>
                <w:p w14:paraId="01EF923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269" w:type="dxa"/>
                  <w:vMerge w:val="restart"/>
                  <w:tcBorders>
                    <w:tl2br w:val="nil"/>
                    <w:tr2bl w:val="nil"/>
                  </w:tcBorders>
                  <w:vAlign w:val="center"/>
                </w:tcPr>
                <w:p w14:paraId="01706638">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导热油炉天然气燃烧废气</w:t>
                  </w:r>
                </w:p>
              </w:tc>
              <w:tc>
                <w:tcPr>
                  <w:tcW w:w="847" w:type="dxa"/>
                  <w:tcBorders>
                    <w:tl2br w:val="nil"/>
                    <w:tr2bl w:val="nil"/>
                  </w:tcBorders>
                  <w:vAlign w:val="center"/>
                </w:tcPr>
                <w:p w14:paraId="50D044F2">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p>
              </w:tc>
              <w:tc>
                <w:tcPr>
                  <w:tcW w:w="480" w:type="dxa"/>
                  <w:vMerge w:val="continue"/>
                  <w:tcBorders>
                    <w:tl2br w:val="nil"/>
                    <w:tr2bl w:val="nil"/>
                  </w:tcBorders>
                  <w:vAlign w:val="center"/>
                </w:tcPr>
                <w:p w14:paraId="63DA3CCD">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69" w:type="dxa"/>
                  <w:tcBorders>
                    <w:tl2br w:val="nil"/>
                    <w:tr2bl w:val="nil"/>
                  </w:tcBorders>
                  <w:vAlign w:val="center"/>
                </w:tcPr>
                <w:p w14:paraId="322F66E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0.0192</w:t>
                  </w:r>
                </w:p>
              </w:tc>
              <w:tc>
                <w:tcPr>
                  <w:tcW w:w="785" w:type="dxa"/>
                  <w:vMerge w:val="restart"/>
                  <w:tcBorders>
                    <w:tl2br w:val="nil"/>
                    <w:tr2bl w:val="nil"/>
                  </w:tcBorders>
                  <w:vAlign w:val="center"/>
                </w:tcPr>
                <w:p w14:paraId="0FBAA728">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100</w:t>
                  </w:r>
                </w:p>
              </w:tc>
              <w:tc>
                <w:tcPr>
                  <w:tcW w:w="1154" w:type="dxa"/>
                  <w:vMerge w:val="restart"/>
                  <w:tcBorders>
                    <w:tl2br w:val="nil"/>
                    <w:tr2bl w:val="nil"/>
                  </w:tcBorders>
                  <w:vAlign w:val="center"/>
                </w:tcPr>
                <w:p w14:paraId="6F0DF03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低氮燃烧（TA003）</w:t>
                  </w:r>
                </w:p>
              </w:tc>
              <w:tc>
                <w:tcPr>
                  <w:tcW w:w="847" w:type="dxa"/>
                  <w:vMerge w:val="restart"/>
                  <w:tcBorders>
                    <w:tl2br w:val="nil"/>
                    <w:tr2bl w:val="nil"/>
                  </w:tcBorders>
                  <w:vAlign w:val="center"/>
                </w:tcPr>
                <w:p w14:paraId="26C12AE9">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847" w:type="dxa"/>
                  <w:vMerge w:val="restart"/>
                  <w:tcBorders>
                    <w:tl2br w:val="nil"/>
                    <w:tr2bl w:val="nil"/>
                  </w:tcBorders>
                  <w:vAlign w:val="center"/>
                </w:tcPr>
                <w:p w14:paraId="1B73B76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有组织</w:t>
                  </w:r>
                </w:p>
              </w:tc>
              <w:tc>
                <w:tcPr>
                  <w:tcW w:w="848" w:type="dxa"/>
                  <w:vMerge w:val="restart"/>
                  <w:tcBorders>
                    <w:tl2br w:val="nil"/>
                    <w:tr2bl w:val="nil"/>
                  </w:tcBorders>
                  <w:vAlign w:val="center"/>
                </w:tcPr>
                <w:p w14:paraId="147C0EF5">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784</w:t>
                  </w:r>
                </w:p>
              </w:tc>
              <w:tc>
                <w:tcPr>
                  <w:tcW w:w="942" w:type="dxa"/>
                  <w:tcBorders>
                    <w:tl2br w:val="nil"/>
                    <w:tr2bl w:val="nil"/>
                  </w:tcBorders>
                  <w:vAlign w:val="center"/>
                </w:tcPr>
                <w:p w14:paraId="710120B7">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7.4212</w:t>
                  </w:r>
                </w:p>
              </w:tc>
              <w:tc>
                <w:tcPr>
                  <w:tcW w:w="853" w:type="dxa"/>
                  <w:tcBorders>
                    <w:tl2br w:val="nil"/>
                    <w:tr2bl w:val="nil"/>
                  </w:tcBorders>
                  <w:vAlign w:val="center"/>
                </w:tcPr>
                <w:p w14:paraId="1DFD3C19">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0.0058</w:t>
                  </w:r>
                </w:p>
              </w:tc>
              <w:tc>
                <w:tcPr>
                  <w:tcW w:w="837" w:type="dxa"/>
                  <w:tcBorders>
                    <w:tl2br w:val="nil"/>
                    <w:tr2bl w:val="nil"/>
                  </w:tcBorders>
                  <w:vAlign w:val="center"/>
                </w:tcPr>
                <w:p w14:paraId="12670BA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0.0192</w:t>
                  </w:r>
                </w:p>
              </w:tc>
              <w:tc>
                <w:tcPr>
                  <w:tcW w:w="760" w:type="dxa"/>
                  <w:vMerge w:val="restart"/>
                  <w:tcBorders>
                    <w:tl2br w:val="nil"/>
                    <w:tr2bl w:val="nil"/>
                  </w:tcBorders>
                  <w:vAlign w:val="center"/>
                </w:tcPr>
                <w:p w14:paraId="4573D52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3300</w:t>
                  </w:r>
                </w:p>
              </w:tc>
              <w:tc>
                <w:tcPr>
                  <w:tcW w:w="848" w:type="dxa"/>
                  <w:vMerge w:val="restart"/>
                  <w:tcBorders>
                    <w:tl2br w:val="nil"/>
                    <w:tr2bl w:val="nil"/>
                  </w:tcBorders>
                  <w:vAlign w:val="center"/>
                </w:tcPr>
                <w:p w14:paraId="77DD21FB">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DA003</w:t>
                  </w:r>
                </w:p>
              </w:tc>
              <w:tc>
                <w:tcPr>
                  <w:tcW w:w="848" w:type="dxa"/>
                  <w:tcBorders>
                    <w:tl2br w:val="nil"/>
                    <w:tr2bl w:val="nil"/>
                  </w:tcBorders>
                  <w:vAlign w:val="center"/>
                </w:tcPr>
                <w:p w14:paraId="1E26C6C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05" w:type="dxa"/>
                  <w:tcBorders>
                    <w:tl2br w:val="nil"/>
                    <w:tr2bl w:val="nil"/>
                  </w:tcBorders>
                  <w:vAlign w:val="center"/>
                </w:tcPr>
                <w:p w14:paraId="0762862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w:t>
                  </w:r>
                </w:p>
              </w:tc>
            </w:tr>
            <w:tr w14:paraId="279D324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5" w:type="dxa"/>
                  <w:vMerge w:val="continue"/>
                  <w:tcBorders>
                    <w:tl2br w:val="nil"/>
                    <w:tr2bl w:val="nil"/>
                  </w:tcBorders>
                  <w:vAlign w:val="center"/>
                </w:tcPr>
                <w:p w14:paraId="3FF950D2">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269" w:type="dxa"/>
                  <w:vMerge w:val="continue"/>
                  <w:tcBorders>
                    <w:tl2br w:val="nil"/>
                    <w:tr2bl w:val="nil"/>
                  </w:tcBorders>
                  <w:vAlign w:val="center"/>
                </w:tcPr>
                <w:p w14:paraId="7724927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tcBorders>
                    <w:tl2br w:val="nil"/>
                    <w:tr2bl w:val="nil"/>
                  </w:tcBorders>
                  <w:vAlign w:val="center"/>
                </w:tcPr>
                <w:p w14:paraId="4B1D5850">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NO</w:t>
                  </w:r>
                  <w:r>
                    <w:rPr>
                      <w:rFonts w:hint="eastAsia" w:ascii="Times New Roman" w:hAnsi="Times New Roman" w:eastAsia="宋体" w:cs="Times New Roman"/>
                      <w:sz w:val="21"/>
                      <w:szCs w:val="21"/>
                      <w:vertAlign w:val="subscript"/>
                      <w:lang w:val="en-US" w:eastAsia="zh-CN"/>
                    </w:rPr>
                    <w:t>x</w:t>
                  </w:r>
                </w:p>
              </w:tc>
              <w:tc>
                <w:tcPr>
                  <w:tcW w:w="480" w:type="dxa"/>
                  <w:vMerge w:val="continue"/>
                  <w:tcBorders>
                    <w:tl2br w:val="nil"/>
                    <w:tr2bl w:val="nil"/>
                  </w:tcBorders>
                  <w:vAlign w:val="center"/>
                </w:tcPr>
                <w:p w14:paraId="44E55FE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69" w:type="dxa"/>
                  <w:tcBorders>
                    <w:tl2br w:val="nil"/>
                    <w:tr2bl w:val="nil"/>
                  </w:tcBorders>
                  <w:vAlign w:val="center"/>
                </w:tcPr>
                <w:p w14:paraId="7DA044A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0.0727</w:t>
                  </w:r>
                </w:p>
              </w:tc>
              <w:tc>
                <w:tcPr>
                  <w:tcW w:w="785" w:type="dxa"/>
                  <w:vMerge w:val="continue"/>
                  <w:tcBorders>
                    <w:tl2br w:val="nil"/>
                    <w:tr2bl w:val="nil"/>
                  </w:tcBorders>
                  <w:vAlign w:val="center"/>
                </w:tcPr>
                <w:p w14:paraId="2034F1E8">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154" w:type="dxa"/>
                  <w:vMerge w:val="continue"/>
                  <w:tcBorders>
                    <w:tl2br w:val="nil"/>
                    <w:tr2bl w:val="nil"/>
                  </w:tcBorders>
                  <w:vAlign w:val="center"/>
                </w:tcPr>
                <w:p w14:paraId="5BFF4047">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continue"/>
                  <w:tcBorders>
                    <w:tl2br w:val="nil"/>
                    <w:tr2bl w:val="nil"/>
                  </w:tcBorders>
                  <w:vAlign w:val="center"/>
                </w:tcPr>
                <w:p w14:paraId="26C7E27D">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continue"/>
                  <w:tcBorders>
                    <w:tl2br w:val="nil"/>
                    <w:tr2bl w:val="nil"/>
                  </w:tcBorders>
                  <w:vAlign w:val="center"/>
                </w:tcPr>
                <w:p w14:paraId="73C2E75B">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vMerge w:val="continue"/>
                  <w:tcBorders>
                    <w:tl2br w:val="nil"/>
                    <w:tr2bl w:val="nil"/>
                  </w:tcBorders>
                  <w:vAlign w:val="center"/>
                </w:tcPr>
                <w:p w14:paraId="1EC518A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42" w:type="dxa"/>
                  <w:tcBorders>
                    <w:tl2br w:val="nil"/>
                    <w:tr2bl w:val="nil"/>
                  </w:tcBorders>
                  <w:vAlign w:val="center"/>
                </w:tcPr>
                <w:p w14:paraId="395A4A0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28.1076</w:t>
                  </w:r>
                </w:p>
              </w:tc>
              <w:tc>
                <w:tcPr>
                  <w:tcW w:w="853" w:type="dxa"/>
                  <w:tcBorders>
                    <w:tl2br w:val="nil"/>
                    <w:tr2bl w:val="nil"/>
                  </w:tcBorders>
                  <w:vAlign w:val="center"/>
                </w:tcPr>
                <w:p w14:paraId="6372FFF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0.022</w:t>
                  </w:r>
                </w:p>
              </w:tc>
              <w:tc>
                <w:tcPr>
                  <w:tcW w:w="837" w:type="dxa"/>
                  <w:tcBorders>
                    <w:tl2br w:val="nil"/>
                    <w:tr2bl w:val="nil"/>
                  </w:tcBorders>
                  <w:vAlign w:val="center"/>
                </w:tcPr>
                <w:p w14:paraId="00B1993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0.0727</w:t>
                  </w:r>
                </w:p>
              </w:tc>
              <w:tc>
                <w:tcPr>
                  <w:tcW w:w="760" w:type="dxa"/>
                  <w:vMerge w:val="continue"/>
                  <w:tcBorders>
                    <w:tl2br w:val="nil"/>
                    <w:tr2bl w:val="nil"/>
                  </w:tcBorders>
                  <w:vAlign w:val="center"/>
                </w:tcPr>
                <w:p w14:paraId="00A8283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vMerge w:val="continue"/>
                  <w:tcBorders>
                    <w:tl2br w:val="nil"/>
                    <w:tr2bl w:val="nil"/>
                  </w:tcBorders>
                  <w:vAlign w:val="center"/>
                </w:tcPr>
                <w:p w14:paraId="63B43178">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tcBorders>
                    <w:tl2br w:val="nil"/>
                    <w:tr2bl w:val="nil"/>
                  </w:tcBorders>
                  <w:vAlign w:val="center"/>
                </w:tcPr>
                <w:p w14:paraId="7B902661">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05" w:type="dxa"/>
                  <w:tcBorders>
                    <w:tl2br w:val="nil"/>
                    <w:tr2bl w:val="nil"/>
                  </w:tcBorders>
                  <w:vAlign w:val="center"/>
                </w:tcPr>
                <w:p w14:paraId="01900A27">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50</w:t>
                  </w:r>
                </w:p>
              </w:tc>
            </w:tr>
            <w:tr w14:paraId="5B54357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5" w:type="dxa"/>
                  <w:vMerge w:val="continue"/>
                  <w:tcBorders>
                    <w:tl2br w:val="nil"/>
                    <w:tr2bl w:val="nil"/>
                  </w:tcBorders>
                  <w:vAlign w:val="center"/>
                </w:tcPr>
                <w:p w14:paraId="50FC567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269" w:type="dxa"/>
                  <w:vMerge w:val="continue"/>
                  <w:tcBorders>
                    <w:tl2br w:val="nil"/>
                    <w:tr2bl w:val="nil"/>
                  </w:tcBorders>
                  <w:vAlign w:val="center"/>
                </w:tcPr>
                <w:p w14:paraId="0F68BBB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tcBorders>
                    <w:tl2br w:val="nil"/>
                    <w:tr2bl w:val="nil"/>
                  </w:tcBorders>
                  <w:vAlign w:val="center"/>
                </w:tcPr>
                <w:p w14:paraId="08E6577C">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SO</w:t>
                  </w:r>
                  <w:r>
                    <w:rPr>
                      <w:rFonts w:hint="eastAsia" w:ascii="Times New Roman" w:hAnsi="Times New Roman" w:eastAsia="宋体" w:cs="Times New Roman"/>
                      <w:sz w:val="21"/>
                      <w:szCs w:val="21"/>
                      <w:vertAlign w:val="subscript"/>
                      <w:lang w:val="en-US" w:eastAsia="zh-CN"/>
                    </w:rPr>
                    <w:t>2</w:t>
                  </w:r>
                </w:p>
              </w:tc>
              <w:tc>
                <w:tcPr>
                  <w:tcW w:w="480" w:type="dxa"/>
                  <w:vMerge w:val="continue"/>
                  <w:tcBorders>
                    <w:tl2br w:val="nil"/>
                    <w:tr2bl w:val="nil"/>
                  </w:tcBorders>
                  <w:vAlign w:val="center"/>
                </w:tcPr>
                <w:p w14:paraId="215F76A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69" w:type="dxa"/>
                  <w:tcBorders>
                    <w:tl2br w:val="nil"/>
                    <w:tr2bl w:val="nil"/>
                  </w:tcBorders>
                  <w:vAlign w:val="center"/>
                </w:tcPr>
                <w:p w14:paraId="4F7BB19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0.0096</w:t>
                  </w:r>
                </w:p>
              </w:tc>
              <w:tc>
                <w:tcPr>
                  <w:tcW w:w="785" w:type="dxa"/>
                  <w:vMerge w:val="continue"/>
                  <w:tcBorders>
                    <w:tl2br w:val="nil"/>
                    <w:tr2bl w:val="nil"/>
                  </w:tcBorders>
                  <w:vAlign w:val="center"/>
                </w:tcPr>
                <w:p w14:paraId="0DC0D56E">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154" w:type="dxa"/>
                  <w:vMerge w:val="continue"/>
                  <w:tcBorders>
                    <w:tl2br w:val="nil"/>
                    <w:tr2bl w:val="nil"/>
                  </w:tcBorders>
                  <w:vAlign w:val="center"/>
                </w:tcPr>
                <w:p w14:paraId="7ECBDE69">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continue"/>
                  <w:tcBorders>
                    <w:tl2br w:val="nil"/>
                    <w:tr2bl w:val="nil"/>
                  </w:tcBorders>
                  <w:vAlign w:val="center"/>
                </w:tcPr>
                <w:p w14:paraId="128E6BE5">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continue"/>
                  <w:tcBorders>
                    <w:tl2br w:val="nil"/>
                    <w:tr2bl w:val="nil"/>
                  </w:tcBorders>
                  <w:vAlign w:val="center"/>
                </w:tcPr>
                <w:p w14:paraId="34A2A1B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vMerge w:val="continue"/>
                  <w:tcBorders>
                    <w:tl2br w:val="nil"/>
                    <w:tr2bl w:val="nil"/>
                  </w:tcBorders>
                  <w:vAlign w:val="center"/>
                </w:tcPr>
                <w:p w14:paraId="21342B2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42" w:type="dxa"/>
                  <w:tcBorders>
                    <w:tl2br w:val="nil"/>
                    <w:tr2bl w:val="nil"/>
                  </w:tcBorders>
                  <w:vAlign w:val="center"/>
                </w:tcPr>
                <w:p w14:paraId="382332D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3.7106</w:t>
                  </w:r>
                </w:p>
              </w:tc>
              <w:tc>
                <w:tcPr>
                  <w:tcW w:w="853" w:type="dxa"/>
                  <w:tcBorders>
                    <w:tl2br w:val="nil"/>
                    <w:tr2bl w:val="nil"/>
                  </w:tcBorders>
                  <w:vAlign w:val="center"/>
                </w:tcPr>
                <w:p w14:paraId="6C61641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0.0029</w:t>
                  </w:r>
                </w:p>
              </w:tc>
              <w:tc>
                <w:tcPr>
                  <w:tcW w:w="837" w:type="dxa"/>
                  <w:tcBorders>
                    <w:tl2br w:val="nil"/>
                    <w:tr2bl w:val="nil"/>
                  </w:tcBorders>
                  <w:vAlign w:val="center"/>
                </w:tcPr>
                <w:p w14:paraId="778AE22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0.0096</w:t>
                  </w:r>
                </w:p>
              </w:tc>
              <w:tc>
                <w:tcPr>
                  <w:tcW w:w="760" w:type="dxa"/>
                  <w:vMerge w:val="continue"/>
                  <w:tcBorders>
                    <w:tl2br w:val="nil"/>
                    <w:tr2bl w:val="nil"/>
                  </w:tcBorders>
                  <w:vAlign w:val="center"/>
                </w:tcPr>
                <w:p w14:paraId="1CAEFCA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vMerge w:val="continue"/>
                  <w:tcBorders>
                    <w:tl2br w:val="nil"/>
                    <w:tr2bl w:val="nil"/>
                  </w:tcBorders>
                  <w:vAlign w:val="center"/>
                </w:tcPr>
                <w:p w14:paraId="6354059B">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tcBorders>
                    <w:tl2br w:val="nil"/>
                    <w:tr2bl w:val="nil"/>
                  </w:tcBorders>
                  <w:vAlign w:val="center"/>
                </w:tcPr>
                <w:p w14:paraId="711F6D0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05" w:type="dxa"/>
                  <w:tcBorders>
                    <w:tl2br w:val="nil"/>
                    <w:tr2bl w:val="nil"/>
                  </w:tcBorders>
                  <w:vAlign w:val="center"/>
                </w:tcPr>
                <w:p w14:paraId="0DE9598A">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r>
            <w:tr w14:paraId="4044029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5" w:type="dxa"/>
                  <w:vMerge w:val="continue"/>
                  <w:tcBorders>
                    <w:tl2br w:val="nil"/>
                    <w:tr2bl w:val="nil"/>
                  </w:tcBorders>
                  <w:vAlign w:val="center"/>
                </w:tcPr>
                <w:p w14:paraId="0D55A10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269" w:type="dxa"/>
                  <w:vMerge w:val="restart"/>
                  <w:tcBorders>
                    <w:tl2br w:val="nil"/>
                    <w:tr2bl w:val="nil"/>
                  </w:tcBorders>
                  <w:vAlign w:val="center"/>
                </w:tcPr>
                <w:p w14:paraId="76F09C88">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磨煤系统粉尘、热风炉天然气燃烧废气</w:t>
                  </w:r>
                </w:p>
              </w:tc>
              <w:tc>
                <w:tcPr>
                  <w:tcW w:w="847" w:type="dxa"/>
                  <w:vMerge w:val="restart"/>
                  <w:tcBorders>
                    <w:tl2br w:val="nil"/>
                    <w:tr2bl w:val="nil"/>
                  </w:tcBorders>
                  <w:vAlign w:val="center"/>
                </w:tcPr>
                <w:p w14:paraId="2A8C8C0B">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p>
              </w:tc>
              <w:tc>
                <w:tcPr>
                  <w:tcW w:w="480" w:type="dxa"/>
                  <w:vMerge w:val="continue"/>
                  <w:tcBorders>
                    <w:tl2br w:val="nil"/>
                    <w:tr2bl w:val="nil"/>
                  </w:tcBorders>
                  <w:vAlign w:val="center"/>
                </w:tcPr>
                <w:p w14:paraId="15C18E9D">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69" w:type="dxa"/>
                  <w:vMerge w:val="restart"/>
                  <w:tcBorders>
                    <w:tl2br w:val="nil"/>
                    <w:tr2bl w:val="nil"/>
                  </w:tcBorders>
                  <w:vAlign w:val="center"/>
                </w:tcPr>
                <w:p w14:paraId="45A7A74B">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5.143</w:t>
                  </w:r>
                </w:p>
              </w:tc>
              <w:tc>
                <w:tcPr>
                  <w:tcW w:w="785" w:type="dxa"/>
                  <w:vMerge w:val="restart"/>
                  <w:tcBorders>
                    <w:tl2br w:val="nil"/>
                    <w:tr2bl w:val="nil"/>
                  </w:tcBorders>
                  <w:vAlign w:val="center"/>
                </w:tcPr>
                <w:p w14:paraId="520FEE68">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95</w:t>
                  </w:r>
                </w:p>
              </w:tc>
              <w:tc>
                <w:tcPr>
                  <w:tcW w:w="1154" w:type="dxa"/>
                  <w:vMerge w:val="restart"/>
                  <w:tcBorders>
                    <w:tl2br w:val="nil"/>
                    <w:tr2bl w:val="nil"/>
                  </w:tcBorders>
                  <w:vAlign w:val="center"/>
                </w:tcPr>
                <w:p w14:paraId="269F356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密闭收集+高温布袋除尘器（TA004）</w:t>
                  </w:r>
                </w:p>
              </w:tc>
              <w:tc>
                <w:tcPr>
                  <w:tcW w:w="847" w:type="dxa"/>
                  <w:vMerge w:val="restart"/>
                  <w:tcBorders>
                    <w:tl2br w:val="nil"/>
                    <w:tr2bl w:val="nil"/>
                  </w:tcBorders>
                  <w:vAlign w:val="center"/>
                </w:tcPr>
                <w:p w14:paraId="0F8A8B7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99.7</w:t>
                  </w:r>
                </w:p>
              </w:tc>
              <w:tc>
                <w:tcPr>
                  <w:tcW w:w="847" w:type="dxa"/>
                  <w:tcBorders>
                    <w:tl2br w:val="nil"/>
                    <w:tr2bl w:val="nil"/>
                  </w:tcBorders>
                  <w:vAlign w:val="center"/>
                </w:tcPr>
                <w:p w14:paraId="28906C7C">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有组织</w:t>
                  </w:r>
                </w:p>
              </w:tc>
              <w:tc>
                <w:tcPr>
                  <w:tcW w:w="848" w:type="dxa"/>
                  <w:vMerge w:val="restart"/>
                  <w:tcBorders>
                    <w:tl2br w:val="nil"/>
                    <w:tr2bl w:val="nil"/>
                  </w:tcBorders>
                  <w:vAlign w:val="center"/>
                </w:tcPr>
                <w:p w14:paraId="6B9E229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69000</w:t>
                  </w:r>
                </w:p>
              </w:tc>
              <w:tc>
                <w:tcPr>
                  <w:tcW w:w="942" w:type="dxa"/>
                  <w:tcBorders>
                    <w:tl2br w:val="nil"/>
                    <w:tr2bl w:val="nil"/>
                  </w:tcBorders>
                  <w:vAlign w:val="center"/>
                </w:tcPr>
                <w:p w14:paraId="2171622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0.0644</w:t>
                  </w:r>
                </w:p>
              </w:tc>
              <w:tc>
                <w:tcPr>
                  <w:tcW w:w="853" w:type="dxa"/>
                  <w:tcBorders>
                    <w:tl2br w:val="nil"/>
                    <w:tr2bl w:val="nil"/>
                  </w:tcBorders>
                  <w:vAlign w:val="center"/>
                </w:tcPr>
                <w:p w14:paraId="012F3FF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0.0044</w:t>
                  </w:r>
                </w:p>
              </w:tc>
              <w:tc>
                <w:tcPr>
                  <w:tcW w:w="837" w:type="dxa"/>
                  <w:tcBorders>
                    <w:tl2br w:val="nil"/>
                    <w:tr2bl w:val="nil"/>
                  </w:tcBorders>
                  <w:vAlign w:val="center"/>
                </w:tcPr>
                <w:p w14:paraId="4BF923DD">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0.0147</w:t>
                  </w:r>
                </w:p>
              </w:tc>
              <w:tc>
                <w:tcPr>
                  <w:tcW w:w="760" w:type="dxa"/>
                  <w:vMerge w:val="restart"/>
                  <w:tcBorders>
                    <w:tl2br w:val="nil"/>
                    <w:tr2bl w:val="nil"/>
                  </w:tcBorders>
                  <w:vAlign w:val="center"/>
                </w:tcPr>
                <w:p w14:paraId="63A9F13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3300</w:t>
                  </w:r>
                </w:p>
              </w:tc>
              <w:tc>
                <w:tcPr>
                  <w:tcW w:w="848" w:type="dxa"/>
                  <w:vMerge w:val="restart"/>
                  <w:tcBorders>
                    <w:tl2br w:val="nil"/>
                    <w:tr2bl w:val="nil"/>
                  </w:tcBorders>
                  <w:vAlign w:val="center"/>
                </w:tcPr>
                <w:p w14:paraId="6B7844E9">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DA004</w:t>
                  </w:r>
                </w:p>
              </w:tc>
              <w:tc>
                <w:tcPr>
                  <w:tcW w:w="848" w:type="dxa"/>
                  <w:tcBorders>
                    <w:tl2br w:val="nil"/>
                    <w:tr2bl w:val="nil"/>
                  </w:tcBorders>
                  <w:vAlign w:val="center"/>
                </w:tcPr>
                <w:p w14:paraId="1A430015">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05" w:type="dxa"/>
                  <w:tcBorders>
                    <w:tl2br w:val="nil"/>
                    <w:tr2bl w:val="nil"/>
                  </w:tcBorders>
                  <w:vAlign w:val="center"/>
                </w:tcPr>
                <w:p w14:paraId="65C10E56">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30</w:t>
                  </w:r>
                </w:p>
              </w:tc>
            </w:tr>
            <w:tr w14:paraId="613F4B0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25" w:type="dxa"/>
                  <w:vMerge w:val="continue"/>
                  <w:tcBorders>
                    <w:tl2br w:val="nil"/>
                    <w:tr2bl w:val="nil"/>
                  </w:tcBorders>
                  <w:vAlign w:val="center"/>
                </w:tcPr>
                <w:p w14:paraId="7D09120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269" w:type="dxa"/>
                  <w:vMerge w:val="continue"/>
                  <w:tcBorders>
                    <w:tl2br w:val="nil"/>
                    <w:tr2bl w:val="nil"/>
                  </w:tcBorders>
                  <w:vAlign w:val="center"/>
                </w:tcPr>
                <w:p w14:paraId="500D2BC0">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continue"/>
                  <w:tcBorders>
                    <w:tl2br w:val="nil"/>
                    <w:tr2bl w:val="nil"/>
                  </w:tcBorders>
                  <w:vAlign w:val="center"/>
                </w:tcPr>
                <w:p w14:paraId="6CCC71D8">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480" w:type="dxa"/>
                  <w:vMerge w:val="continue"/>
                  <w:tcBorders>
                    <w:tl2br w:val="nil"/>
                    <w:tr2bl w:val="nil"/>
                  </w:tcBorders>
                  <w:vAlign w:val="center"/>
                </w:tcPr>
                <w:p w14:paraId="486F65B1">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69" w:type="dxa"/>
                  <w:vMerge w:val="continue"/>
                  <w:tcBorders>
                    <w:tl2br w:val="nil"/>
                    <w:tr2bl w:val="nil"/>
                  </w:tcBorders>
                  <w:vAlign w:val="center"/>
                </w:tcPr>
                <w:p w14:paraId="18B2359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785" w:type="dxa"/>
                  <w:vMerge w:val="continue"/>
                  <w:tcBorders>
                    <w:tl2br w:val="nil"/>
                    <w:tr2bl w:val="nil"/>
                  </w:tcBorders>
                  <w:vAlign w:val="center"/>
                </w:tcPr>
                <w:p w14:paraId="4A57AB4B">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154" w:type="dxa"/>
                  <w:vMerge w:val="continue"/>
                  <w:tcBorders>
                    <w:tl2br w:val="nil"/>
                    <w:tr2bl w:val="nil"/>
                  </w:tcBorders>
                  <w:vAlign w:val="center"/>
                </w:tcPr>
                <w:p w14:paraId="7079BE30">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continue"/>
                  <w:tcBorders>
                    <w:tl2br w:val="nil"/>
                    <w:tr2bl w:val="nil"/>
                  </w:tcBorders>
                  <w:vAlign w:val="center"/>
                </w:tcPr>
                <w:p w14:paraId="7799B33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tcBorders>
                    <w:tl2br w:val="nil"/>
                    <w:tr2bl w:val="nil"/>
                  </w:tcBorders>
                  <w:vAlign w:val="center"/>
                </w:tcPr>
                <w:p w14:paraId="58F0226F">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无组织</w:t>
                  </w:r>
                </w:p>
              </w:tc>
              <w:tc>
                <w:tcPr>
                  <w:tcW w:w="848" w:type="dxa"/>
                  <w:vMerge w:val="continue"/>
                  <w:tcBorders>
                    <w:tl2br w:val="nil"/>
                    <w:tr2bl w:val="nil"/>
                  </w:tcBorders>
                  <w:vAlign w:val="center"/>
                </w:tcPr>
                <w:p w14:paraId="4700C0E7">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42" w:type="dxa"/>
                  <w:tcBorders>
                    <w:tl2br w:val="nil"/>
                    <w:tr2bl w:val="nil"/>
                  </w:tcBorders>
                  <w:vAlign w:val="center"/>
                </w:tcPr>
                <w:p w14:paraId="2B6A37E1">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853" w:type="dxa"/>
                  <w:tcBorders>
                    <w:tl2br w:val="nil"/>
                    <w:tr2bl w:val="nil"/>
                  </w:tcBorders>
                  <w:vAlign w:val="center"/>
                </w:tcPr>
                <w:p w14:paraId="234985AB">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0.2026</w:t>
                  </w: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b w:val="0"/>
                      <w:bCs w:val="0"/>
                      <w:color w:val="auto"/>
                      <w:sz w:val="21"/>
                      <w:szCs w:val="21"/>
                      <w:vertAlign w:val="superscript"/>
                      <w:lang w:val="en-US" w:eastAsia="zh-CN"/>
                    </w:rPr>
                    <w:t>-</w:t>
                  </w:r>
                  <w:r>
                    <w:rPr>
                      <w:rFonts w:hint="eastAsia" w:ascii="Times New Roman" w:hAnsi="Times New Roman" w:eastAsia="宋体" w:cs="Times New Roman"/>
                      <w:b w:val="0"/>
                      <w:bCs w:val="0"/>
                      <w:color w:val="auto"/>
                      <w:sz w:val="21"/>
                      <w:szCs w:val="21"/>
                      <w:vertAlign w:val="superscript"/>
                      <w:lang w:val="en-US" w:eastAsia="zh-CN"/>
                    </w:rPr>
                    <w:t>3</w:t>
                  </w:r>
                </w:p>
              </w:tc>
              <w:tc>
                <w:tcPr>
                  <w:tcW w:w="837" w:type="dxa"/>
                  <w:tcBorders>
                    <w:tl2br w:val="nil"/>
                    <w:tr2bl w:val="nil"/>
                  </w:tcBorders>
                  <w:vAlign w:val="center"/>
                </w:tcPr>
                <w:p w14:paraId="61A5D878">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0.0007</w:t>
                  </w:r>
                </w:p>
              </w:tc>
              <w:tc>
                <w:tcPr>
                  <w:tcW w:w="760" w:type="dxa"/>
                  <w:vMerge w:val="continue"/>
                  <w:tcBorders>
                    <w:tl2br w:val="nil"/>
                    <w:tr2bl w:val="nil"/>
                  </w:tcBorders>
                  <w:vAlign w:val="center"/>
                </w:tcPr>
                <w:p w14:paraId="0BC49A0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vMerge w:val="continue"/>
                  <w:tcBorders>
                    <w:tl2br w:val="nil"/>
                    <w:tr2bl w:val="nil"/>
                  </w:tcBorders>
                  <w:vAlign w:val="center"/>
                </w:tcPr>
                <w:p w14:paraId="6A0E6EBB">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tcBorders>
                    <w:tl2br w:val="nil"/>
                    <w:tr2bl w:val="nil"/>
                  </w:tcBorders>
                  <w:vAlign w:val="center"/>
                </w:tcPr>
                <w:p w14:paraId="21D7D411">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05" w:type="dxa"/>
                  <w:tcBorders>
                    <w:tl2br w:val="nil"/>
                    <w:tr2bl w:val="nil"/>
                  </w:tcBorders>
                  <w:vAlign w:val="center"/>
                </w:tcPr>
                <w:p w14:paraId="3946FD41">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r>
            <w:tr w14:paraId="7C80D00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25" w:type="dxa"/>
                  <w:vMerge w:val="continue"/>
                  <w:tcBorders>
                    <w:tl2br w:val="nil"/>
                    <w:tr2bl w:val="nil"/>
                  </w:tcBorders>
                  <w:vAlign w:val="center"/>
                </w:tcPr>
                <w:p w14:paraId="77C59FF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269" w:type="dxa"/>
                  <w:vMerge w:val="continue"/>
                  <w:tcBorders>
                    <w:tl2br w:val="nil"/>
                    <w:tr2bl w:val="nil"/>
                  </w:tcBorders>
                  <w:vAlign w:val="center"/>
                </w:tcPr>
                <w:p w14:paraId="40DBE98A">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restart"/>
                  <w:tcBorders>
                    <w:tl2br w:val="nil"/>
                    <w:tr2bl w:val="nil"/>
                  </w:tcBorders>
                  <w:vAlign w:val="center"/>
                </w:tcPr>
                <w:p w14:paraId="5E91AEF0">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NO</w:t>
                  </w:r>
                  <w:r>
                    <w:rPr>
                      <w:rFonts w:hint="eastAsia" w:ascii="Times New Roman" w:hAnsi="Times New Roman" w:eastAsia="宋体" w:cs="Times New Roman"/>
                      <w:sz w:val="21"/>
                      <w:szCs w:val="21"/>
                      <w:vertAlign w:val="subscript"/>
                      <w:lang w:val="en-US" w:eastAsia="zh-CN"/>
                    </w:rPr>
                    <w:t>x</w:t>
                  </w:r>
                </w:p>
              </w:tc>
              <w:tc>
                <w:tcPr>
                  <w:tcW w:w="480" w:type="dxa"/>
                  <w:vMerge w:val="continue"/>
                  <w:tcBorders>
                    <w:tl2br w:val="nil"/>
                    <w:tr2bl w:val="nil"/>
                  </w:tcBorders>
                  <w:vAlign w:val="center"/>
                </w:tcPr>
                <w:p w14:paraId="1DCF911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69" w:type="dxa"/>
                  <w:vMerge w:val="restart"/>
                  <w:tcBorders>
                    <w:tl2br w:val="nil"/>
                    <w:tr2bl w:val="nil"/>
                  </w:tcBorders>
                  <w:vAlign w:val="center"/>
                </w:tcPr>
                <w:p w14:paraId="10E2C90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0.935</w:t>
                  </w:r>
                </w:p>
              </w:tc>
              <w:tc>
                <w:tcPr>
                  <w:tcW w:w="785" w:type="dxa"/>
                  <w:vMerge w:val="continue"/>
                  <w:tcBorders>
                    <w:tl2br w:val="nil"/>
                    <w:tr2bl w:val="nil"/>
                  </w:tcBorders>
                  <w:vAlign w:val="center"/>
                </w:tcPr>
                <w:p w14:paraId="542249C1">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154" w:type="dxa"/>
                  <w:vMerge w:val="continue"/>
                  <w:tcBorders>
                    <w:tl2br w:val="nil"/>
                    <w:tr2bl w:val="nil"/>
                  </w:tcBorders>
                  <w:vAlign w:val="center"/>
                </w:tcPr>
                <w:p w14:paraId="40BF4559">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restart"/>
                  <w:tcBorders>
                    <w:tl2br w:val="nil"/>
                    <w:tr2bl w:val="nil"/>
                  </w:tcBorders>
                  <w:vAlign w:val="center"/>
                </w:tcPr>
                <w:p w14:paraId="7D9C88D7">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847" w:type="dxa"/>
                  <w:tcBorders>
                    <w:tl2br w:val="nil"/>
                    <w:tr2bl w:val="nil"/>
                  </w:tcBorders>
                  <w:vAlign w:val="center"/>
                </w:tcPr>
                <w:p w14:paraId="4533FB5E">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有组织</w:t>
                  </w:r>
                </w:p>
              </w:tc>
              <w:tc>
                <w:tcPr>
                  <w:tcW w:w="848" w:type="dxa"/>
                  <w:vMerge w:val="continue"/>
                  <w:tcBorders>
                    <w:tl2br w:val="nil"/>
                    <w:tr2bl w:val="nil"/>
                  </w:tcBorders>
                  <w:vAlign w:val="center"/>
                </w:tcPr>
                <w:p w14:paraId="290EFA3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42" w:type="dxa"/>
                  <w:tcBorders>
                    <w:tl2br w:val="nil"/>
                    <w:tr2bl w:val="nil"/>
                  </w:tcBorders>
                  <w:vAlign w:val="center"/>
                </w:tcPr>
                <w:p w14:paraId="3D69624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3.901</w:t>
                  </w:r>
                </w:p>
              </w:tc>
              <w:tc>
                <w:tcPr>
                  <w:tcW w:w="853" w:type="dxa"/>
                  <w:tcBorders>
                    <w:tl2br w:val="nil"/>
                    <w:tr2bl w:val="nil"/>
                  </w:tcBorders>
                  <w:vAlign w:val="center"/>
                </w:tcPr>
                <w:p w14:paraId="1FC7AA8E">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0.2692</w:t>
                  </w:r>
                </w:p>
              </w:tc>
              <w:tc>
                <w:tcPr>
                  <w:tcW w:w="837" w:type="dxa"/>
                  <w:tcBorders>
                    <w:tl2br w:val="nil"/>
                    <w:tr2bl w:val="nil"/>
                  </w:tcBorders>
                  <w:vAlign w:val="center"/>
                </w:tcPr>
                <w:p w14:paraId="2DBAB75D">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0.8883</w:t>
                  </w:r>
                </w:p>
              </w:tc>
              <w:tc>
                <w:tcPr>
                  <w:tcW w:w="760" w:type="dxa"/>
                  <w:vMerge w:val="continue"/>
                  <w:tcBorders>
                    <w:tl2br w:val="nil"/>
                    <w:tr2bl w:val="nil"/>
                  </w:tcBorders>
                  <w:vAlign w:val="center"/>
                </w:tcPr>
                <w:p w14:paraId="599F5E08">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vMerge w:val="continue"/>
                  <w:tcBorders>
                    <w:tl2br w:val="nil"/>
                    <w:tr2bl w:val="nil"/>
                  </w:tcBorders>
                  <w:vAlign w:val="center"/>
                </w:tcPr>
                <w:p w14:paraId="7D57EF55">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tcBorders>
                    <w:tl2br w:val="nil"/>
                    <w:tr2bl w:val="nil"/>
                  </w:tcBorders>
                  <w:vAlign w:val="center"/>
                </w:tcPr>
                <w:p w14:paraId="12AAADD5">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05" w:type="dxa"/>
                  <w:tcBorders>
                    <w:tl2br w:val="nil"/>
                    <w:tr2bl w:val="nil"/>
                  </w:tcBorders>
                  <w:vAlign w:val="center"/>
                </w:tcPr>
                <w:p w14:paraId="2C78C0A7">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200</w:t>
                  </w:r>
                </w:p>
              </w:tc>
            </w:tr>
            <w:tr w14:paraId="6D99BB5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5" w:type="dxa"/>
                  <w:vMerge w:val="continue"/>
                  <w:tcBorders>
                    <w:tl2br w:val="nil"/>
                    <w:tr2bl w:val="nil"/>
                  </w:tcBorders>
                  <w:vAlign w:val="center"/>
                </w:tcPr>
                <w:p w14:paraId="7DB3341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269" w:type="dxa"/>
                  <w:vMerge w:val="continue"/>
                  <w:tcBorders>
                    <w:tl2br w:val="nil"/>
                    <w:tr2bl w:val="nil"/>
                  </w:tcBorders>
                  <w:vAlign w:val="center"/>
                </w:tcPr>
                <w:p w14:paraId="47982831">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continue"/>
                  <w:tcBorders>
                    <w:tl2br w:val="nil"/>
                    <w:tr2bl w:val="nil"/>
                  </w:tcBorders>
                  <w:vAlign w:val="center"/>
                </w:tcPr>
                <w:p w14:paraId="260B8321">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21"/>
                      <w:szCs w:val="21"/>
                      <w:vertAlign w:val="baseline"/>
                      <w:lang w:val="en-US" w:eastAsia="zh-CN"/>
                    </w:rPr>
                  </w:pPr>
                </w:p>
              </w:tc>
              <w:tc>
                <w:tcPr>
                  <w:tcW w:w="480" w:type="dxa"/>
                  <w:vMerge w:val="continue"/>
                  <w:tcBorders>
                    <w:tl2br w:val="nil"/>
                    <w:tr2bl w:val="nil"/>
                  </w:tcBorders>
                  <w:vAlign w:val="center"/>
                </w:tcPr>
                <w:p w14:paraId="77AC147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69" w:type="dxa"/>
                  <w:vMerge w:val="continue"/>
                  <w:tcBorders>
                    <w:tl2br w:val="nil"/>
                    <w:tr2bl w:val="nil"/>
                  </w:tcBorders>
                  <w:vAlign w:val="center"/>
                </w:tcPr>
                <w:p w14:paraId="6D5C4ED9">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785" w:type="dxa"/>
                  <w:vMerge w:val="continue"/>
                  <w:tcBorders>
                    <w:tl2br w:val="nil"/>
                    <w:tr2bl w:val="nil"/>
                  </w:tcBorders>
                  <w:vAlign w:val="center"/>
                </w:tcPr>
                <w:p w14:paraId="174DA56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154" w:type="dxa"/>
                  <w:vMerge w:val="continue"/>
                  <w:tcBorders>
                    <w:tl2br w:val="nil"/>
                    <w:tr2bl w:val="nil"/>
                  </w:tcBorders>
                  <w:vAlign w:val="center"/>
                </w:tcPr>
                <w:p w14:paraId="666BE7E1">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continue"/>
                  <w:tcBorders>
                    <w:tl2br w:val="nil"/>
                    <w:tr2bl w:val="nil"/>
                  </w:tcBorders>
                  <w:vAlign w:val="center"/>
                </w:tcPr>
                <w:p w14:paraId="1E1062C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tcBorders>
                    <w:tl2br w:val="nil"/>
                    <w:tr2bl w:val="nil"/>
                  </w:tcBorders>
                  <w:vAlign w:val="center"/>
                </w:tcPr>
                <w:p w14:paraId="3D21188E">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无组织</w:t>
                  </w:r>
                </w:p>
              </w:tc>
              <w:tc>
                <w:tcPr>
                  <w:tcW w:w="848" w:type="dxa"/>
                  <w:vMerge w:val="continue"/>
                  <w:tcBorders>
                    <w:tl2br w:val="nil"/>
                    <w:tr2bl w:val="nil"/>
                  </w:tcBorders>
                  <w:vAlign w:val="center"/>
                </w:tcPr>
                <w:p w14:paraId="46E346A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42" w:type="dxa"/>
                  <w:tcBorders>
                    <w:tl2br w:val="nil"/>
                    <w:tr2bl w:val="nil"/>
                  </w:tcBorders>
                  <w:vAlign w:val="center"/>
                </w:tcPr>
                <w:p w14:paraId="0C8601EB">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853" w:type="dxa"/>
                  <w:tcBorders>
                    <w:tl2br w:val="nil"/>
                    <w:tr2bl w:val="nil"/>
                  </w:tcBorders>
                  <w:vAlign w:val="center"/>
                </w:tcPr>
                <w:p w14:paraId="4421A33A">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0.0142</w:t>
                  </w:r>
                </w:p>
              </w:tc>
              <w:tc>
                <w:tcPr>
                  <w:tcW w:w="837" w:type="dxa"/>
                  <w:tcBorders>
                    <w:tl2br w:val="nil"/>
                    <w:tr2bl w:val="nil"/>
                  </w:tcBorders>
                  <w:vAlign w:val="center"/>
                </w:tcPr>
                <w:p w14:paraId="405250C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0.0468</w:t>
                  </w:r>
                </w:p>
              </w:tc>
              <w:tc>
                <w:tcPr>
                  <w:tcW w:w="760" w:type="dxa"/>
                  <w:vMerge w:val="continue"/>
                  <w:tcBorders>
                    <w:tl2br w:val="nil"/>
                    <w:tr2bl w:val="nil"/>
                  </w:tcBorders>
                  <w:vAlign w:val="center"/>
                </w:tcPr>
                <w:p w14:paraId="5337A12A">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vMerge w:val="continue"/>
                  <w:tcBorders>
                    <w:tl2br w:val="nil"/>
                    <w:tr2bl w:val="nil"/>
                  </w:tcBorders>
                  <w:vAlign w:val="center"/>
                </w:tcPr>
                <w:p w14:paraId="3546B86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tcBorders>
                    <w:tl2br w:val="nil"/>
                    <w:tr2bl w:val="nil"/>
                  </w:tcBorders>
                  <w:vAlign w:val="center"/>
                </w:tcPr>
                <w:p w14:paraId="4F3DF8BA">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05" w:type="dxa"/>
                  <w:tcBorders>
                    <w:tl2br w:val="nil"/>
                    <w:tr2bl w:val="nil"/>
                  </w:tcBorders>
                  <w:vAlign w:val="center"/>
                </w:tcPr>
                <w:p w14:paraId="642FA44E">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0.12</w:t>
                  </w:r>
                </w:p>
              </w:tc>
            </w:tr>
            <w:tr w14:paraId="48C9469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5" w:type="dxa"/>
                  <w:vMerge w:val="continue"/>
                  <w:tcBorders>
                    <w:tl2br w:val="nil"/>
                    <w:tr2bl w:val="nil"/>
                  </w:tcBorders>
                  <w:vAlign w:val="center"/>
                </w:tcPr>
                <w:p w14:paraId="33F2ECC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269" w:type="dxa"/>
                  <w:vMerge w:val="continue"/>
                  <w:tcBorders>
                    <w:tl2br w:val="nil"/>
                    <w:tr2bl w:val="nil"/>
                  </w:tcBorders>
                  <w:vAlign w:val="center"/>
                </w:tcPr>
                <w:p w14:paraId="576A05D8">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restart"/>
                  <w:tcBorders>
                    <w:tl2br w:val="nil"/>
                    <w:tr2bl w:val="nil"/>
                  </w:tcBorders>
                  <w:vAlign w:val="center"/>
                </w:tcPr>
                <w:p w14:paraId="246A2676">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SO</w:t>
                  </w:r>
                  <w:r>
                    <w:rPr>
                      <w:rFonts w:hint="eastAsia" w:ascii="Times New Roman" w:hAnsi="Times New Roman" w:eastAsia="宋体" w:cs="Times New Roman"/>
                      <w:sz w:val="21"/>
                      <w:szCs w:val="21"/>
                      <w:vertAlign w:val="subscript"/>
                      <w:lang w:val="en-US" w:eastAsia="zh-CN"/>
                    </w:rPr>
                    <w:t>2</w:t>
                  </w:r>
                </w:p>
              </w:tc>
              <w:tc>
                <w:tcPr>
                  <w:tcW w:w="480" w:type="dxa"/>
                  <w:vMerge w:val="continue"/>
                  <w:tcBorders>
                    <w:tl2br w:val="nil"/>
                    <w:tr2bl w:val="nil"/>
                  </w:tcBorders>
                  <w:vAlign w:val="center"/>
                </w:tcPr>
                <w:p w14:paraId="404FA88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69" w:type="dxa"/>
                  <w:vMerge w:val="restart"/>
                  <w:tcBorders>
                    <w:tl2br w:val="nil"/>
                    <w:tr2bl w:val="nil"/>
                  </w:tcBorders>
                  <w:vAlign w:val="center"/>
                </w:tcPr>
                <w:p w14:paraId="1AAE9CB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0.02</w:t>
                  </w:r>
                </w:p>
              </w:tc>
              <w:tc>
                <w:tcPr>
                  <w:tcW w:w="785" w:type="dxa"/>
                  <w:vMerge w:val="continue"/>
                  <w:tcBorders>
                    <w:tl2br w:val="nil"/>
                    <w:tr2bl w:val="nil"/>
                  </w:tcBorders>
                  <w:vAlign w:val="center"/>
                </w:tcPr>
                <w:p w14:paraId="76AD59E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154" w:type="dxa"/>
                  <w:vMerge w:val="continue"/>
                  <w:tcBorders>
                    <w:tl2br w:val="nil"/>
                    <w:tr2bl w:val="nil"/>
                  </w:tcBorders>
                  <w:vAlign w:val="center"/>
                </w:tcPr>
                <w:p w14:paraId="2272409B">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restart"/>
                  <w:tcBorders>
                    <w:tl2br w:val="nil"/>
                    <w:tr2bl w:val="nil"/>
                  </w:tcBorders>
                  <w:vAlign w:val="center"/>
                </w:tcPr>
                <w:p w14:paraId="7991AA85">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847" w:type="dxa"/>
                  <w:tcBorders>
                    <w:tl2br w:val="nil"/>
                    <w:tr2bl w:val="nil"/>
                  </w:tcBorders>
                  <w:vAlign w:val="center"/>
                </w:tcPr>
                <w:p w14:paraId="0B486673">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有组织</w:t>
                  </w:r>
                </w:p>
              </w:tc>
              <w:tc>
                <w:tcPr>
                  <w:tcW w:w="848" w:type="dxa"/>
                  <w:vMerge w:val="continue"/>
                  <w:tcBorders>
                    <w:tl2br w:val="nil"/>
                    <w:tr2bl w:val="nil"/>
                  </w:tcBorders>
                  <w:vAlign w:val="center"/>
                </w:tcPr>
                <w:p w14:paraId="4A456D31">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42" w:type="dxa"/>
                  <w:tcBorders>
                    <w:tl2br w:val="nil"/>
                    <w:tr2bl w:val="nil"/>
                  </w:tcBorders>
                  <w:vAlign w:val="center"/>
                </w:tcPr>
                <w:p w14:paraId="49B86EB1">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0.0834</w:t>
                  </w:r>
                </w:p>
              </w:tc>
              <w:tc>
                <w:tcPr>
                  <w:tcW w:w="853" w:type="dxa"/>
                  <w:tcBorders>
                    <w:tl2br w:val="nil"/>
                    <w:tr2bl w:val="nil"/>
                  </w:tcBorders>
                  <w:vAlign w:val="center"/>
                </w:tcPr>
                <w:p w14:paraId="1363D648">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0.0058</w:t>
                  </w:r>
                </w:p>
              </w:tc>
              <w:tc>
                <w:tcPr>
                  <w:tcW w:w="837" w:type="dxa"/>
                  <w:tcBorders>
                    <w:tl2br w:val="nil"/>
                    <w:tr2bl w:val="nil"/>
                  </w:tcBorders>
                  <w:vAlign w:val="center"/>
                </w:tcPr>
                <w:p w14:paraId="1A28A40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0.019</w:t>
                  </w:r>
                </w:p>
              </w:tc>
              <w:tc>
                <w:tcPr>
                  <w:tcW w:w="760" w:type="dxa"/>
                  <w:vMerge w:val="continue"/>
                  <w:tcBorders>
                    <w:tl2br w:val="nil"/>
                    <w:tr2bl w:val="nil"/>
                  </w:tcBorders>
                  <w:vAlign w:val="center"/>
                </w:tcPr>
                <w:p w14:paraId="6711259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vMerge w:val="continue"/>
                  <w:tcBorders>
                    <w:tl2br w:val="nil"/>
                    <w:tr2bl w:val="nil"/>
                  </w:tcBorders>
                  <w:vAlign w:val="center"/>
                </w:tcPr>
                <w:p w14:paraId="73EB7A0A">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tcBorders>
                    <w:tl2br w:val="nil"/>
                    <w:tr2bl w:val="nil"/>
                  </w:tcBorders>
                  <w:vAlign w:val="center"/>
                </w:tcPr>
                <w:p w14:paraId="2A1B22F3">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05" w:type="dxa"/>
                  <w:tcBorders>
                    <w:tl2br w:val="nil"/>
                    <w:tr2bl w:val="nil"/>
                  </w:tcBorders>
                  <w:vAlign w:val="center"/>
                </w:tcPr>
                <w:p w14:paraId="2028EA3A">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300</w:t>
                  </w:r>
                </w:p>
              </w:tc>
            </w:tr>
            <w:tr w14:paraId="4F21F0D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5" w:type="dxa"/>
                  <w:vMerge w:val="continue"/>
                  <w:tcBorders>
                    <w:tl2br w:val="nil"/>
                    <w:tr2bl w:val="nil"/>
                  </w:tcBorders>
                  <w:vAlign w:val="center"/>
                </w:tcPr>
                <w:p w14:paraId="4755C86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269" w:type="dxa"/>
                  <w:vMerge w:val="continue"/>
                  <w:tcBorders>
                    <w:tl2br w:val="nil"/>
                    <w:tr2bl w:val="nil"/>
                  </w:tcBorders>
                  <w:vAlign w:val="center"/>
                </w:tcPr>
                <w:p w14:paraId="460F267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continue"/>
                  <w:tcBorders>
                    <w:tl2br w:val="nil"/>
                    <w:tr2bl w:val="nil"/>
                  </w:tcBorders>
                  <w:vAlign w:val="center"/>
                </w:tcPr>
                <w:p w14:paraId="1FCBD508">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21"/>
                      <w:szCs w:val="21"/>
                      <w:vertAlign w:val="baseline"/>
                      <w:lang w:val="en-US" w:eastAsia="zh-CN"/>
                    </w:rPr>
                  </w:pPr>
                </w:p>
              </w:tc>
              <w:tc>
                <w:tcPr>
                  <w:tcW w:w="480" w:type="dxa"/>
                  <w:vMerge w:val="continue"/>
                  <w:tcBorders>
                    <w:tl2br w:val="nil"/>
                    <w:tr2bl w:val="nil"/>
                  </w:tcBorders>
                  <w:vAlign w:val="center"/>
                </w:tcPr>
                <w:p w14:paraId="5BD25821">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69" w:type="dxa"/>
                  <w:vMerge w:val="continue"/>
                  <w:tcBorders>
                    <w:tl2br w:val="nil"/>
                    <w:tr2bl w:val="nil"/>
                  </w:tcBorders>
                  <w:vAlign w:val="center"/>
                </w:tcPr>
                <w:p w14:paraId="1F13B23A">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785" w:type="dxa"/>
                  <w:vMerge w:val="continue"/>
                  <w:tcBorders>
                    <w:tl2br w:val="nil"/>
                    <w:tr2bl w:val="nil"/>
                  </w:tcBorders>
                  <w:vAlign w:val="center"/>
                </w:tcPr>
                <w:p w14:paraId="194CEC30">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154" w:type="dxa"/>
                  <w:vMerge w:val="continue"/>
                  <w:tcBorders>
                    <w:tl2br w:val="nil"/>
                    <w:tr2bl w:val="nil"/>
                  </w:tcBorders>
                  <w:vAlign w:val="center"/>
                </w:tcPr>
                <w:p w14:paraId="16A94D80">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continue"/>
                  <w:tcBorders>
                    <w:tl2br w:val="nil"/>
                    <w:tr2bl w:val="nil"/>
                  </w:tcBorders>
                  <w:vAlign w:val="center"/>
                </w:tcPr>
                <w:p w14:paraId="1808E917">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tcBorders>
                    <w:tl2br w:val="nil"/>
                    <w:tr2bl w:val="nil"/>
                  </w:tcBorders>
                  <w:vAlign w:val="center"/>
                </w:tcPr>
                <w:p w14:paraId="444207E1">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无组织</w:t>
                  </w:r>
                </w:p>
              </w:tc>
              <w:tc>
                <w:tcPr>
                  <w:tcW w:w="848" w:type="dxa"/>
                  <w:vMerge w:val="continue"/>
                  <w:tcBorders>
                    <w:tl2br w:val="nil"/>
                    <w:tr2bl w:val="nil"/>
                  </w:tcBorders>
                  <w:vAlign w:val="center"/>
                </w:tcPr>
                <w:p w14:paraId="0DE8944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42" w:type="dxa"/>
                  <w:tcBorders>
                    <w:tl2br w:val="nil"/>
                    <w:tr2bl w:val="nil"/>
                  </w:tcBorders>
                  <w:vAlign w:val="center"/>
                </w:tcPr>
                <w:p w14:paraId="7DC5E895">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853" w:type="dxa"/>
                  <w:tcBorders>
                    <w:tl2br w:val="nil"/>
                    <w:tr2bl w:val="nil"/>
                  </w:tcBorders>
                  <w:vAlign w:val="center"/>
                </w:tcPr>
                <w:p w14:paraId="1A39B709">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3.0303</w:t>
                  </w: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b w:val="0"/>
                      <w:bCs w:val="0"/>
                      <w:color w:val="auto"/>
                      <w:sz w:val="21"/>
                      <w:szCs w:val="21"/>
                      <w:vertAlign w:val="superscript"/>
                      <w:lang w:val="en-US" w:eastAsia="zh-CN"/>
                    </w:rPr>
                    <w:t>-</w:t>
                  </w:r>
                  <w:r>
                    <w:rPr>
                      <w:rFonts w:hint="eastAsia" w:ascii="Times New Roman" w:hAnsi="Times New Roman" w:eastAsia="宋体" w:cs="Times New Roman"/>
                      <w:b w:val="0"/>
                      <w:bCs w:val="0"/>
                      <w:color w:val="auto"/>
                      <w:sz w:val="21"/>
                      <w:szCs w:val="21"/>
                      <w:vertAlign w:val="superscript"/>
                      <w:lang w:val="en-US" w:eastAsia="zh-CN"/>
                    </w:rPr>
                    <w:t>4</w:t>
                  </w:r>
                </w:p>
              </w:tc>
              <w:tc>
                <w:tcPr>
                  <w:tcW w:w="837" w:type="dxa"/>
                  <w:tcBorders>
                    <w:tl2br w:val="nil"/>
                    <w:tr2bl w:val="nil"/>
                  </w:tcBorders>
                  <w:vAlign w:val="center"/>
                </w:tcPr>
                <w:p w14:paraId="1979ED0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0.001</w:t>
                  </w:r>
                </w:p>
              </w:tc>
              <w:tc>
                <w:tcPr>
                  <w:tcW w:w="760" w:type="dxa"/>
                  <w:vMerge w:val="continue"/>
                  <w:tcBorders>
                    <w:tl2br w:val="nil"/>
                    <w:tr2bl w:val="nil"/>
                  </w:tcBorders>
                  <w:vAlign w:val="center"/>
                </w:tcPr>
                <w:p w14:paraId="45EABED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vMerge w:val="continue"/>
                  <w:tcBorders>
                    <w:tl2br w:val="nil"/>
                    <w:tr2bl w:val="nil"/>
                  </w:tcBorders>
                  <w:vAlign w:val="center"/>
                </w:tcPr>
                <w:p w14:paraId="4D862EF1">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tcBorders>
                    <w:tl2br w:val="nil"/>
                    <w:tr2bl w:val="nil"/>
                  </w:tcBorders>
                  <w:vAlign w:val="center"/>
                </w:tcPr>
                <w:p w14:paraId="6223D996">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05" w:type="dxa"/>
                  <w:tcBorders>
                    <w:tl2br w:val="nil"/>
                    <w:tr2bl w:val="nil"/>
                  </w:tcBorders>
                  <w:vAlign w:val="center"/>
                </w:tcPr>
                <w:p w14:paraId="6A3FCDC0">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0.4</w:t>
                  </w:r>
                </w:p>
              </w:tc>
            </w:tr>
            <w:tr w14:paraId="653FCD7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5" w:type="dxa"/>
                  <w:vMerge w:val="continue"/>
                  <w:tcBorders>
                    <w:tl2br w:val="nil"/>
                    <w:tr2bl w:val="nil"/>
                  </w:tcBorders>
                  <w:vAlign w:val="center"/>
                </w:tcPr>
                <w:p w14:paraId="738B7FD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269" w:type="dxa"/>
                  <w:vMerge w:val="restart"/>
                  <w:tcBorders>
                    <w:tl2br w:val="nil"/>
                    <w:tr2bl w:val="nil"/>
                  </w:tcBorders>
                  <w:vAlign w:val="center"/>
                </w:tcPr>
                <w:p w14:paraId="7ECE7DBA">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投料粉尘、破碎粉尘、筛分粉尘</w:t>
                  </w:r>
                </w:p>
              </w:tc>
              <w:tc>
                <w:tcPr>
                  <w:tcW w:w="847" w:type="dxa"/>
                  <w:vMerge w:val="restart"/>
                  <w:tcBorders>
                    <w:tl2br w:val="nil"/>
                    <w:tr2bl w:val="nil"/>
                  </w:tcBorders>
                  <w:vAlign w:val="center"/>
                </w:tcPr>
                <w:p w14:paraId="2D0AF49D">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p>
              </w:tc>
              <w:tc>
                <w:tcPr>
                  <w:tcW w:w="480" w:type="dxa"/>
                  <w:vMerge w:val="continue"/>
                  <w:tcBorders>
                    <w:tl2br w:val="nil"/>
                    <w:tr2bl w:val="nil"/>
                  </w:tcBorders>
                  <w:vAlign w:val="center"/>
                </w:tcPr>
                <w:p w14:paraId="3EEAB4FD">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69" w:type="dxa"/>
                  <w:vMerge w:val="restart"/>
                  <w:tcBorders>
                    <w:tl2br w:val="nil"/>
                    <w:tr2bl w:val="nil"/>
                  </w:tcBorders>
                  <w:vAlign w:val="center"/>
                </w:tcPr>
                <w:p w14:paraId="2A65B22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75.8407</w:t>
                  </w:r>
                </w:p>
              </w:tc>
              <w:tc>
                <w:tcPr>
                  <w:tcW w:w="785" w:type="dxa"/>
                  <w:vMerge w:val="restart"/>
                  <w:tcBorders>
                    <w:tl2br w:val="nil"/>
                    <w:tr2bl w:val="nil"/>
                  </w:tcBorders>
                  <w:vAlign w:val="center"/>
                </w:tcPr>
                <w:p w14:paraId="749C186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90</w:t>
                  </w:r>
                </w:p>
              </w:tc>
              <w:tc>
                <w:tcPr>
                  <w:tcW w:w="1154" w:type="dxa"/>
                  <w:vMerge w:val="restart"/>
                  <w:tcBorders>
                    <w:tl2br w:val="nil"/>
                    <w:tr2bl w:val="nil"/>
                  </w:tcBorders>
                  <w:vAlign w:val="center"/>
                </w:tcPr>
                <w:p w14:paraId="61D60D8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集气罩+布袋除尘器（TA005）</w:t>
                  </w:r>
                </w:p>
              </w:tc>
              <w:tc>
                <w:tcPr>
                  <w:tcW w:w="847" w:type="dxa"/>
                  <w:vMerge w:val="restart"/>
                  <w:tcBorders>
                    <w:tl2br w:val="nil"/>
                    <w:tr2bl w:val="nil"/>
                  </w:tcBorders>
                  <w:vAlign w:val="center"/>
                </w:tcPr>
                <w:p w14:paraId="6E50C76A">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99.7</w:t>
                  </w:r>
                </w:p>
              </w:tc>
              <w:tc>
                <w:tcPr>
                  <w:tcW w:w="847" w:type="dxa"/>
                  <w:tcBorders>
                    <w:tl2br w:val="nil"/>
                    <w:tr2bl w:val="nil"/>
                  </w:tcBorders>
                  <w:vAlign w:val="center"/>
                </w:tcPr>
                <w:p w14:paraId="234FDC75">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有组织</w:t>
                  </w:r>
                </w:p>
              </w:tc>
              <w:tc>
                <w:tcPr>
                  <w:tcW w:w="848" w:type="dxa"/>
                  <w:vMerge w:val="restart"/>
                  <w:tcBorders>
                    <w:tl2br w:val="nil"/>
                    <w:tr2bl w:val="nil"/>
                  </w:tcBorders>
                  <w:vAlign w:val="center"/>
                </w:tcPr>
                <w:p w14:paraId="2C451DEA">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18000</w:t>
                  </w:r>
                </w:p>
              </w:tc>
              <w:tc>
                <w:tcPr>
                  <w:tcW w:w="942" w:type="dxa"/>
                  <w:tcBorders>
                    <w:tl2br w:val="nil"/>
                    <w:tr2bl w:val="nil"/>
                  </w:tcBorders>
                  <w:vAlign w:val="center"/>
                </w:tcPr>
                <w:p w14:paraId="72B9A0D8">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3.4473</w:t>
                  </w:r>
                </w:p>
              </w:tc>
              <w:tc>
                <w:tcPr>
                  <w:tcW w:w="853" w:type="dxa"/>
                  <w:tcBorders>
                    <w:tl2br w:val="nil"/>
                    <w:tr2bl w:val="nil"/>
                  </w:tcBorders>
                  <w:vAlign w:val="center"/>
                </w:tcPr>
                <w:p w14:paraId="6EE3520E">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0.0621</w:t>
                  </w:r>
                </w:p>
              </w:tc>
              <w:tc>
                <w:tcPr>
                  <w:tcW w:w="837" w:type="dxa"/>
                  <w:tcBorders>
                    <w:tl2br w:val="nil"/>
                    <w:tr2bl w:val="nil"/>
                  </w:tcBorders>
                  <w:vAlign w:val="center"/>
                </w:tcPr>
                <w:p w14:paraId="267C8DEB">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0.2048</w:t>
                  </w:r>
                </w:p>
              </w:tc>
              <w:tc>
                <w:tcPr>
                  <w:tcW w:w="760" w:type="dxa"/>
                  <w:vMerge w:val="restart"/>
                  <w:tcBorders>
                    <w:tl2br w:val="nil"/>
                    <w:tr2bl w:val="nil"/>
                  </w:tcBorders>
                  <w:vAlign w:val="center"/>
                </w:tcPr>
                <w:p w14:paraId="35E60CEA">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3300</w:t>
                  </w:r>
                </w:p>
              </w:tc>
              <w:tc>
                <w:tcPr>
                  <w:tcW w:w="848" w:type="dxa"/>
                  <w:vMerge w:val="restart"/>
                  <w:tcBorders>
                    <w:tl2br w:val="nil"/>
                    <w:tr2bl w:val="nil"/>
                  </w:tcBorders>
                  <w:vAlign w:val="center"/>
                </w:tcPr>
                <w:p w14:paraId="21D77DEE">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DA005</w:t>
                  </w:r>
                </w:p>
              </w:tc>
              <w:tc>
                <w:tcPr>
                  <w:tcW w:w="848" w:type="dxa"/>
                  <w:tcBorders>
                    <w:tl2br w:val="nil"/>
                    <w:tr2bl w:val="nil"/>
                  </w:tcBorders>
                  <w:vAlign w:val="center"/>
                </w:tcPr>
                <w:p w14:paraId="0CFD42C9">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3.5</w:t>
                  </w:r>
                </w:p>
              </w:tc>
              <w:tc>
                <w:tcPr>
                  <w:tcW w:w="1005" w:type="dxa"/>
                  <w:tcBorders>
                    <w:tl2br w:val="nil"/>
                    <w:tr2bl w:val="nil"/>
                  </w:tcBorders>
                  <w:vAlign w:val="center"/>
                </w:tcPr>
                <w:p w14:paraId="190D233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120</w:t>
                  </w:r>
                </w:p>
              </w:tc>
            </w:tr>
            <w:tr w14:paraId="549BA1B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5" w:type="dxa"/>
                  <w:vMerge w:val="continue"/>
                  <w:tcBorders>
                    <w:tl2br w:val="nil"/>
                    <w:tr2bl w:val="nil"/>
                  </w:tcBorders>
                  <w:vAlign w:val="center"/>
                </w:tcPr>
                <w:p w14:paraId="7952BC70">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269" w:type="dxa"/>
                  <w:vMerge w:val="continue"/>
                  <w:tcBorders>
                    <w:tl2br w:val="nil"/>
                    <w:tr2bl w:val="nil"/>
                  </w:tcBorders>
                  <w:vAlign w:val="center"/>
                </w:tcPr>
                <w:p w14:paraId="72D634A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continue"/>
                  <w:tcBorders>
                    <w:tl2br w:val="nil"/>
                    <w:tr2bl w:val="nil"/>
                  </w:tcBorders>
                  <w:vAlign w:val="center"/>
                </w:tcPr>
                <w:p w14:paraId="0D0F62CB">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480" w:type="dxa"/>
                  <w:vMerge w:val="continue"/>
                  <w:tcBorders>
                    <w:tl2br w:val="nil"/>
                    <w:tr2bl w:val="nil"/>
                  </w:tcBorders>
                  <w:vAlign w:val="center"/>
                </w:tcPr>
                <w:p w14:paraId="2C85F00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69" w:type="dxa"/>
                  <w:vMerge w:val="continue"/>
                  <w:tcBorders>
                    <w:tl2br w:val="nil"/>
                    <w:tr2bl w:val="nil"/>
                  </w:tcBorders>
                  <w:vAlign w:val="center"/>
                </w:tcPr>
                <w:p w14:paraId="27443D21">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785" w:type="dxa"/>
                  <w:vMerge w:val="continue"/>
                  <w:tcBorders>
                    <w:tl2br w:val="nil"/>
                    <w:tr2bl w:val="nil"/>
                  </w:tcBorders>
                  <w:vAlign w:val="center"/>
                </w:tcPr>
                <w:p w14:paraId="2DBA1090">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154" w:type="dxa"/>
                  <w:vMerge w:val="continue"/>
                  <w:tcBorders>
                    <w:tl2br w:val="nil"/>
                    <w:tr2bl w:val="nil"/>
                  </w:tcBorders>
                  <w:vAlign w:val="center"/>
                </w:tcPr>
                <w:p w14:paraId="278958F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vMerge w:val="continue"/>
                  <w:tcBorders>
                    <w:tl2br w:val="nil"/>
                    <w:tr2bl w:val="nil"/>
                  </w:tcBorders>
                  <w:vAlign w:val="center"/>
                </w:tcPr>
                <w:p w14:paraId="5218546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7" w:type="dxa"/>
                  <w:tcBorders>
                    <w:tl2br w:val="nil"/>
                    <w:tr2bl w:val="nil"/>
                  </w:tcBorders>
                  <w:vAlign w:val="center"/>
                </w:tcPr>
                <w:p w14:paraId="35A035F5">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无组织</w:t>
                  </w:r>
                </w:p>
              </w:tc>
              <w:tc>
                <w:tcPr>
                  <w:tcW w:w="848" w:type="dxa"/>
                  <w:vMerge w:val="continue"/>
                  <w:tcBorders>
                    <w:tl2br w:val="nil"/>
                    <w:tr2bl w:val="nil"/>
                  </w:tcBorders>
                  <w:vAlign w:val="center"/>
                </w:tcPr>
                <w:p w14:paraId="083F7410">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42" w:type="dxa"/>
                  <w:tcBorders>
                    <w:tl2br w:val="nil"/>
                    <w:tr2bl w:val="nil"/>
                  </w:tcBorders>
                  <w:vAlign w:val="center"/>
                </w:tcPr>
                <w:p w14:paraId="4E44C98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853" w:type="dxa"/>
                  <w:tcBorders>
                    <w:tl2br w:val="nil"/>
                    <w:tr2bl w:val="nil"/>
                  </w:tcBorders>
                  <w:vAlign w:val="center"/>
                </w:tcPr>
                <w:p w14:paraId="3101B007">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0.006</w:t>
                  </w:r>
                </w:p>
              </w:tc>
              <w:tc>
                <w:tcPr>
                  <w:tcW w:w="837" w:type="dxa"/>
                  <w:tcBorders>
                    <w:tl2br w:val="nil"/>
                    <w:tr2bl w:val="nil"/>
                  </w:tcBorders>
                  <w:vAlign w:val="center"/>
                </w:tcPr>
                <w:p w14:paraId="42108207">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0.0197</w:t>
                  </w:r>
                </w:p>
              </w:tc>
              <w:tc>
                <w:tcPr>
                  <w:tcW w:w="760" w:type="dxa"/>
                  <w:vMerge w:val="continue"/>
                  <w:tcBorders>
                    <w:tl2br w:val="nil"/>
                    <w:tr2bl w:val="nil"/>
                  </w:tcBorders>
                  <w:vAlign w:val="center"/>
                </w:tcPr>
                <w:p w14:paraId="5ED76D42">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vMerge w:val="continue"/>
                  <w:tcBorders>
                    <w:tl2br w:val="nil"/>
                    <w:tr2bl w:val="nil"/>
                  </w:tcBorders>
                  <w:vAlign w:val="center"/>
                </w:tcPr>
                <w:p w14:paraId="4FF5765E">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848" w:type="dxa"/>
                  <w:tcBorders>
                    <w:tl2br w:val="nil"/>
                    <w:tr2bl w:val="nil"/>
                  </w:tcBorders>
                  <w:vAlign w:val="center"/>
                </w:tcPr>
                <w:p w14:paraId="7AE3EF7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05" w:type="dxa"/>
                  <w:tcBorders>
                    <w:tl2br w:val="nil"/>
                    <w:tr2bl w:val="nil"/>
                  </w:tcBorders>
                  <w:vAlign w:val="center"/>
                </w:tcPr>
                <w:p w14:paraId="45C4AC7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r>
            <w:tr w14:paraId="37ADE2F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25" w:type="dxa"/>
                  <w:vMerge w:val="continue"/>
                  <w:tcBorders>
                    <w:tl2br w:val="nil"/>
                    <w:tr2bl w:val="nil"/>
                  </w:tcBorders>
                  <w:vAlign w:val="center"/>
                </w:tcPr>
                <w:p w14:paraId="2BDBCEC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269" w:type="dxa"/>
                  <w:tcBorders>
                    <w:tl2br w:val="nil"/>
                    <w:tr2bl w:val="nil"/>
                  </w:tcBorders>
                  <w:vAlign w:val="center"/>
                </w:tcPr>
                <w:p w14:paraId="2C9A2660">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食堂油烟</w:t>
                  </w:r>
                </w:p>
              </w:tc>
              <w:tc>
                <w:tcPr>
                  <w:tcW w:w="847" w:type="dxa"/>
                  <w:tcBorders>
                    <w:tl2br w:val="nil"/>
                    <w:tr2bl w:val="nil"/>
                  </w:tcBorders>
                  <w:vAlign w:val="center"/>
                </w:tcPr>
                <w:p w14:paraId="43D91DDB">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油烟</w:t>
                  </w:r>
                </w:p>
              </w:tc>
              <w:tc>
                <w:tcPr>
                  <w:tcW w:w="480" w:type="dxa"/>
                  <w:vMerge w:val="continue"/>
                  <w:tcBorders>
                    <w:tl2br w:val="nil"/>
                    <w:tr2bl w:val="nil"/>
                  </w:tcBorders>
                  <w:vAlign w:val="center"/>
                </w:tcPr>
                <w:p w14:paraId="5CA225A7">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69" w:type="dxa"/>
                  <w:tcBorders>
                    <w:tl2br w:val="nil"/>
                    <w:tr2bl w:val="nil"/>
                  </w:tcBorders>
                  <w:vAlign w:val="center"/>
                </w:tcPr>
                <w:p w14:paraId="10397C2D">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0.0158</w:t>
                  </w:r>
                </w:p>
              </w:tc>
              <w:tc>
                <w:tcPr>
                  <w:tcW w:w="785" w:type="dxa"/>
                  <w:tcBorders>
                    <w:tl2br w:val="nil"/>
                    <w:tr2bl w:val="nil"/>
                  </w:tcBorders>
                  <w:vAlign w:val="center"/>
                </w:tcPr>
                <w:p w14:paraId="795EE217">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90</w:t>
                  </w:r>
                </w:p>
              </w:tc>
              <w:tc>
                <w:tcPr>
                  <w:tcW w:w="1154" w:type="dxa"/>
                  <w:tcBorders>
                    <w:tl2br w:val="nil"/>
                    <w:tr2bl w:val="nil"/>
                  </w:tcBorders>
                  <w:vAlign w:val="center"/>
                </w:tcPr>
                <w:p w14:paraId="5F7CBA57">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集气罩+油烟净化器（TA006）</w:t>
                  </w:r>
                </w:p>
              </w:tc>
              <w:tc>
                <w:tcPr>
                  <w:tcW w:w="847" w:type="dxa"/>
                  <w:tcBorders>
                    <w:tl2br w:val="nil"/>
                    <w:tr2bl w:val="nil"/>
                  </w:tcBorders>
                  <w:vAlign w:val="center"/>
                </w:tcPr>
                <w:p w14:paraId="09AF3B2E">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70</w:t>
                  </w:r>
                </w:p>
              </w:tc>
              <w:tc>
                <w:tcPr>
                  <w:tcW w:w="847" w:type="dxa"/>
                  <w:tcBorders>
                    <w:tl2br w:val="nil"/>
                    <w:tr2bl w:val="nil"/>
                  </w:tcBorders>
                  <w:vAlign w:val="center"/>
                </w:tcPr>
                <w:p w14:paraId="51E34D0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有组织</w:t>
                  </w:r>
                </w:p>
              </w:tc>
              <w:tc>
                <w:tcPr>
                  <w:tcW w:w="848" w:type="dxa"/>
                  <w:tcBorders>
                    <w:tl2br w:val="nil"/>
                    <w:tr2bl w:val="nil"/>
                  </w:tcBorders>
                  <w:vAlign w:val="center"/>
                </w:tcPr>
                <w:p w14:paraId="19B97D92">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3000</w:t>
                  </w:r>
                </w:p>
              </w:tc>
              <w:tc>
                <w:tcPr>
                  <w:tcW w:w="942" w:type="dxa"/>
                  <w:tcBorders>
                    <w:tl2br w:val="nil"/>
                    <w:tr2bl w:val="nil"/>
                  </w:tcBorders>
                  <w:vAlign w:val="center"/>
                </w:tcPr>
                <w:p w14:paraId="5BE49C5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1.0773</w:t>
                  </w:r>
                </w:p>
              </w:tc>
              <w:tc>
                <w:tcPr>
                  <w:tcW w:w="853" w:type="dxa"/>
                  <w:tcBorders>
                    <w:tl2br w:val="nil"/>
                    <w:tr2bl w:val="nil"/>
                  </w:tcBorders>
                  <w:vAlign w:val="center"/>
                </w:tcPr>
                <w:p w14:paraId="07D4B185">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0.0032</w:t>
                  </w:r>
                </w:p>
              </w:tc>
              <w:tc>
                <w:tcPr>
                  <w:tcW w:w="837" w:type="dxa"/>
                  <w:tcBorders>
                    <w:tl2br w:val="nil"/>
                    <w:tr2bl w:val="nil"/>
                  </w:tcBorders>
                  <w:vAlign w:val="center"/>
                </w:tcPr>
                <w:p w14:paraId="50A12B35">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0.0043</w:t>
                  </w:r>
                </w:p>
              </w:tc>
              <w:tc>
                <w:tcPr>
                  <w:tcW w:w="760" w:type="dxa"/>
                  <w:tcBorders>
                    <w:tl2br w:val="nil"/>
                    <w:tr2bl w:val="nil"/>
                  </w:tcBorders>
                  <w:vAlign w:val="center"/>
                </w:tcPr>
                <w:p w14:paraId="3AB149B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1320</w:t>
                  </w:r>
                </w:p>
              </w:tc>
              <w:tc>
                <w:tcPr>
                  <w:tcW w:w="848" w:type="dxa"/>
                  <w:tcBorders>
                    <w:tl2br w:val="nil"/>
                    <w:tr2bl w:val="nil"/>
                  </w:tcBorders>
                  <w:vAlign w:val="center"/>
                </w:tcPr>
                <w:p w14:paraId="15F138D7">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DA006</w:t>
                  </w:r>
                </w:p>
              </w:tc>
              <w:tc>
                <w:tcPr>
                  <w:tcW w:w="848" w:type="dxa"/>
                  <w:tcBorders>
                    <w:tl2br w:val="nil"/>
                    <w:tr2bl w:val="nil"/>
                  </w:tcBorders>
                  <w:vAlign w:val="center"/>
                </w:tcPr>
                <w:p w14:paraId="37DCFB0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05" w:type="dxa"/>
                  <w:tcBorders>
                    <w:tl2br w:val="nil"/>
                    <w:tr2bl w:val="nil"/>
                  </w:tcBorders>
                  <w:vAlign w:val="center"/>
                </w:tcPr>
                <w:p w14:paraId="5A42A55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w:t>
                  </w:r>
                </w:p>
              </w:tc>
            </w:tr>
            <w:tr w14:paraId="3F71D11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8" w:hRule="atLeast"/>
                <w:jc w:val="center"/>
              </w:trPr>
              <w:tc>
                <w:tcPr>
                  <w:tcW w:w="425" w:type="dxa"/>
                  <w:vMerge w:val="continue"/>
                  <w:tcBorders>
                    <w:tl2br w:val="nil"/>
                    <w:tr2bl w:val="nil"/>
                  </w:tcBorders>
                  <w:vAlign w:val="center"/>
                </w:tcPr>
                <w:p w14:paraId="52F41FD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269" w:type="dxa"/>
                  <w:tcBorders>
                    <w:tl2br w:val="nil"/>
                    <w:tr2bl w:val="nil"/>
                  </w:tcBorders>
                  <w:vAlign w:val="center"/>
                </w:tcPr>
                <w:p w14:paraId="2153EC59">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投料粉尘</w:t>
                  </w:r>
                </w:p>
              </w:tc>
              <w:tc>
                <w:tcPr>
                  <w:tcW w:w="847" w:type="dxa"/>
                  <w:tcBorders>
                    <w:tl2br w:val="nil"/>
                    <w:tr2bl w:val="nil"/>
                  </w:tcBorders>
                  <w:vAlign w:val="center"/>
                </w:tcPr>
                <w:p w14:paraId="1E99B927">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p>
              </w:tc>
              <w:tc>
                <w:tcPr>
                  <w:tcW w:w="480" w:type="dxa"/>
                  <w:vMerge w:val="continue"/>
                  <w:tcBorders>
                    <w:tl2br w:val="nil"/>
                    <w:tr2bl w:val="nil"/>
                  </w:tcBorders>
                  <w:vAlign w:val="center"/>
                </w:tcPr>
                <w:p w14:paraId="3496C82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69" w:type="dxa"/>
                  <w:tcBorders>
                    <w:tl2br w:val="nil"/>
                    <w:tr2bl w:val="nil"/>
                  </w:tcBorders>
                  <w:vAlign w:val="center"/>
                </w:tcPr>
                <w:p w14:paraId="7D38E972">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3.7037</w:t>
                  </w:r>
                </w:p>
              </w:tc>
              <w:tc>
                <w:tcPr>
                  <w:tcW w:w="785" w:type="dxa"/>
                  <w:tcBorders>
                    <w:tl2br w:val="nil"/>
                    <w:tr2bl w:val="nil"/>
                  </w:tcBorders>
                  <w:vAlign w:val="center"/>
                </w:tcPr>
                <w:p w14:paraId="2C59DCC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154" w:type="dxa"/>
                  <w:tcBorders>
                    <w:tl2br w:val="nil"/>
                    <w:tr2bl w:val="nil"/>
                  </w:tcBorders>
                  <w:vAlign w:val="center"/>
                </w:tcPr>
                <w:p w14:paraId="230E2B3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封闭投料斗+喷雾降尘</w:t>
                  </w:r>
                </w:p>
              </w:tc>
              <w:tc>
                <w:tcPr>
                  <w:tcW w:w="847" w:type="dxa"/>
                  <w:tcBorders>
                    <w:tl2br w:val="nil"/>
                    <w:tr2bl w:val="nil"/>
                  </w:tcBorders>
                  <w:vAlign w:val="center"/>
                </w:tcPr>
                <w:p w14:paraId="7771C335">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封闭</w:t>
                  </w:r>
                  <w:r>
                    <w:rPr>
                      <w:rFonts w:hint="eastAsia" w:ascii="Times New Roman" w:hAnsi="Times New Roman" w:eastAsia="宋体" w:cs="Times New Roman"/>
                      <w:sz w:val="21"/>
                      <w:szCs w:val="21"/>
                      <w:vertAlign w:val="baseline"/>
                      <w:lang w:val="en-US" w:eastAsia="zh-CN"/>
                    </w:rPr>
                    <w:t>投料斗</w:t>
                  </w:r>
                  <w:r>
                    <w:rPr>
                      <w:rFonts w:hint="default" w:ascii="Times New Roman" w:hAnsi="Times New Roman" w:eastAsia="宋体" w:cs="Times New Roman"/>
                      <w:sz w:val="21"/>
                      <w:szCs w:val="21"/>
                      <w:vertAlign w:val="baseline"/>
                      <w:lang w:val="en-US" w:eastAsia="zh-CN"/>
                    </w:rPr>
                    <w:t>99%、喷雾降尘74%</w:t>
                  </w:r>
                </w:p>
              </w:tc>
              <w:tc>
                <w:tcPr>
                  <w:tcW w:w="847" w:type="dxa"/>
                  <w:tcBorders>
                    <w:tl2br w:val="nil"/>
                    <w:tr2bl w:val="nil"/>
                  </w:tcBorders>
                  <w:vAlign w:val="center"/>
                </w:tcPr>
                <w:p w14:paraId="32480BD7">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无组织</w:t>
                  </w:r>
                </w:p>
              </w:tc>
              <w:tc>
                <w:tcPr>
                  <w:tcW w:w="848" w:type="dxa"/>
                  <w:tcBorders>
                    <w:tl2br w:val="nil"/>
                    <w:tr2bl w:val="nil"/>
                  </w:tcBorders>
                  <w:vAlign w:val="center"/>
                </w:tcPr>
                <w:p w14:paraId="12A9A64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942" w:type="dxa"/>
                  <w:tcBorders>
                    <w:tl2br w:val="nil"/>
                    <w:tr2bl w:val="nil"/>
                  </w:tcBorders>
                  <w:vAlign w:val="center"/>
                </w:tcPr>
                <w:p w14:paraId="4EB16CE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853" w:type="dxa"/>
                  <w:tcBorders>
                    <w:tl2br w:val="nil"/>
                    <w:tr2bl w:val="nil"/>
                  </w:tcBorders>
                  <w:vAlign w:val="center"/>
                </w:tcPr>
                <w:p w14:paraId="38B14747">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0.0029</w:t>
                  </w:r>
                </w:p>
              </w:tc>
              <w:tc>
                <w:tcPr>
                  <w:tcW w:w="837" w:type="dxa"/>
                  <w:tcBorders>
                    <w:tl2br w:val="nil"/>
                    <w:tr2bl w:val="nil"/>
                  </w:tcBorders>
                  <w:vAlign w:val="center"/>
                </w:tcPr>
                <w:p w14:paraId="08F92045">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0.0096</w:t>
                  </w:r>
                </w:p>
              </w:tc>
              <w:tc>
                <w:tcPr>
                  <w:tcW w:w="760" w:type="dxa"/>
                  <w:tcBorders>
                    <w:tl2br w:val="nil"/>
                    <w:tr2bl w:val="nil"/>
                  </w:tcBorders>
                  <w:vAlign w:val="center"/>
                </w:tcPr>
                <w:p w14:paraId="405FDE47">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3300</w:t>
                  </w:r>
                </w:p>
              </w:tc>
              <w:tc>
                <w:tcPr>
                  <w:tcW w:w="848" w:type="dxa"/>
                  <w:tcBorders>
                    <w:tl2br w:val="nil"/>
                    <w:tr2bl w:val="nil"/>
                  </w:tcBorders>
                  <w:vAlign w:val="center"/>
                </w:tcPr>
                <w:p w14:paraId="60B3FEB8">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848" w:type="dxa"/>
                  <w:tcBorders>
                    <w:tl2br w:val="nil"/>
                    <w:tr2bl w:val="nil"/>
                  </w:tcBorders>
                  <w:vAlign w:val="center"/>
                </w:tcPr>
                <w:p w14:paraId="4AD0D18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05" w:type="dxa"/>
                  <w:tcBorders>
                    <w:tl2br w:val="nil"/>
                    <w:tr2bl w:val="nil"/>
                  </w:tcBorders>
                  <w:vAlign w:val="center"/>
                </w:tcPr>
                <w:p w14:paraId="6CB09E0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r>
            <w:tr w14:paraId="19CCCC3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5" w:type="dxa"/>
                  <w:vMerge w:val="continue"/>
                  <w:tcBorders>
                    <w:tl2br w:val="nil"/>
                    <w:tr2bl w:val="nil"/>
                  </w:tcBorders>
                  <w:vAlign w:val="center"/>
                </w:tcPr>
                <w:p w14:paraId="33FA4935">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269" w:type="dxa"/>
                  <w:tcBorders>
                    <w:tl2br w:val="nil"/>
                    <w:tr2bl w:val="nil"/>
                  </w:tcBorders>
                  <w:vAlign w:val="center"/>
                </w:tcPr>
                <w:p w14:paraId="4B43281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装卸扬尘、堆场扬尘</w:t>
                  </w:r>
                </w:p>
              </w:tc>
              <w:tc>
                <w:tcPr>
                  <w:tcW w:w="847" w:type="dxa"/>
                  <w:tcBorders>
                    <w:tl2br w:val="nil"/>
                    <w:tr2bl w:val="nil"/>
                  </w:tcBorders>
                  <w:vAlign w:val="center"/>
                </w:tcPr>
                <w:p w14:paraId="66C8CA65">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颗粒物</w:t>
                  </w:r>
                </w:p>
              </w:tc>
              <w:tc>
                <w:tcPr>
                  <w:tcW w:w="480" w:type="dxa"/>
                  <w:vMerge w:val="continue"/>
                  <w:tcBorders>
                    <w:tl2br w:val="nil"/>
                    <w:tr2bl w:val="nil"/>
                  </w:tcBorders>
                  <w:vAlign w:val="center"/>
                </w:tcPr>
                <w:p w14:paraId="37207385">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69" w:type="dxa"/>
                  <w:tcBorders>
                    <w:tl2br w:val="nil"/>
                    <w:tr2bl w:val="nil"/>
                  </w:tcBorders>
                  <w:vAlign w:val="center"/>
                </w:tcPr>
                <w:p w14:paraId="3C3E06F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61.7259</w:t>
                  </w:r>
                </w:p>
              </w:tc>
              <w:tc>
                <w:tcPr>
                  <w:tcW w:w="785" w:type="dxa"/>
                  <w:tcBorders>
                    <w:tl2br w:val="nil"/>
                    <w:tr2bl w:val="nil"/>
                  </w:tcBorders>
                  <w:vAlign w:val="center"/>
                </w:tcPr>
                <w:p w14:paraId="6D1F1C29">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154" w:type="dxa"/>
                  <w:tcBorders>
                    <w:tl2br w:val="nil"/>
                    <w:tr2bl w:val="nil"/>
                  </w:tcBorders>
                  <w:vAlign w:val="center"/>
                </w:tcPr>
                <w:p w14:paraId="7DD3BA3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封闭厂房+喷雾降尘</w:t>
                  </w:r>
                </w:p>
              </w:tc>
              <w:tc>
                <w:tcPr>
                  <w:tcW w:w="847" w:type="dxa"/>
                  <w:tcBorders>
                    <w:tl2br w:val="nil"/>
                    <w:tr2bl w:val="nil"/>
                  </w:tcBorders>
                  <w:vAlign w:val="center"/>
                </w:tcPr>
                <w:p w14:paraId="637A04C2">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封闭</w:t>
                  </w:r>
                  <w:r>
                    <w:rPr>
                      <w:rFonts w:hint="eastAsia" w:ascii="Times New Roman" w:hAnsi="Times New Roman" w:eastAsia="宋体" w:cs="Times New Roman"/>
                      <w:sz w:val="21"/>
                      <w:szCs w:val="21"/>
                      <w:vertAlign w:val="baseline"/>
                      <w:lang w:val="en-US" w:eastAsia="zh-CN"/>
                    </w:rPr>
                    <w:t>厂房</w:t>
                  </w:r>
                  <w:r>
                    <w:rPr>
                      <w:rFonts w:hint="default" w:ascii="Times New Roman" w:hAnsi="Times New Roman" w:eastAsia="宋体" w:cs="Times New Roman"/>
                      <w:sz w:val="21"/>
                      <w:szCs w:val="21"/>
                      <w:vertAlign w:val="baseline"/>
                      <w:lang w:val="en-US" w:eastAsia="zh-CN"/>
                    </w:rPr>
                    <w:t>99%、喷雾降尘74%</w:t>
                  </w:r>
                </w:p>
              </w:tc>
              <w:tc>
                <w:tcPr>
                  <w:tcW w:w="847" w:type="dxa"/>
                  <w:tcBorders>
                    <w:tl2br w:val="nil"/>
                    <w:tr2bl w:val="nil"/>
                  </w:tcBorders>
                  <w:vAlign w:val="center"/>
                </w:tcPr>
                <w:p w14:paraId="59BA3EFE">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无组织</w:t>
                  </w:r>
                </w:p>
              </w:tc>
              <w:tc>
                <w:tcPr>
                  <w:tcW w:w="848" w:type="dxa"/>
                  <w:tcBorders>
                    <w:tl2br w:val="nil"/>
                    <w:tr2bl w:val="nil"/>
                  </w:tcBorders>
                  <w:vAlign w:val="center"/>
                </w:tcPr>
                <w:p w14:paraId="21788EE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942" w:type="dxa"/>
                  <w:tcBorders>
                    <w:tl2br w:val="nil"/>
                    <w:tr2bl w:val="nil"/>
                  </w:tcBorders>
                  <w:vAlign w:val="center"/>
                </w:tcPr>
                <w:p w14:paraId="3B281F83">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853" w:type="dxa"/>
                  <w:tcBorders>
                    <w:tl2br w:val="nil"/>
                    <w:tr2bl w:val="nil"/>
                  </w:tcBorders>
                  <w:vAlign w:val="center"/>
                </w:tcPr>
                <w:p w14:paraId="2AC54D9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0.0486</w:t>
                  </w:r>
                </w:p>
              </w:tc>
              <w:tc>
                <w:tcPr>
                  <w:tcW w:w="837" w:type="dxa"/>
                  <w:tcBorders>
                    <w:tl2br w:val="nil"/>
                    <w:tr2bl w:val="nil"/>
                  </w:tcBorders>
                  <w:vAlign w:val="center"/>
                </w:tcPr>
                <w:p w14:paraId="742EF9DB">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0.1605</w:t>
                  </w:r>
                </w:p>
              </w:tc>
              <w:tc>
                <w:tcPr>
                  <w:tcW w:w="760" w:type="dxa"/>
                  <w:tcBorders>
                    <w:tl2br w:val="nil"/>
                    <w:tr2bl w:val="nil"/>
                  </w:tcBorders>
                  <w:vAlign w:val="center"/>
                </w:tcPr>
                <w:p w14:paraId="4EAF44CC">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3300</w:t>
                  </w:r>
                </w:p>
              </w:tc>
              <w:tc>
                <w:tcPr>
                  <w:tcW w:w="848" w:type="dxa"/>
                  <w:tcBorders>
                    <w:tl2br w:val="nil"/>
                    <w:tr2bl w:val="nil"/>
                  </w:tcBorders>
                  <w:vAlign w:val="center"/>
                </w:tcPr>
                <w:p w14:paraId="7378EB4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848" w:type="dxa"/>
                  <w:tcBorders>
                    <w:tl2br w:val="nil"/>
                    <w:tr2bl w:val="nil"/>
                  </w:tcBorders>
                  <w:vAlign w:val="center"/>
                </w:tcPr>
                <w:p w14:paraId="4D7DA56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05" w:type="dxa"/>
                  <w:tcBorders>
                    <w:tl2br w:val="nil"/>
                    <w:tr2bl w:val="nil"/>
                  </w:tcBorders>
                  <w:vAlign w:val="center"/>
                </w:tcPr>
                <w:p w14:paraId="4B99D1E2">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r>
            <w:tr w14:paraId="76C4891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5" w:type="dxa"/>
                  <w:vMerge w:val="continue"/>
                  <w:tcBorders>
                    <w:tl2br w:val="nil"/>
                    <w:tr2bl w:val="nil"/>
                  </w:tcBorders>
                  <w:vAlign w:val="center"/>
                </w:tcPr>
                <w:p w14:paraId="6115E86A">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269" w:type="dxa"/>
                  <w:tcBorders>
                    <w:tl2br w:val="nil"/>
                    <w:tr2bl w:val="nil"/>
                  </w:tcBorders>
                  <w:vAlign w:val="center"/>
                </w:tcPr>
                <w:p w14:paraId="1FFA59BD">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粉料筒仓粉尘</w:t>
                  </w:r>
                </w:p>
              </w:tc>
              <w:tc>
                <w:tcPr>
                  <w:tcW w:w="847" w:type="dxa"/>
                  <w:tcBorders>
                    <w:tl2br w:val="nil"/>
                    <w:tr2bl w:val="nil"/>
                  </w:tcBorders>
                  <w:vAlign w:val="center"/>
                </w:tcPr>
                <w:p w14:paraId="10DFAED2">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p>
              </w:tc>
              <w:tc>
                <w:tcPr>
                  <w:tcW w:w="480" w:type="dxa"/>
                  <w:vMerge w:val="continue"/>
                  <w:tcBorders>
                    <w:tl2br w:val="nil"/>
                    <w:tr2bl w:val="nil"/>
                  </w:tcBorders>
                  <w:vAlign w:val="center"/>
                </w:tcPr>
                <w:p w14:paraId="426F6CB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69" w:type="dxa"/>
                  <w:tcBorders>
                    <w:tl2br w:val="nil"/>
                    <w:tr2bl w:val="nil"/>
                  </w:tcBorders>
                  <w:vAlign w:val="center"/>
                </w:tcPr>
                <w:p w14:paraId="46BED412">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1.7870</w:t>
                  </w:r>
                </w:p>
              </w:tc>
              <w:tc>
                <w:tcPr>
                  <w:tcW w:w="785" w:type="dxa"/>
                  <w:tcBorders>
                    <w:tl2br w:val="nil"/>
                    <w:tr2bl w:val="nil"/>
                  </w:tcBorders>
                  <w:vAlign w:val="center"/>
                </w:tcPr>
                <w:p w14:paraId="37D7F4B5">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154" w:type="dxa"/>
                  <w:tcBorders>
                    <w:tl2br w:val="nil"/>
                    <w:tr2bl w:val="nil"/>
                  </w:tcBorders>
                  <w:vAlign w:val="center"/>
                </w:tcPr>
                <w:p w14:paraId="12C740C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筒仓自带布袋除尘</w:t>
                  </w:r>
                </w:p>
              </w:tc>
              <w:tc>
                <w:tcPr>
                  <w:tcW w:w="847" w:type="dxa"/>
                  <w:tcBorders>
                    <w:tl2br w:val="nil"/>
                    <w:tr2bl w:val="nil"/>
                  </w:tcBorders>
                  <w:vAlign w:val="center"/>
                </w:tcPr>
                <w:p w14:paraId="0AB5C0A9">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布袋99.7%、封闭厂房99%</w:t>
                  </w:r>
                </w:p>
              </w:tc>
              <w:tc>
                <w:tcPr>
                  <w:tcW w:w="847" w:type="dxa"/>
                  <w:tcBorders>
                    <w:tl2br w:val="nil"/>
                    <w:tr2bl w:val="nil"/>
                  </w:tcBorders>
                  <w:vAlign w:val="center"/>
                </w:tcPr>
                <w:p w14:paraId="432AA85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无组织</w:t>
                  </w:r>
                </w:p>
              </w:tc>
              <w:tc>
                <w:tcPr>
                  <w:tcW w:w="848" w:type="dxa"/>
                  <w:tcBorders>
                    <w:tl2br w:val="nil"/>
                    <w:tr2bl w:val="nil"/>
                  </w:tcBorders>
                  <w:vAlign w:val="center"/>
                </w:tcPr>
                <w:p w14:paraId="00698F9E">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942" w:type="dxa"/>
                  <w:tcBorders>
                    <w:tl2br w:val="nil"/>
                    <w:tr2bl w:val="nil"/>
                  </w:tcBorders>
                  <w:vAlign w:val="center"/>
                </w:tcPr>
                <w:p w14:paraId="70530591">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853" w:type="dxa"/>
                  <w:tcBorders>
                    <w:tl2br w:val="nil"/>
                    <w:tr2bl w:val="nil"/>
                  </w:tcBorders>
                  <w:vAlign w:val="center"/>
                </w:tcPr>
                <w:p w14:paraId="5B622E9C">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1.6245</w:t>
                  </w:r>
                  <w:r>
                    <w:rPr>
                      <w:rFonts w:hint="default" w:ascii="Times New Roman" w:hAnsi="Times New Roman" w:eastAsia="宋体" w:cs="Times New Roman"/>
                      <w:b w:val="0"/>
                      <w:bCs w:val="0"/>
                      <w:color w:val="auto"/>
                      <w:sz w:val="21"/>
                      <w:szCs w:val="21"/>
                      <w:highlight w:val="none"/>
                      <w:vertAlign w:val="baseline"/>
                      <w:lang w:val="en-US" w:eastAsia="zh-CN"/>
                    </w:rPr>
                    <w:t>×10</w:t>
                  </w:r>
                  <w:r>
                    <w:rPr>
                      <w:rFonts w:hint="default" w:ascii="Times New Roman" w:hAnsi="Times New Roman" w:eastAsia="宋体" w:cs="Times New Roman"/>
                      <w:b w:val="0"/>
                      <w:bCs w:val="0"/>
                      <w:color w:val="auto"/>
                      <w:sz w:val="21"/>
                      <w:szCs w:val="21"/>
                      <w:highlight w:val="none"/>
                      <w:vertAlign w:val="superscript"/>
                      <w:lang w:val="en-US" w:eastAsia="zh-CN"/>
                    </w:rPr>
                    <w:t>-</w:t>
                  </w:r>
                  <w:r>
                    <w:rPr>
                      <w:rFonts w:hint="eastAsia" w:ascii="Times New Roman" w:hAnsi="Times New Roman" w:eastAsia="宋体" w:cs="Times New Roman"/>
                      <w:b w:val="0"/>
                      <w:bCs w:val="0"/>
                      <w:color w:val="auto"/>
                      <w:sz w:val="21"/>
                      <w:szCs w:val="21"/>
                      <w:highlight w:val="none"/>
                      <w:vertAlign w:val="superscript"/>
                      <w:lang w:val="en-US" w:eastAsia="zh-CN"/>
                    </w:rPr>
                    <w:t>5</w:t>
                  </w:r>
                </w:p>
              </w:tc>
              <w:tc>
                <w:tcPr>
                  <w:tcW w:w="837" w:type="dxa"/>
                  <w:tcBorders>
                    <w:tl2br w:val="nil"/>
                    <w:tr2bl w:val="nil"/>
                  </w:tcBorders>
                  <w:vAlign w:val="center"/>
                </w:tcPr>
                <w:p w14:paraId="02B5700F">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5.361</w:t>
                  </w:r>
                  <w:r>
                    <w:rPr>
                      <w:rFonts w:hint="default" w:ascii="Times New Roman" w:hAnsi="Times New Roman" w:eastAsia="宋体" w:cs="Times New Roman"/>
                      <w:b w:val="0"/>
                      <w:bCs w:val="0"/>
                      <w:color w:val="auto"/>
                      <w:sz w:val="21"/>
                      <w:szCs w:val="21"/>
                      <w:highlight w:val="none"/>
                      <w:vertAlign w:val="baseline"/>
                      <w:lang w:val="en-US" w:eastAsia="zh-CN"/>
                    </w:rPr>
                    <w:t>×10</w:t>
                  </w:r>
                  <w:r>
                    <w:rPr>
                      <w:rFonts w:hint="default" w:ascii="Times New Roman" w:hAnsi="Times New Roman" w:eastAsia="宋体" w:cs="Times New Roman"/>
                      <w:b w:val="0"/>
                      <w:bCs w:val="0"/>
                      <w:color w:val="auto"/>
                      <w:sz w:val="21"/>
                      <w:szCs w:val="21"/>
                      <w:highlight w:val="none"/>
                      <w:vertAlign w:val="superscript"/>
                      <w:lang w:val="en-US" w:eastAsia="zh-CN"/>
                    </w:rPr>
                    <w:t>-5</w:t>
                  </w:r>
                </w:p>
              </w:tc>
              <w:tc>
                <w:tcPr>
                  <w:tcW w:w="760" w:type="dxa"/>
                  <w:tcBorders>
                    <w:tl2br w:val="nil"/>
                    <w:tr2bl w:val="nil"/>
                  </w:tcBorders>
                  <w:vAlign w:val="center"/>
                </w:tcPr>
                <w:p w14:paraId="5732428B">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3300</w:t>
                  </w:r>
                </w:p>
              </w:tc>
              <w:tc>
                <w:tcPr>
                  <w:tcW w:w="848" w:type="dxa"/>
                  <w:tcBorders>
                    <w:tl2br w:val="nil"/>
                    <w:tr2bl w:val="nil"/>
                  </w:tcBorders>
                  <w:vAlign w:val="center"/>
                </w:tcPr>
                <w:p w14:paraId="45401B6C">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848" w:type="dxa"/>
                  <w:tcBorders>
                    <w:tl2br w:val="nil"/>
                    <w:tr2bl w:val="nil"/>
                  </w:tcBorders>
                  <w:vAlign w:val="center"/>
                </w:tcPr>
                <w:p w14:paraId="301B6141">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05" w:type="dxa"/>
                  <w:tcBorders>
                    <w:tl2br w:val="nil"/>
                    <w:tr2bl w:val="nil"/>
                  </w:tcBorders>
                  <w:vAlign w:val="center"/>
                </w:tcPr>
                <w:p w14:paraId="39EFA5C3">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r>
            <w:tr w14:paraId="0B307AC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5" w:type="dxa"/>
                  <w:vMerge w:val="continue"/>
                  <w:tcBorders>
                    <w:tl2br w:val="nil"/>
                    <w:tr2bl w:val="nil"/>
                  </w:tcBorders>
                  <w:vAlign w:val="center"/>
                </w:tcPr>
                <w:p w14:paraId="018F2BDE">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269" w:type="dxa"/>
                  <w:tcBorders>
                    <w:tl2br w:val="nil"/>
                    <w:tr2bl w:val="nil"/>
                  </w:tcBorders>
                  <w:vAlign w:val="center"/>
                </w:tcPr>
                <w:p w14:paraId="493B543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成品煤粉仓储罐粉尘</w:t>
                  </w:r>
                </w:p>
              </w:tc>
              <w:tc>
                <w:tcPr>
                  <w:tcW w:w="847" w:type="dxa"/>
                  <w:tcBorders>
                    <w:tl2br w:val="nil"/>
                    <w:tr2bl w:val="nil"/>
                  </w:tcBorders>
                  <w:vAlign w:val="center"/>
                </w:tcPr>
                <w:p w14:paraId="33B215BE">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颗粒物</w:t>
                  </w:r>
                </w:p>
              </w:tc>
              <w:tc>
                <w:tcPr>
                  <w:tcW w:w="480" w:type="dxa"/>
                  <w:vMerge w:val="continue"/>
                  <w:tcBorders>
                    <w:tl2br w:val="nil"/>
                    <w:tr2bl w:val="nil"/>
                  </w:tcBorders>
                  <w:vAlign w:val="center"/>
                </w:tcPr>
                <w:p w14:paraId="668D1314">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69" w:type="dxa"/>
                  <w:tcBorders>
                    <w:tl2br w:val="nil"/>
                    <w:tr2bl w:val="nil"/>
                  </w:tcBorders>
                  <w:vAlign w:val="center"/>
                </w:tcPr>
                <w:p w14:paraId="561A5B69">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12.0</w:t>
                  </w:r>
                </w:p>
              </w:tc>
              <w:tc>
                <w:tcPr>
                  <w:tcW w:w="785" w:type="dxa"/>
                  <w:tcBorders>
                    <w:tl2br w:val="nil"/>
                    <w:tr2bl w:val="nil"/>
                  </w:tcBorders>
                  <w:vAlign w:val="center"/>
                </w:tcPr>
                <w:p w14:paraId="0DD066ED">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154" w:type="dxa"/>
                  <w:tcBorders>
                    <w:tl2br w:val="nil"/>
                    <w:tr2bl w:val="nil"/>
                  </w:tcBorders>
                  <w:shd w:val="clear" w:color="auto" w:fill="auto"/>
                  <w:vAlign w:val="center"/>
                </w:tcPr>
                <w:p w14:paraId="2F28D002">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筒仓自带布袋除尘</w:t>
                  </w:r>
                </w:p>
              </w:tc>
              <w:tc>
                <w:tcPr>
                  <w:tcW w:w="847" w:type="dxa"/>
                  <w:tcBorders>
                    <w:tl2br w:val="nil"/>
                    <w:tr2bl w:val="nil"/>
                  </w:tcBorders>
                  <w:shd w:val="clear" w:color="auto" w:fill="auto"/>
                  <w:vAlign w:val="center"/>
                </w:tcPr>
                <w:p w14:paraId="6877BB8F">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布袋99.7%、封闭厂房99%、喷雾降尘74%</w:t>
                  </w:r>
                </w:p>
              </w:tc>
              <w:tc>
                <w:tcPr>
                  <w:tcW w:w="847" w:type="dxa"/>
                  <w:tcBorders>
                    <w:tl2br w:val="nil"/>
                    <w:tr2bl w:val="nil"/>
                  </w:tcBorders>
                  <w:shd w:val="clear" w:color="auto" w:fill="auto"/>
                  <w:vAlign w:val="center"/>
                </w:tcPr>
                <w:p w14:paraId="7D9AE3D2">
                  <w:pPr>
                    <w:pStyle w:val="5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000000"/>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无组织</w:t>
                  </w:r>
                </w:p>
              </w:tc>
              <w:tc>
                <w:tcPr>
                  <w:tcW w:w="848" w:type="dxa"/>
                  <w:tcBorders>
                    <w:tl2br w:val="nil"/>
                    <w:tr2bl w:val="nil"/>
                  </w:tcBorders>
                  <w:vAlign w:val="center"/>
                </w:tcPr>
                <w:p w14:paraId="773649F8">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942" w:type="dxa"/>
                  <w:tcBorders>
                    <w:tl2br w:val="nil"/>
                    <w:tr2bl w:val="nil"/>
                  </w:tcBorders>
                  <w:vAlign w:val="center"/>
                </w:tcPr>
                <w:p w14:paraId="51038F34">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853" w:type="dxa"/>
                  <w:tcBorders>
                    <w:tl2br w:val="nil"/>
                    <w:tr2bl w:val="nil"/>
                  </w:tcBorders>
                  <w:vAlign w:val="center"/>
                </w:tcPr>
                <w:p w14:paraId="1D102D0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2.8364</w:t>
                  </w: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b w:val="0"/>
                      <w:bCs w:val="0"/>
                      <w:color w:val="auto"/>
                      <w:sz w:val="21"/>
                      <w:szCs w:val="21"/>
                      <w:vertAlign w:val="superscript"/>
                      <w:lang w:val="en-US" w:eastAsia="zh-CN"/>
                    </w:rPr>
                    <w:t>-</w:t>
                  </w:r>
                  <w:r>
                    <w:rPr>
                      <w:rFonts w:hint="eastAsia" w:ascii="Times New Roman" w:hAnsi="Times New Roman" w:eastAsia="宋体" w:cs="Times New Roman"/>
                      <w:b w:val="0"/>
                      <w:bCs w:val="0"/>
                      <w:color w:val="auto"/>
                      <w:sz w:val="21"/>
                      <w:szCs w:val="21"/>
                      <w:vertAlign w:val="superscript"/>
                      <w:lang w:val="en-US" w:eastAsia="zh-CN"/>
                    </w:rPr>
                    <w:t>5</w:t>
                  </w:r>
                </w:p>
              </w:tc>
              <w:tc>
                <w:tcPr>
                  <w:tcW w:w="837" w:type="dxa"/>
                  <w:tcBorders>
                    <w:tl2br w:val="nil"/>
                    <w:tr2bl w:val="nil"/>
                  </w:tcBorders>
                  <w:vAlign w:val="center"/>
                </w:tcPr>
                <w:p w14:paraId="650D3FF3">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9.36</w:t>
                  </w: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b w:val="0"/>
                      <w:bCs w:val="0"/>
                      <w:color w:val="auto"/>
                      <w:sz w:val="21"/>
                      <w:szCs w:val="21"/>
                      <w:vertAlign w:val="superscript"/>
                      <w:lang w:val="en-US" w:eastAsia="zh-CN"/>
                    </w:rPr>
                    <w:t>-</w:t>
                  </w:r>
                  <w:r>
                    <w:rPr>
                      <w:rFonts w:hint="eastAsia" w:ascii="Times New Roman" w:hAnsi="Times New Roman" w:eastAsia="宋体" w:cs="Times New Roman"/>
                      <w:b w:val="0"/>
                      <w:bCs w:val="0"/>
                      <w:color w:val="auto"/>
                      <w:sz w:val="21"/>
                      <w:szCs w:val="21"/>
                      <w:vertAlign w:val="superscript"/>
                      <w:lang w:val="en-US" w:eastAsia="zh-CN"/>
                    </w:rPr>
                    <w:t>5</w:t>
                  </w:r>
                </w:p>
              </w:tc>
              <w:tc>
                <w:tcPr>
                  <w:tcW w:w="760" w:type="dxa"/>
                  <w:tcBorders>
                    <w:tl2br w:val="nil"/>
                    <w:tr2bl w:val="nil"/>
                  </w:tcBorders>
                  <w:vAlign w:val="center"/>
                </w:tcPr>
                <w:p w14:paraId="59723278">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3300</w:t>
                  </w:r>
                </w:p>
              </w:tc>
              <w:tc>
                <w:tcPr>
                  <w:tcW w:w="848" w:type="dxa"/>
                  <w:tcBorders>
                    <w:tl2br w:val="nil"/>
                    <w:tr2bl w:val="nil"/>
                  </w:tcBorders>
                  <w:vAlign w:val="center"/>
                </w:tcPr>
                <w:p w14:paraId="2C97CF67">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848" w:type="dxa"/>
                  <w:tcBorders>
                    <w:tl2br w:val="nil"/>
                    <w:tr2bl w:val="nil"/>
                  </w:tcBorders>
                  <w:vAlign w:val="center"/>
                </w:tcPr>
                <w:p w14:paraId="2BA55621">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05" w:type="dxa"/>
                  <w:tcBorders>
                    <w:tl2br w:val="nil"/>
                    <w:tr2bl w:val="nil"/>
                  </w:tcBorders>
                  <w:vAlign w:val="center"/>
                </w:tcPr>
                <w:p w14:paraId="20F81F3A">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r>
            <w:tr w14:paraId="2DA20E1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5" w:type="dxa"/>
                  <w:vMerge w:val="continue"/>
                  <w:tcBorders>
                    <w:tl2br w:val="nil"/>
                    <w:tr2bl w:val="nil"/>
                  </w:tcBorders>
                  <w:vAlign w:val="center"/>
                </w:tcPr>
                <w:p w14:paraId="4059CAA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1269" w:type="dxa"/>
                  <w:tcBorders>
                    <w:tl2br w:val="nil"/>
                    <w:tr2bl w:val="nil"/>
                  </w:tcBorders>
                  <w:vAlign w:val="center"/>
                </w:tcPr>
                <w:p w14:paraId="453E5E7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厂区道路扬</w:t>
                  </w:r>
                </w:p>
                <w:p w14:paraId="74C340D7">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尘</w:t>
                  </w:r>
                </w:p>
              </w:tc>
              <w:tc>
                <w:tcPr>
                  <w:tcW w:w="847" w:type="dxa"/>
                  <w:tcBorders>
                    <w:tl2br w:val="nil"/>
                    <w:tr2bl w:val="nil"/>
                  </w:tcBorders>
                  <w:vAlign w:val="center"/>
                </w:tcPr>
                <w:p w14:paraId="44579BF5">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颗粒物</w:t>
                  </w:r>
                </w:p>
              </w:tc>
              <w:tc>
                <w:tcPr>
                  <w:tcW w:w="480" w:type="dxa"/>
                  <w:vMerge w:val="continue"/>
                  <w:tcBorders>
                    <w:tl2br w:val="nil"/>
                    <w:tr2bl w:val="nil"/>
                  </w:tcBorders>
                  <w:vAlign w:val="center"/>
                </w:tcPr>
                <w:p w14:paraId="1F1865DA">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p>
              </w:tc>
              <w:tc>
                <w:tcPr>
                  <w:tcW w:w="969" w:type="dxa"/>
                  <w:tcBorders>
                    <w:tl2br w:val="nil"/>
                    <w:tr2bl w:val="nil"/>
                  </w:tcBorders>
                  <w:vAlign w:val="center"/>
                </w:tcPr>
                <w:p w14:paraId="600372C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1.2002</w:t>
                  </w:r>
                </w:p>
              </w:tc>
              <w:tc>
                <w:tcPr>
                  <w:tcW w:w="785" w:type="dxa"/>
                  <w:tcBorders>
                    <w:tl2br w:val="nil"/>
                    <w:tr2bl w:val="nil"/>
                  </w:tcBorders>
                  <w:vAlign w:val="center"/>
                </w:tcPr>
                <w:p w14:paraId="40D215B2">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154" w:type="dxa"/>
                  <w:tcBorders>
                    <w:tl2br w:val="nil"/>
                    <w:tr2bl w:val="nil"/>
                  </w:tcBorders>
                  <w:vAlign w:val="center"/>
                </w:tcPr>
                <w:p w14:paraId="39D036DF">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路面清洁+喷雾降尘</w:t>
                  </w:r>
                </w:p>
              </w:tc>
              <w:tc>
                <w:tcPr>
                  <w:tcW w:w="847" w:type="dxa"/>
                  <w:tcBorders>
                    <w:tl2br w:val="nil"/>
                    <w:tr2bl w:val="nil"/>
                  </w:tcBorders>
                  <w:vAlign w:val="center"/>
                </w:tcPr>
                <w:p w14:paraId="757068E6">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90</w:t>
                  </w:r>
                </w:p>
              </w:tc>
              <w:tc>
                <w:tcPr>
                  <w:tcW w:w="847" w:type="dxa"/>
                  <w:tcBorders>
                    <w:tl2br w:val="nil"/>
                    <w:tr2bl w:val="nil"/>
                  </w:tcBorders>
                  <w:vAlign w:val="center"/>
                </w:tcPr>
                <w:p w14:paraId="383702ED">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无组织</w:t>
                  </w:r>
                </w:p>
              </w:tc>
              <w:tc>
                <w:tcPr>
                  <w:tcW w:w="848" w:type="dxa"/>
                  <w:tcBorders>
                    <w:tl2br w:val="nil"/>
                    <w:tr2bl w:val="nil"/>
                  </w:tcBorders>
                  <w:vAlign w:val="center"/>
                </w:tcPr>
                <w:p w14:paraId="7F5AF2AB">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942" w:type="dxa"/>
                  <w:tcBorders>
                    <w:tl2br w:val="nil"/>
                    <w:tr2bl w:val="nil"/>
                  </w:tcBorders>
                  <w:vAlign w:val="center"/>
                </w:tcPr>
                <w:p w14:paraId="7C50F472">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853" w:type="dxa"/>
                  <w:tcBorders>
                    <w:tl2br w:val="nil"/>
                    <w:tr2bl w:val="nil"/>
                  </w:tcBorders>
                  <w:vAlign w:val="center"/>
                </w:tcPr>
                <w:p w14:paraId="36229A32">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0.0364</w:t>
                  </w:r>
                </w:p>
              </w:tc>
              <w:tc>
                <w:tcPr>
                  <w:tcW w:w="837" w:type="dxa"/>
                  <w:tcBorders>
                    <w:tl2br w:val="nil"/>
                    <w:tr2bl w:val="nil"/>
                  </w:tcBorders>
                  <w:vAlign w:val="center"/>
                </w:tcPr>
                <w:p w14:paraId="65141C70">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0.12</w:t>
                  </w:r>
                </w:p>
              </w:tc>
              <w:tc>
                <w:tcPr>
                  <w:tcW w:w="760" w:type="dxa"/>
                  <w:tcBorders>
                    <w:tl2br w:val="nil"/>
                    <w:tr2bl w:val="nil"/>
                  </w:tcBorders>
                  <w:vAlign w:val="center"/>
                </w:tcPr>
                <w:p w14:paraId="5793DA4D">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3300</w:t>
                  </w:r>
                </w:p>
              </w:tc>
              <w:tc>
                <w:tcPr>
                  <w:tcW w:w="848" w:type="dxa"/>
                  <w:tcBorders>
                    <w:tl2br w:val="nil"/>
                    <w:tr2bl w:val="nil"/>
                  </w:tcBorders>
                  <w:vAlign w:val="center"/>
                </w:tcPr>
                <w:p w14:paraId="570433AA">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848" w:type="dxa"/>
                  <w:tcBorders>
                    <w:tl2br w:val="nil"/>
                    <w:tr2bl w:val="nil"/>
                  </w:tcBorders>
                  <w:vAlign w:val="center"/>
                </w:tcPr>
                <w:p w14:paraId="5E268B11">
                  <w:pPr>
                    <w:pStyle w:val="50"/>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05" w:type="dxa"/>
                  <w:tcBorders>
                    <w:tl2br w:val="nil"/>
                    <w:tr2bl w:val="nil"/>
                  </w:tcBorders>
                  <w:vAlign w:val="center"/>
                </w:tcPr>
                <w:p w14:paraId="33D56412">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r>
          </w:tbl>
          <w:p w14:paraId="3F344012">
            <w:pPr>
              <w:pStyle w:val="50"/>
              <w:ind w:left="0" w:leftChars="0" w:firstLine="0" w:firstLineChars="0"/>
              <w:rPr>
                <w:lang w:val="en-US" w:eastAsia="zh-CN"/>
              </w:rPr>
            </w:pPr>
          </w:p>
        </w:tc>
      </w:tr>
    </w:tbl>
    <w:p w14:paraId="49F82F9F">
      <w:pPr>
        <w:pStyle w:val="2"/>
        <w:wordWrap w:val="0"/>
        <w:sectPr>
          <w:pgSz w:w="16840" w:h="11907" w:orient="landscape"/>
          <w:pgMar w:top="1531" w:right="850" w:bottom="1531" w:left="85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8103"/>
      </w:tblGrid>
      <w:tr w14:paraId="14BF2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3" w:type="dxa"/>
            <w:noWrap w:val="0"/>
            <w:vAlign w:val="center"/>
          </w:tcPr>
          <w:p w14:paraId="16FAEB6E">
            <w:pPr>
              <w:wordWrap w:val="0"/>
              <w:jc w:val="center"/>
              <w:rPr>
                <w:b/>
                <w:sz w:val="24"/>
              </w:rPr>
            </w:pPr>
            <w:r>
              <w:rPr>
                <w:b/>
                <w:sz w:val="24"/>
              </w:rPr>
              <w:t>运营</w:t>
            </w:r>
          </w:p>
          <w:p w14:paraId="691FB842">
            <w:pPr>
              <w:wordWrap w:val="0"/>
              <w:jc w:val="center"/>
              <w:rPr>
                <w:b/>
                <w:sz w:val="24"/>
              </w:rPr>
            </w:pPr>
            <w:r>
              <w:rPr>
                <w:b/>
                <w:sz w:val="24"/>
              </w:rPr>
              <w:t>期环</w:t>
            </w:r>
          </w:p>
          <w:p w14:paraId="58B13A5E">
            <w:pPr>
              <w:wordWrap w:val="0"/>
              <w:jc w:val="center"/>
              <w:rPr>
                <w:b/>
                <w:sz w:val="24"/>
              </w:rPr>
            </w:pPr>
            <w:r>
              <w:rPr>
                <w:b/>
                <w:sz w:val="24"/>
              </w:rPr>
              <w:t>境影</w:t>
            </w:r>
          </w:p>
          <w:p w14:paraId="62534E22">
            <w:pPr>
              <w:wordWrap w:val="0"/>
              <w:jc w:val="center"/>
              <w:rPr>
                <w:b/>
                <w:sz w:val="24"/>
              </w:rPr>
            </w:pPr>
            <w:r>
              <w:rPr>
                <w:b/>
                <w:sz w:val="24"/>
              </w:rPr>
              <w:t>响和</w:t>
            </w:r>
          </w:p>
          <w:p w14:paraId="17AEA7BD">
            <w:pPr>
              <w:wordWrap w:val="0"/>
              <w:jc w:val="center"/>
              <w:rPr>
                <w:b/>
                <w:sz w:val="24"/>
              </w:rPr>
            </w:pPr>
            <w:r>
              <w:rPr>
                <w:b/>
                <w:sz w:val="24"/>
              </w:rPr>
              <w:t>保护</w:t>
            </w:r>
          </w:p>
          <w:p w14:paraId="12F7B0C4">
            <w:pPr>
              <w:pStyle w:val="2"/>
              <w:wordWrap w:val="0"/>
              <w:snapToGrid/>
              <w:spacing w:before="0" w:after="0" w:line="240" w:lineRule="auto"/>
              <w:ind w:right="0"/>
              <w:jc w:val="center"/>
              <w:rPr>
                <w:rFonts w:cs="Times New Roman"/>
                <w:lang w:val="en-US" w:eastAsia="zh-CN" w:bidi="ar-SA"/>
              </w:rPr>
            </w:pPr>
            <w:r>
              <w:rPr>
                <w:rFonts w:cs="Times New Roman"/>
                <w:b/>
                <w:sz w:val="24"/>
                <w:lang w:val="en-US" w:eastAsia="zh-CN" w:bidi="ar-SA"/>
              </w:rPr>
              <w:t>措施</w:t>
            </w:r>
          </w:p>
        </w:tc>
        <w:tc>
          <w:tcPr>
            <w:tcW w:w="8103" w:type="dxa"/>
            <w:noWrap w:val="0"/>
            <w:vAlign w:val="top"/>
          </w:tcPr>
          <w:p w14:paraId="2ADA6257">
            <w:pPr>
              <w:autoSpaceDE w:val="0"/>
              <w:autoSpaceDN w:val="0"/>
              <w:spacing w:line="360" w:lineRule="auto"/>
              <w:ind w:firstLine="480" w:firstLineChars="200"/>
              <w:rPr>
                <w:rFonts w:hint="eastAsia"/>
                <w:b w:val="0"/>
                <w:bCs/>
                <w:sz w:val="24"/>
                <w:lang w:val="en-US" w:eastAsia="zh-CN"/>
              </w:rPr>
            </w:pPr>
            <w:r>
              <w:rPr>
                <w:rFonts w:hint="eastAsia"/>
                <w:b w:val="0"/>
                <w:bCs/>
                <w:sz w:val="24"/>
                <w:lang w:val="en-US" w:eastAsia="zh-CN"/>
              </w:rPr>
              <w:t>本项目废气污染物排放统计表如下：</w:t>
            </w:r>
          </w:p>
          <w:p w14:paraId="493914C3">
            <w:pPr>
              <w:numPr>
                <w:ilvl w:val="0"/>
                <w:numId w:val="6"/>
              </w:numPr>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运营期废气污染物排放统计表</w:t>
            </w:r>
          </w:p>
          <w:tbl>
            <w:tblPr>
              <w:tblStyle w:val="27"/>
              <w:tblW w:w="788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971"/>
              <w:gridCol w:w="1972"/>
              <w:gridCol w:w="1972"/>
              <w:gridCol w:w="1972"/>
            </w:tblGrid>
            <w:tr w14:paraId="4EBCCB5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971" w:type="dxa"/>
                  <w:tcBorders>
                    <w:tl2br w:val="nil"/>
                    <w:tr2bl w:val="nil"/>
                  </w:tcBorders>
                  <w:vAlign w:val="center"/>
                </w:tcPr>
                <w:p w14:paraId="7D5D02A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污染物</w:t>
                  </w:r>
                </w:p>
              </w:tc>
              <w:tc>
                <w:tcPr>
                  <w:tcW w:w="1972" w:type="dxa"/>
                  <w:tcBorders>
                    <w:tl2br w:val="nil"/>
                    <w:tr2bl w:val="nil"/>
                  </w:tcBorders>
                  <w:vAlign w:val="center"/>
                </w:tcPr>
                <w:p w14:paraId="6BF534A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有组织排放量（t/a）</w:t>
                  </w:r>
                </w:p>
              </w:tc>
              <w:tc>
                <w:tcPr>
                  <w:tcW w:w="1972" w:type="dxa"/>
                  <w:tcBorders>
                    <w:tl2br w:val="nil"/>
                    <w:tr2bl w:val="nil"/>
                  </w:tcBorders>
                  <w:vAlign w:val="center"/>
                </w:tcPr>
                <w:p w14:paraId="1299888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无组织排放量（t/a）</w:t>
                  </w:r>
                </w:p>
              </w:tc>
              <w:tc>
                <w:tcPr>
                  <w:tcW w:w="1972" w:type="dxa"/>
                  <w:tcBorders>
                    <w:tl2br w:val="nil"/>
                    <w:tr2bl w:val="nil"/>
                  </w:tcBorders>
                  <w:vAlign w:val="center"/>
                </w:tcPr>
                <w:p w14:paraId="02D6813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合计（t/a）</w:t>
                  </w:r>
                </w:p>
              </w:tc>
            </w:tr>
            <w:tr w14:paraId="5C6E877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971" w:type="dxa"/>
                  <w:tcBorders>
                    <w:tl2br w:val="nil"/>
                    <w:tr2bl w:val="nil"/>
                  </w:tcBorders>
                  <w:vAlign w:val="center"/>
                </w:tcPr>
                <w:p w14:paraId="08E8A1C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颗粒物</w:t>
                  </w:r>
                </w:p>
              </w:tc>
              <w:tc>
                <w:tcPr>
                  <w:tcW w:w="1972" w:type="dxa"/>
                  <w:tcBorders>
                    <w:tl2br w:val="nil"/>
                    <w:tr2bl w:val="nil"/>
                  </w:tcBorders>
                  <w:vAlign w:val="center"/>
                </w:tcPr>
                <w:p w14:paraId="448CF8B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1.8135</w:t>
                  </w:r>
                </w:p>
              </w:tc>
              <w:tc>
                <w:tcPr>
                  <w:tcW w:w="1972" w:type="dxa"/>
                  <w:tcBorders>
                    <w:tl2br w:val="nil"/>
                    <w:tr2bl w:val="nil"/>
                  </w:tcBorders>
                  <w:vAlign w:val="center"/>
                </w:tcPr>
                <w:p w14:paraId="4AB52FF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0.5869</w:t>
                  </w:r>
                </w:p>
              </w:tc>
              <w:tc>
                <w:tcPr>
                  <w:tcW w:w="1972" w:type="dxa"/>
                  <w:tcBorders>
                    <w:tl2br w:val="nil"/>
                    <w:tr2bl w:val="nil"/>
                  </w:tcBorders>
                  <w:vAlign w:val="center"/>
                </w:tcPr>
                <w:p w14:paraId="14CC5F0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2.4004</w:t>
                  </w:r>
                </w:p>
              </w:tc>
            </w:tr>
            <w:tr w14:paraId="08332D0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971" w:type="dxa"/>
                  <w:tcBorders>
                    <w:tl2br w:val="nil"/>
                    <w:tr2bl w:val="nil"/>
                  </w:tcBorders>
                  <w:vAlign w:val="center"/>
                </w:tcPr>
                <w:p w14:paraId="298FB07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沥青烟</w:t>
                  </w:r>
                </w:p>
              </w:tc>
              <w:tc>
                <w:tcPr>
                  <w:tcW w:w="1972" w:type="dxa"/>
                  <w:tcBorders>
                    <w:tl2br w:val="nil"/>
                    <w:tr2bl w:val="nil"/>
                  </w:tcBorders>
                  <w:vAlign w:val="center"/>
                </w:tcPr>
                <w:p w14:paraId="7BE8C68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0.0243</w:t>
                  </w:r>
                </w:p>
              </w:tc>
              <w:tc>
                <w:tcPr>
                  <w:tcW w:w="1972" w:type="dxa"/>
                  <w:tcBorders>
                    <w:tl2br w:val="nil"/>
                    <w:tr2bl w:val="nil"/>
                  </w:tcBorders>
                  <w:vAlign w:val="center"/>
                </w:tcPr>
                <w:p w14:paraId="4994E75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0.0128</w:t>
                  </w:r>
                </w:p>
              </w:tc>
              <w:tc>
                <w:tcPr>
                  <w:tcW w:w="1972" w:type="dxa"/>
                  <w:tcBorders>
                    <w:tl2br w:val="nil"/>
                    <w:tr2bl w:val="nil"/>
                  </w:tcBorders>
                  <w:vAlign w:val="center"/>
                </w:tcPr>
                <w:p w14:paraId="54976C5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0.0371</w:t>
                  </w:r>
                </w:p>
              </w:tc>
            </w:tr>
            <w:tr w14:paraId="480A9F3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971" w:type="dxa"/>
                  <w:tcBorders>
                    <w:tl2br w:val="nil"/>
                    <w:tr2bl w:val="nil"/>
                  </w:tcBorders>
                  <w:vAlign w:val="center"/>
                </w:tcPr>
                <w:p w14:paraId="1DF68A1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苯并[a]芘</w:t>
                  </w:r>
                </w:p>
              </w:tc>
              <w:tc>
                <w:tcPr>
                  <w:tcW w:w="1972" w:type="dxa"/>
                  <w:tcBorders>
                    <w:tl2br w:val="nil"/>
                    <w:tr2bl w:val="nil"/>
                  </w:tcBorders>
                  <w:vAlign w:val="center"/>
                </w:tcPr>
                <w:p w14:paraId="466CD7D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4.8598</w:t>
                  </w: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b w:val="0"/>
                      <w:bCs w:val="0"/>
                      <w:color w:val="auto"/>
                      <w:sz w:val="21"/>
                      <w:szCs w:val="21"/>
                      <w:vertAlign w:val="superscript"/>
                      <w:lang w:val="en-US" w:eastAsia="zh-CN"/>
                    </w:rPr>
                    <w:t>-</w:t>
                  </w:r>
                  <w:r>
                    <w:rPr>
                      <w:rFonts w:hint="eastAsia" w:ascii="Times New Roman" w:hAnsi="Times New Roman" w:eastAsia="宋体" w:cs="Times New Roman"/>
                      <w:b w:val="0"/>
                      <w:bCs w:val="0"/>
                      <w:color w:val="auto"/>
                      <w:sz w:val="21"/>
                      <w:szCs w:val="21"/>
                      <w:vertAlign w:val="superscript"/>
                      <w:lang w:val="en-US" w:eastAsia="zh-CN"/>
                    </w:rPr>
                    <w:t>7</w:t>
                  </w:r>
                </w:p>
              </w:tc>
              <w:tc>
                <w:tcPr>
                  <w:tcW w:w="1972" w:type="dxa"/>
                  <w:tcBorders>
                    <w:tl2br w:val="nil"/>
                    <w:tr2bl w:val="nil"/>
                  </w:tcBorders>
                  <w:vAlign w:val="center"/>
                </w:tcPr>
                <w:p w14:paraId="40D0CD6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2.5578</w:t>
                  </w: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b w:val="0"/>
                      <w:bCs w:val="0"/>
                      <w:color w:val="auto"/>
                      <w:sz w:val="21"/>
                      <w:szCs w:val="21"/>
                      <w:vertAlign w:val="superscript"/>
                      <w:lang w:val="en-US" w:eastAsia="zh-CN"/>
                    </w:rPr>
                    <w:t>-</w:t>
                  </w:r>
                  <w:r>
                    <w:rPr>
                      <w:rFonts w:hint="eastAsia" w:ascii="Times New Roman" w:hAnsi="Times New Roman" w:eastAsia="宋体" w:cs="Times New Roman"/>
                      <w:b w:val="0"/>
                      <w:bCs w:val="0"/>
                      <w:color w:val="auto"/>
                      <w:sz w:val="21"/>
                      <w:szCs w:val="21"/>
                      <w:vertAlign w:val="superscript"/>
                      <w:lang w:val="en-US" w:eastAsia="zh-CN"/>
                    </w:rPr>
                    <w:t>7</w:t>
                  </w:r>
                </w:p>
              </w:tc>
              <w:tc>
                <w:tcPr>
                  <w:tcW w:w="1972" w:type="dxa"/>
                  <w:tcBorders>
                    <w:tl2br w:val="nil"/>
                    <w:tr2bl w:val="nil"/>
                  </w:tcBorders>
                  <w:vAlign w:val="center"/>
                </w:tcPr>
                <w:p w14:paraId="083E5C3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7.4176</w:t>
                  </w: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b w:val="0"/>
                      <w:bCs w:val="0"/>
                      <w:color w:val="auto"/>
                      <w:sz w:val="21"/>
                      <w:szCs w:val="21"/>
                      <w:vertAlign w:val="superscript"/>
                      <w:lang w:val="en-US" w:eastAsia="zh-CN"/>
                    </w:rPr>
                    <w:t>-</w:t>
                  </w:r>
                  <w:r>
                    <w:rPr>
                      <w:rFonts w:hint="eastAsia" w:ascii="Times New Roman" w:hAnsi="Times New Roman" w:eastAsia="宋体" w:cs="Times New Roman"/>
                      <w:b w:val="0"/>
                      <w:bCs w:val="0"/>
                      <w:color w:val="auto"/>
                      <w:sz w:val="21"/>
                      <w:szCs w:val="21"/>
                      <w:vertAlign w:val="superscript"/>
                      <w:lang w:val="en-US" w:eastAsia="zh-CN"/>
                    </w:rPr>
                    <w:t>7</w:t>
                  </w:r>
                </w:p>
              </w:tc>
            </w:tr>
            <w:tr w14:paraId="3C3B4DF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971" w:type="dxa"/>
                  <w:tcBorders>
                    <w:tl2br w:val="nil"/>
                    <w:tr2bl w:val="nil"/>
                  </w:tcBorders>
                  <w:vAlign w:val="center"/>
                </w:tcPr>
                <w:p w14:paraId="5728585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VOCs（以非甲烷总烃计）</w:t>
                  </w:r>
                </w:p>
              </w:tc>
              <w:tc>
                <w:tcPr>
                  <w:tcW w:w="1972" w:type="dxa"/>
                  <w:tcBorders>
                    <w:tl2br w:val="nil"/>
                    <w:tr2bl w:val="nil"/>
                  </w:tcBorders>
                  <w:vAlign w:val="center"/>
                </w:tcPr>
                <w:p w14:paraId="46661DD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0.017</w:t>
                  </w:r>
                </w:p>
              </w:tc>
              <w:tc>
                <w:tcPr>
                  <w:tcW w:w="1972" w:type="dxa"/>
                  <w:tcBorders>
                    <w:tl2br w:val="nil"/>
                    <w:tr2bl w:val="nil"/>
                  </w:tcBorders>
                  <w:vAlign w:val="center"/>
                </w:tcPr>
                <w:p w14:paraId="2642BCB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0.009</w:t>
                  </w:r>
                </w:p>
              </w:tc>
              <w:tc>
                <w:tcPr>
                  <w:tcW w:w="1972" w:type="dxa"/>
                  <w:tcBorders>
                    <w:tl2br w:val="nil"/>
                    <w:tr2bl w:val="nil"/>
                  </w:tcBorders>
                  <w:vAlign w:val="center"/>
                </w:tcPr>
                <w:p w14:paraId="2630533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0.026</w:t>
                  </w:r>
                </w:p>
              </w:tc>
            </w:tr>
            <w:tr w14:paraId="06C6A05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971" w:type="dxa"/>
                  <w:tcBorders>
                    <w:tl2br w:val="nil"/>
                    <w:tr2bl w:val="nil"/>
                  </w:tcBorders>
                  <w:vAlign w:val="center"/>
                </w:tcPr>
                <w:p w14:paraId="58FDE46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NOx</w:t>
                  </w:r>
                </w:p>
              </w:tc>
              <w:tc>
                <w:tcPr>
                  <w:tcW w:w="1972" w:type="dxa"/>
                  <w:tcBorders>
                    <w:tl2br w:val="nil"/>
                    <w:tr2bl w:val="nil"/>
                  </w:tcBorders>
                  <w:vAlign w:val="center"/>
                </w:tcPr>
                <w:p w14:paraId="506D763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4.514</w:t>
                  </w:r>
                </w:p>
              </w:tc>
              <w:tc>
                <w:tcPr>
                  <w:tcW w:w="1972" w:type="dxa"/>
                  <w:tcBorders>
                    <w:tl2br w:val="nil"/>
                    <w:tr2bl w:val="nil"/>
                  </w:tcBorders>
                  <w:vAlign w:val="center"/>
                </w:tcPr>
                <w:p w14:paraId="6BA5E26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0.2338</w:t>
                  </w:r>
                </w:p>
              </w:tc>
              <w:tc>
                <w:tcPr>
                  <w:tcW w:w="1972" w:type="dxa"/>
                  <w:tcBorders>
                    <w:tl2br w:val="nil"/>
                    <w:tr2bl w:val="nil"/>
                  </w:tcBorders>
                  <w:vAlign w:val="center"/>
                </w:tcPr>
                <w:p w14:paraId="442ED35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4.7478</w:t>
                  </w:r>
                </w:p>
              </w:tc>
            </w:tr>
            <w:tr w14:paraId="5008920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971" w:type="dxa"/>
                  <w:tcBorders>
                    <w:tl2br w:val="nil"/>
                    <w:tr2bl w:val="nil"/>
                  </w:tcBorders>
                  <w:vAlign w:val="center"/>
                </w:tcPr>
                <w:p w14:paraId="6E9291E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SO</w:t>
                  </w:r>
                  <w:r>
                    <w:rPr>
                      <w:rFonts w:hint="eastAsia" w:ascii="Times New Roman" w:hAnsi="Times New Roman" w:eastAsia="宋体" w:cs="Times New Roman"/>
                      <w:b w:val="0"/>
                      <w:bCs/>
                      <w:sz w:val="21"/>
                      <w:szCs w:val="21"/>
                      <w:vertAlign w:val="subscript"/>
                      <w:lang w:val="en-US" w:eastAsia="zh-CN"/>
                    </w:rPr>
                    <w:t>2</w:t>
                  </w:r>
                </w:p>
              </w:tc>
              <w:tc>
                <w:tcPr>
                  <w:tcW w:w="1972" w:type="dxa"/>
                  <w:tcBorders>
                    <w:tl2br w:val="nil"/>
                    <w:tr2bl w:val="nil"/>
                  </w:tcBorders>
                  <w:vAlign w:val="center"/>
                </w:tcPr>
                <w:p w14:paraId="07B9065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0.1046</w:t>
                  </w:r>
                </w:p>
              </w:tc>
              <w:tc>
                <w:tcPr>
                  <w:tcW w:w="1972" w:type="dxa"/>
                  <w:tcBorders>
                    <w:tl2br w:val="nil"/>
                    <w:tr2bl w:val="nil"/>
                  </w:tcBorders>
                  <w:vAlign w:val="center"/>
                </w:tcPr>
                <w:p w14:paraId="35CE266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0.005</w:t>
                  </w:r>
                </w:p>
              </w:tc>
              <w:tc>
                <w:tcPr>
                  <w:tcW w:w="1972" w:type="dxa"/>
                  <w:tcBorders>
                    <w:tl2br w:val="nil"/>
                    <w:tr2bl w:val="nil"/>
                  </w:tcBorders>
                  <w:vAlign w:val="center"/>
                </w:tcPr>
                <w:p w14:paraId="05A0DF2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0.1096</w:t>
                  </w:r>
                </w:p>
              </w:tc>
            </w:tr>
            <w:tr w14:paraId="0209CC7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971" w:type="dxa"/>
                  <w:tcBorders>
                    <w:tl2br w:val="nil"/>
                    <w:tr2bl w:val="nil"/>
                  </w:tcBorders>
                  <w:vAlign w:val="center"/>
                </w:tcPr>
                <w:p w14:paraId="77905B0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油烟</w:t>
                  </w:r>
                </w:p>
              </w:tc>
              <w:tc>
                <w:tcPr>
                  <w:tcW w:w="1972" w:type="dxa"/>
                  <w:tcBorders>
                    <w:tl2br w:val="nil"/>
                    <w:tr2bl w:val="nil"/>
                  </w:tcBorders>
                  <w:vAlign w:val="center"/>
                </w:tcPr>
                <w:p w14:paraId="7632FBF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0.0043</w:t>
                  </w:r>
                </w:p>
              </w:tc>
              <w:tc>
                <w:tcPr>
                  <w:tcW w:w="1972" w:type="dxa"/>
                  <w:tcBorders>
                    <w:tl2br w:val="nil"/>
                    <w:tr2bl w:val="nil"/>
                  </w:tcBorders>
                  <w:vAlign w:val="center"/>
                </w:tcPr>
                <w:p w14:paraId="1AFDB70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w:t>
                  </w:r>
                </w:p>
              </w:tc>
              <w:tc>
                <w:tcPr>
                  <w:tcW w:w="1972" w:type="dxa"/>
                  <w:tcBorders>
                    <w:tl2br w:val="nil"/>
                    <w:tr2bl w:val="nil"/>
                  </w:tcBorders>
                  <w:vAlign w:val="center"/>
                </w:tcPr>
                <w:p w14:paraId="35233D0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0.0043</w:t>
                  </w:r>
                </w:p>
              </w:tc>
            </w:tr>
          </w:tbl>
          <w:p w14:paraId="2E33004C">
            <w:pPr>
              <w:autoSpaceDE w:val="0"/>
              <w:autoSpaceDN w:val="0"/>
              <w:spacing w:line="240" w:lineRule="auto"/>
              <w:ind w:firstLine="420" w:firstLineChars="200"/>
              <w:jc w:val="center"/>
              <w:rPr>
                <w:rFonts w:hint="eastAsia"/>
                <w:b w:val="0"/>
                <w:bCs/>
                <w:sz w:val="21"/>
                <w:szCs w:val="21"/>
                <w:lang w:val="en-US" w:eastAsia="zh-CN"/>
              </w:rPr>
            </w:pPr>
          </w:p>
          <w:p w14:paraId="49C8AD90">
            <w:pPr>
              <w:autoSpaceDE w:val="0"/>
              <w:autoSpaceDN w:val="0"/>
              <w:spacing w:line="360" w:lineRule="auto"/>
              <w:ind w:firstLine="482" w:firstLineChars="200"/>
              <w:rPr>
                <w:rFonts w:hint="eastAsia"/>
                <w:b/>
                <w:bCs w:val="0"/>
                <w:sz w:val="24"/>
                <w:lang w:val="en-US" w:eastAsia="zh-CN"/>
              </w:rPr>
            </w:pPr>
            <w:r>
              <w:rPr>
                <w:rFonts w:hint="eastAsia"/>
                <w:b/>
                <w:bCs w:val="0"/>
                <w:sz w:val="24"/>
                <w:lang w:val="en-US" w:eastAsia="zh-CN"/>
              </w:rPr>
              <w:t>1.4生产设施开停机等非正常情况</w:t>
            </w:r>
          </w:p>
          <w:p w14:paraId="35DCD988">
            <w:pPr>
              <w:autoSpaceDE w:val="0"/>
              <w:autoSpaceDN w:val="0"/>
              <w:spacing w:line="360" w:lineRule="auto"/>
              <w:ind w:firstLine="480" w:firstLineChars="200"/>
              <w:rPr>
                <w:rFonts w:hint="eastAsia"/>
                <w:b w:val="0"/>
                <w:bCs/>
                <w:sz w:val="24"/>
                <w:lang w:val="en-US" w:eastAsia="zh-CN"/>
              </w:rPr>
            </w:pPr>
            <w:r>
              <w:rPr>
                <w:rFonts w:hint="eastAsia"/>
                <w:b w:val="0"/>
                <w:bCs/>
                <w:sz w:val="24"/>
                <w:lang w:val="en-US" w:eastAsia="zh-CN"/>
              </w:rPr>
              <w:t>非正常情况包括生产设施开车、停车、检修、废气处理设备设施故障等造成污染物的排放情况。厂区内设置有两路供电及应急发电机组系统，可保证重要的生产设备、环保设备和安全设备在发生停电事故时正常运转。同时，企业生产开机时，首先运行废气治理装置，然后再开启相应生产设备；生产停机时，先停止生产设施运行，之后才逐台关闭所有的废气治理装置，并且在平时的生产过程中要加强对设备的检修，定期维护。以上措施大大减少了开停机造成的废气非正常排放。</w:t>
            </w:r>
          </w:p>
          <w:p w14:paraId="3F01F7FF">
            <w:pPr>
              <w:autoSpaceDE w:val="0"/>
              <w:autoSpaceDN w:val="0"/>
              <w:spacing w:line="360" w:lineRule="auto"/>
              <w:ind w:firstLine="480" w:firstLineChars="200"/>
              <w:rPr>
                <w:rFonts w:hint="eastAsia"/>
                <w:b w:val="0"/>
                <w:bCs/>
                <w:sz w:val="24"/>
                <w:lang w:val="en-US" w:eastAsia="zh-CN"/>
              </w:rPr>
            </w:pPr>
            <w:r>
              <w:rPr>
                <w:rFonts w:hint="eastAsia"/>
                <w:b w:val="0"/>
                <w:bCs/>
                <w:sz w:val="24"/>
                <w:lang w:val="en-US" w:eastAsia="zh-CN"/>
              </w:rPr>
              <w:t>项目生产制度为一班制，每班工作10小时；每个季度进行一次设备检修，全年共计4次。本项目对装置开停机过程的放空气建立了完善措施方案，放空气直接进入废气处理装置，一般不会对环境造成较大危害。本项目废气非正常排放的情况，考虑由“喷淋+干式过滤+活性炭吸附脱附+催化燃烧”装置失效、“布袋除尘器”滤袋破损。最大出现频次为每年1次，非正常排放持续时间约为1小时。</w:t>
            </w:r>
          </w:p>
          <w:p w14:paraId="2A9BD259">
            <w:pPr>
              <w:numPr>
                <w:ilvl w:val="0"/>
                <w:numId w:val="6"/>
              </w:numPr>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项目非正常排放工况及应对措施一览表</w:t>
            </w:r>
          </w:p>
          <w:tbl>
            <w:tblPr>
              <w:tblStyle w:val="27"/>
              <w:tblW w:w="788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590"/>
              <w:gridCol w:w="2747"/>
              <w:gridCol w:w="1246"/>
              <w:gridCol w:w="1304"/>
            </w:tblGrid>
            <w:tr w14:paraId="187CC8F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590" w:type="dxa"/>
                  <w:tcBorders>
                    <w:tl2br w:val="nil"/>
                    <w:tr2bl w:val="nil"/>
                  </w:tcBorders>
                  <w:vAlign w:val="center"/>
                </w:tcPr>
                <w:p w14:paraId="775B1E8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污染因子</w:t>
                  </w:r>
                </w:p>
              </w:tc>
              <w:tc>
                <w:tcPr>
                  <w:tcW w:w="2747" w:type="dxa"/>
                  <w:tcBorders>
                    <w:tl2br w:val="nil"/>
                    <w:tr2bl w:val="nil"/>
                  </w:tcBorders>
                  <w:vAlign w:val="center"/>
                </w:tcPr>
                <w:p w14:paraId="0350BD0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预警</w:t>
                  </w:r>
                </w:p>
              </w:tc>
              <w:tc>
                <w:tcPr>
                  <w:tcW w:w="1246" w:type="dxa"/>
                  <w:tcBorders>
                    <w:tl2br w:val="nil"/>
                    <w:tr2bl w:val="nil"/>
                  </w:tcBorders>
                  <w:vAlign w:val="center"/>
                </w:tcPr>
                <w:p w14:paraId="30F5619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响应方式</w:t>
                  </w:r>
                </w:p>
              </w:tc>
              <w:tc>
                <w:tcPr>
                  <w:tcW w:w="1304" w:type="dxa"/>
                  <w:tcBorders>
                    <w:tl2br w:val="nil"/>
                    <w:tr2bl w:val="nil"/>
                  </w:tcBorders>
                  <w:vAlign w:val="center"/>
                </w:tcPr>
                <w:p w14:paraId="22D9253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采取的措施</w:t>
                  </w:r>
                </w:p>
              </w:tc>
            </w:tr>
            <w:tr w14:paraId="08C7C79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590" w:type="dxa"/>
                  <w:tcBorders>
                    <w:tl2br w:val="nil"/>
                    <w:tr2bl w:val="nil"/>
                  </w:tcBorders>
                  <w:vAlign w:val="center"/>
                </w:tcPr>
                <w:p w14:paraId="24A180E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沥青烟、苯并[a]芘、VOCs（以非甲烷总烃计）</w:t>
                  </w:r>
                </w:p>
              </w:tc>
              <w:tc>
                <w:tcPr>
                  <w:tcW w:w="2747" w:type="dxa"/>
                  <w:tcBorders>
                    <w:tl2br w:val="nil"/>
                    <w:tr2bl w:val="nil"/>
                  </w:tcBorders>
                  <w:vAlign w:val="center"/>
                </w:tcPr>
                <w:p w14:paraId="070AB4C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“喷淋+干式过滤+活性炭吸附脱附+催化燃烧”装置失效</w:t>
                  </w:r>
                </w:p>
              </w:tc>
              <w:tc>
                <w:tcPr>
                  <w:tcW w:w="1246" w:type="dxa"/>
                  <w:tcBorders>
                    <w:tl2br w:val="nil"/>
                    <w:tr2bl w:val="nil"/>
                  </w:tcBorders>
                  <w:vAlign w:val="center"/>
                </w:tcPr>
                <w:p w14:paraId="0D9E357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停止生产</w:t>
                  </w:r>
                </w:p>
              </w:tc>
              <w:tc>
                <w:tcPr>
                  <w:tcW w:w="1304" w:type="dxa"/>
                  <w:tcBorders>
                    <w:tl2br w:val="nil"/>
                    <w:tr2bl w:val="nil"/>
                  </w:tcBorders>
                  <w:vAlign w:val="center"/>
                </w:tcPr>
                <w:p w14:paraId="3711F5B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检修</w:t>
                  </w:r>
                </w:p>
              </w:tc>
            </w:tr>
            <w:tr w14:paraId="1C3CB1C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590" w:type="dxa"/>
                  <w:tcBorders>
                    <w:tl2br w:val="nil"/>
                    <w:tr2bl w:val="nil"/>
                  </w:tcBorders>
                  <w:vAlign w:val="center"/>
                </w:tcPr>
                <w:p w14:paraId="45E4046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颗粒物</w:t>
                  </w:r>
                </w:p>
              </w:tc>
              <w:tc>
                <w:tcPr>
                  <w:tcW w:w="2747" w:type="dxa"/>
                  <w:tcBorders>
                    <w:tl2br w:val="nil"/>
                    <w:tr2bl w:val="nil"/>
                  </w:tcBorders>
                  <w:vAlign w:val="center"/>
                </w:tcPr>
                <w:p w14:paraId="2FCA7A5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“布袋除尘器”滤袋破损</w:t>
                  </w:r>
                </w:p>
              </w:tc>
              <w:tc>
                <w:tcPr>
                  <w:tcW w:w="1246" w:type="dxa"/>
                  <w:tcBorders>
                    <w:tl2br w:val="nil"/>
                    <w:tr2bl w:val="nil"/>
                  </w:tcBorders>
                  <w:shd w:val="clear" w:color="auto" w:fill="auto"/>
                  <w:vAlign w:val="center"/>
                </w:tcPr>
                <w:p w14:paraId="0233DEA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eastAsia="宋体" w:cs="Times New Roman"/>
                      <w:b w:val="0"/>
                      <w:bCs/>
                      <w:sz w:val="21"/>
                      <w:szCs w:val="21"/>
                      <w:vertAlign w:val="baseline"/>
                      <w:lang w:val="en-US" w:eastAsia="zh-CN"/>
                    </w:rPr>
                    <w:t>停止生产</w:t>
                  </w:r>
                </w:p>
              </w:tc>
              <w:tc>
                <w:tcPr>
                  <w:tcW w:w="1304" w:type="dxa"/>
                  <w:tcBorders>
                    <w:tl2br w:val="nil"/>
                    <w:tr2bl w:val="nil"/>
                  </w:tcBorders>
                  <w:shd w:val="clear" w:color="auto" w:fill="auto"/>
                  <w:vAlign w:val="center"/>
                </w:tcPr>
                <w:p w14:paraId="1E4CB77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eastAsia="宋体" w:cs="Times New Roman"/>
                      <w:b w:val="0"/>
                      <w:bCs/>
                      <w:sz w:val="21"/>
                      <w:szCs w:val="21"/>
                      <w:vertAlign w:val="baseline"/>
                      <w:lang w:val="en-US" w:eastAsia="zh-CN"/>
                    </w:rPr>
                    <w:t>检修</w:t>
                  </w:r>
                </w:p>
              </w:tc>
            </w:tr>
          </w:tbl>
          <w:p w14:paraId="6C8B10D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b w:val="0"/>
                <w:bCs/>
                <w:sz w:val="21"/>
                <w:szCs w:val="21"/>
                <w:lang w:val="en-US" w:eastAsia="zh-CN"/>
              </w:rPr>
            </w:pPr>
          </w:p>
          <w:p w14:paraId="40459905">
            <w:pPr>
              <w:autoSpaceDE w:val="0"/>
              <w:autoSpaceDN w:val="0"/>
              <w:spacing w:line="360" w:lineRule="auto"/>
              <w:ind w:firstLine="480" w:firstLineChars="200"/>
              <w:rPr>
                <w:rFonts w:hint="eastAsia"/>
                <w:b w:val="0"/>
                <w:bCs/>
                <w:sz w:val="24"/>
                <w:lang w:val="en-US" w:eastAsia="zh-CN"/>
              </w:rPr>
            </w:pPr>
            <w:r>
              <w:rPr>
                <w:rFonts w:hint="eastAsia"/>
                <w:b w:val="0"/>
                <w:bCs/>
                <w:sz w:val="24"/>
                <w:lang w:val="en-US" w:eastAsia="zh-CN"/>
              </w:rPr>
              <w:t>非正常排放情况见下表：</w:t>
            </w:r>
          </w:p>
          <w:p w14:paraId="459D2D67">
            <w:pPr>
              <w:numPr>
                <w:ilvl w:val="0"/>
                <w:numId w:val="6"/>
              </w:numPr>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废气污染物非正常排放量</w:t>
            </w:r>
          </w:p>
          <w:tbl>
            <w:tblPr>
              <w:tblStyle w:val="27"/>
              <w:tblW w:w="788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577"/>
              <w:gridCol w:w="1577"/>
              <w:gridCol w:w="1577"/>
              <w:gridCol w:w="1944"/>
              <w:gridCol w:w="1212"/>
            </w:tblGrid>
            <w:tr w14:paraId="02062D2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7" w:type="dxa"/>
                  <w:vMerge w:val="restart"/>
                  <w:tcBorders>
                    <w:tl2br w:val="nil"/>
                    <w:tr2bl w:val="nil"/>
                  </w:tcBorders>
                  <w:vAlign w:val="center"/>
                </w:tcPr>
                <w:p w14:paraId="48FE299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污染源</w:t>
                  </w:r>
                </w:p>
              </w:tc>
              <w:tc>
                <w:tcPr>
                  <w:tcW w:w="1577" w:type="dxa"/>
                  <w:vMerge w:val="restart"/>
                  <w:tcBorders>
                    <w:tl2br w:val="nil"/>
                    <w:tr2bl w:val="nil"/>
                  </w:tcBorders>
                  <w:vAlign w:val="center"/>
                </w:tcPr>
                <w:p w14:paraId="7D6E7A4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污染物名称</w:t>
                  </w:r>
                </w:p>
              </w:tc>
              <w:tc>
                <w:tcPr>
                  <w:tcW w:w="4733" w:type="dxa"/>
                  <w:gridSpan w:val="3"/>
                  <w:tcBorders>
                    <w:tl2br w:val="nil"/>
                    <w:tr2bl w:val="nil"/>
                  </w:tcBorders>
                  <w:vAlign w:val="center"/>
                </w:tcPr>
                <w:p w14:paraId="572C132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排放参数</w:t>
                  </w:r>
                </w:p>
              </w:tc>
            </w:tr>
            <w:tr w14:paraId="3399102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7" w:type="dxa"/>
                  <w:vMerge w:val="continue"/>
                  <w:tcBorders>
                    <w:tl2br w:val="nil"/>
                    <w:tr2bl w:val="nil"/>
                  </w:tcBorders>
                  <w:vAlign w:val="center"/>
                </w:tcPr>
                <w:p w14:paraId="12B4F14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p>
              </w:tc>
              <w:tc>
                <w:tcPr>
                  <w:tcW w:w="1577" w:type="dxa"/>
                  <w:vMerge w:val="continue"/>
                  <w:tcBorders>
                    <w:tl2br w:val="nil"/>
                    <w:tr2bl w:val="nil"/>
                  </w:tcBorders>
                  <w:vAlign w:val="center"/>
                </w:tcPr>
                <w:p w14:paraId="424E922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p>
              </w:tc>
              <w:tc>
                <w:tcPr>
                  <w:tcW w:w="1577" w:type="dxa"/>
                  <w:tcBorders>
                    <w:tl2br w:val="nil"/>
                    <w:tr2bl w:val="nil"/>
                  </w:tcBorders>
                  <w:vAlign w:val="center"/>
                </w:tcPr>
                <w:p w14:paraId="7B676C2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速率kg/h</w:t>
                  </w:r>
                </w:p>
              </w:tc>
              <w:tc>
                <w:tcPr>
                  <w:tcW w:w="1944" w:type="dxa"/>
                  <w:tcBorders>
                    <w:tl2br w:val="nil"/>
                    <w:tr2bl w:val="nil"/>
                  </w:tcBorders>
                  <w:vAlign w:val="center"/>
                </w:tcPr>
                <w:p w14:paraId="49DF070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排放浓度mg/m</w:t>
                  </w:r>
                  <w:r>
                    <w:rPr>
                      <w:rFonts w:hint="default" w:ascii="Times New Roman" w:hAnsi="Times New Roman" w:eastAsia="宋体" w:cs="Times New Roman"/>
                      <w:b w:val="0"/>
                      <w:bCs/>
                      <w:sz w:val="21"/>
                      <w:szCs w:val="21"/>
                      <w:vertAlign w:val="superscript"/>
                      <w:lang w:val="en-US" w:eastAsia="zh-CN"/>
                    </w:rPr>
                    <w:t>3</w:t>
                  </w:r>
                </w:p>
              </w:tc>
              <w:tc>
                <w:tcPr>
                  <w:tcW w:w="1212" w:type="dxa"/>
                  <w:tcBorders>
                    <w:tl2br w:val="nil"/>
                    <w:tr2bl w:val="nil"/>
                  </w:tcBorders>
                  <w:vAlign w:val="center"/>
                </w:tcPr>
                <w:p w14:paraId="04A4C8A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排放类别</w:t>
                  </w:r>
                </w:p>
              </w:tc>
            </w:tr>
            <w:tr w14:paraId="25F56E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7" w:type="dxa"/>
                  <w:vMerge w:val="restart"/>
                  <w:tcBorders>
                    <w:tl2br w:val="nil"/>
                    <w:tr2bl w:val="nil"/>
                  </w:tcBorders>
                  <w:vAlign w:val="center"/>
                </w:tcPr>
                <w:p w14:paraId="3163C2F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普通</w:t>
                  </w:r>
                  <w:r>
                    <w:rPr>
                      <w:rFonts w:hint="default" w:ascii="Times New Roman" w:hAnsi="Times New Roman" w:eastAsia="宋体" w:cs="Times New Roman"/>
                      <w:b w:val="0"/>
                      <w:bCs/>
                      <w:sz w:val="21"/>
                      <w:szCs w:val="21"/>
                      <w:vertAlign w:val="baseline"/>
                      <w:lang w:val="en-US" w:eastAsia="zh-CN"/>
                    </w:rPr>
                    <w:t>沥青混凝土、</w:t>
                  </w:r>
                  <w:r>
                    <w:rPr>
                      <w:rFonts w:hint="eastAsia" w:ascii="Times New Roman" w:hAnsi="Times New Roman" w:eastAsia="宋体" w:cs="Times New Roman"/>
                      <w:b w:val="0"/>
                      <w:bCs/>
                      <w:sz w:val="21"/>
                      <w:szCs w:val="21"/>
                      <w:vertAlign w:val="baseline"/>
                      <w:lang w:val="en-US" w:eastAsia="zh-CN"/>
                    </w:rPr>
                    <w:t>热</w:t>
                  </w:r>
                  <w:r>
                    <w:rPr>
                      <w:rFonts w:hint="default" w:ascii="Times New Roman" w:hAnsi="Times New Roman" w:eastAsia="宋体" w:cs="Times New Roman"/>
                      <w:b w:val="0"/>
                      <w:bCs/>
                      <w:sz w:val="21"/>
                      <w:szCs w:val="21"/>
                      <w:vertAlign w:val="baseline"/>
                      <w:lang w:val="en-US" w:eastAsia="zh-CN"/>
                    </w:rPr>
                    <w:t>再生沥青混凝土</w:t>
                  </w:r>
                  <w:r>
                    <w:rPr>
                      <w:rFonts w:hint="eastAsia" w:ascii="Times New Roman" w:hAnsi="Times New Roman" w:eastAsia="宋体" w:cs="Times New Roman"/>
                      <w:b w:val="0"/>
                      <w:bCs/>
                      <w:sz w:val="21"/>
                      <w:szCs w:val="21"/>
                      <w:vertAlign w:val="baseline"/>
                      <w:lang w:val="en-US" w:eastAsia="zh-CN"/>
                    </w:rPr>
                    <w:t>、乳化沥青</w:t>
                  </w:r>
                  <w:r>
                    <w:rPr>
                      <w:rFonts w:hint="default" w:ascii="Times New Roman" w:hAnsi="Times New Roman" w:eastAsia="宋体" w:cs="Times New Roman"/>
                      <w:b w:val="0"/>
                      <w:bCs/>
                      <w:sz w:val="21"/>
                      <w:szCs w:val="21"/>
                      <w:vertAlign w:val="baseline"/>
                      <w:lang w:val="en-US" w:eastAsia="zh-CN"/>
                    </w:rPr>
                    <w:t>生产线</w:t>
                  </w:r>
                </w:p>
              </w:tc>
              <w:tc>
                <w:tcPr>
                  <w:tcW w:w="1577" w:type="dxa"/>
                  <w:tcBorders>
                    <w:tl2br w:val="nil"/>
                    <w:tr2bl w:val="nil"/>
                  </w:tcBorders>
                  <w:vAlign w:val="center"/>
                </w:tcPr>
                <w:p w14:paraId="68D0BC5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沥青烟</w:t>
                  </w:r>
                </w:p>
              </w:tc>
              <w:tc>
                <w:tcPr>
                  <w:tcW w:w="1577" w:type="dxa"/>
                  <w:tcBorders>
                    <w:tl2br w:val="nil"/>
                    <w:tr2bl w:val="nil"/>
                  </w:tcBorders>
                  <w:vAlign w:val="center"/>
                </w:tcPr>
                <w:p w14:paraId="300349C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0.0736</w:t>
                  </w:r>
                </w:p>
              </w:tc>
              <w:tc>
                <w:tcPr>
                  <w:tcW w:w="1944" w:type="dxa"/>
                  <w:tcBorders>
                    <w:tl2br w:val="nil"/>
                    <w:tr2bl w:val="nil"/>
                  </w:tcBorders>
                  <w:vAlign w:val="center"/>
                </w:tcPr>
                <w:p w14:paraId="795BBDA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1.9078</w:t>
                  </w:r>
                </w:p>
              </w:tc>
              <w:tc>
                <w:tcPr>
                  <w:tcW w:w="1212" w:type="dxa"/>
                  <w:tcBorders>
                    <w:tl2br w:val="nil"/>
                    <w:tr2bl w:val="nil"/>
                  </w:tcBorders>
                  <w:vAlign w:val="center"/>
                </w:tcPr>
                <w:p w14:paraId="17A0A04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有组织</w:t>
                  </w:r>
                </w:p>
              </w:tc>
            </w:tr>
            <w:tr w14:paraId="181F612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7" w:type="dxa"/>
                  <w:vMerge w:val="continue"/>
                  <w:tcBorders>
                    <w:tl2br w:val="nil"/>
                    <w:tr2bl w:val="nil"/>
                  </w:tcBorders>
                  <w:vAlign w:val="center"/>
                </w:tcPr>
                <w:p w14:paraId="51DAF72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p>
              </w:tc>
              <w:tc>
                <w:tcPr>
                  <w:tcW w:w="1577" w:type="dxa"/>
                  <w:tcBorders>
                    <w:tl2br w:val="nil"/>
                    <w:tr2bl w:val="nil"/>
                  </w:tcBorders>
                  <w:vAlign w:val="center"/>
                </w:tcPr>
                <w:p w14:paraId="1D97469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苯并[a]芘</w:t>
                  </w:r>
                </w:p>
              </w:tc>
              <w:tc>
                <w:tcPr>
                  <w:tcW w:w="1577" w:type="dxa"/>
                  <w:tcBorders>
                    <w:tl2br w:val="nil"/>
                    <w:tr2bl w:val="nil"/>
                  </w:tcBorders>
                  <w:vAlign w:val="center"/>
                </w:tcPr>
                <w:p w14:paraId="15B30BB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1.4727</w:t>
                  </w: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b w:val="0"/>
                      <w:bCs w:val="0"/>
                      <w:color w:val="auto"/>
                      <w:sz w:val="21"/>
                      <w:szCs w:val="21"/>
                      <w:vertAlign w:val="superscript"/>
                      <w:lang w:val="en-US" w:eastAsia="zh-CN"/>
                    </w:rPr>
                    <w:t>-6</w:t>
                  </w:r>
                </w:p>
              </w:tc>
              <w:tc>
                <w:tcPr>
                  <w:tcW w:w="1944" w:type="dxa"/>
                  <w:tcBorders>
                    <w:tl2br w:val="nil"/>
                    <w:tr2bl w:val="nil"/>
                  </w:tcBorders>
                  <w:vAlign w:val="center"/>
                </w:tcPr>
                <w:p w14:paraId="529053A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3.8152</w:t>
                  </w: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b w:val="0"/>
                      <w:bCs w:val="0"/>
                      <w:color w:val="auto"/>
                      <w:sz w:val="21"/>
                      <w:szCs w:val="21"/>
                      <w:vertAlign w:val="superscript"/>
                      <w:lang w:val="en-US" w:eastAsia="zh-CN"/>
                    </w:rPr>
                    <w:t>-</w:t>
                  </w:r>
                  <w:r>
                    <w:rPr>
                      <w:rFonts w:hint="eastAsia" w:ascii="Times New Roman" w:hAnsi="Times New Roman" w:eastAsia="宋体" w:cs="Times New Roman"/>
                      <w:b w:val="0"/>
                      <w:bCs w:val="0"/>
                      <w:color w:val="auto"/>
                      <w:sz w:val="21"/>
                      <w:szCs w:val="21"/>
                      <w:vertAlign w:val="superscript"/>
                      <w:lang w:val="en-US" w:eastAsia="zh-CN"/>
                    </w:rPr>
                    <w:t>5</w:t>
                  </w:r>
                </w:p>
              </w:tc>
              <w:tc>
                <w:tcPr>
                  <w:tcW w:w="1212" w:type="dxa"/>
                  <w:tcBorders>
                    <w:tl2br w:val="nil"/>
                    <w:tr2bl w:val="nil"/>
                  </w:tcBorders>
                  <w:vAlign w:val="center"/>
                </w:tcPr>
                <w:p w14:paraId="516E8B5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有组织</w:t>
                  </w:r>
                </w:p>
              </w:tc>
            </w:tr>
            <w:tr w14:paraId="5CD28B2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77" w:type="dxa"/>
                  <w:vMerge w:val="continue"/>
                  <w:tcBorders>
                    <w:tl2br w:val="nil"/>
                    <w:tr2bl w:val="nil"/>
                  </w:tcBorders>
                  <w:vAlign w:val="center"/>
                </w:tcPr>
                <w:p w14:paraId="456A503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p>
              </w:tc>
              <w:tc>
                <w:tcPr>
                  <w:tcW w:w="1577" w:type="dxa"/>
                  <w:tcBorders>
                    <w:tl2br w:val="nil"/>
                    <w:tr2bl w:val="nil"/>
                  </w:tcBorders>
                  <w:vAlign w:val="center"/>
                </w:tcPr>
                <w:p w14:paraId="331C64E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VOCs（以非甲烷总烃计）</w:t>
                  </w:r>
                </w:p>
              </w:tc>
              <w:tc>
                <w:tcPr>
                  <w:tcW w:w="1577" w:type="dxa"/>
                  <w:tcBorders>
                    <w:tl2br w:val="nil"/>
                    <w:tr2bl w:val="nil"/>
                  </w:tcBorders>
                  <w:vAlign w:val="center"/>
                </w:tcPr>
                <w:p w14:paraId="7E438AB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0.0515</w:t>
                  </w:r>
                </w:p>
              </w:tc>
              <w:tc>
                <w:tcPr>
                  <w:tcW w:w="1944" w:type="dxa"/>
                  <w:tcBorders>
                    <w:tl2br w:val="nil"/>
                    <w:tr2bl w:val="nil"/>
                  </w:tcBorders>
                  <w:vAlign w:val="center"/>
                </w:tcPr>
                <w:p w14:paraId="6C53C91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1.335</w:t>
                  </w:r>
                </w:p>
              </w:tc>
              <w:tc>
                <w:tcPr>
                  <w:tcW w:w="1212" w:type="dxa"/>
                  <w:tcBorders>
                    <w:tl2br w:val="nil"/>
                    <w:tr2bl w:val="nil"/>
                  </w:tcBorders>
                  <w:vAlign w:val="center"/>
                </w:tcPr>
                <w:p w14:paraId="1790A31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有组织</w:t>
                  </w:r>
                </w:p>
              </w:tc>
            </w:tr>
            <w:tr w14:paraId="52D417E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577" w:type="dxa"/>
                  <w:vMerge w:val="continue"/>
                  <w:tcBorders>
                    <w:tl2br w:val="nil"/>
                    <w:tr2bl w:val="nil"/>
                  </w:tcBorders>
                  <w:vAlign w:val="center"/>
                </w:tcPr>
                <w:p w14:paraId="1AF057A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p>
              </w:tc>
              <w:tc>
                <w:tcPr>
                  <w:tcW w:w="1577" w:type="dxa"/>
                  <w:tcBorders>
                    <w:tl2br w:val="nil"/>
                    <w:tr2bl w:val="nil"/>
                  </w:tcBorders>
                  <w:vAlign w:val="center"/>
                </w:tcPr>
                <w:p w14:paraId="3D15F99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颗粒物</w:t>
                  </w:r>
                </w:p>
              </w:tc>
              <w:tc>
                <w:tcPr>
                  <w:tcW w:w="1577" w:type="dxa"/>
                  <w:tcBorders>
                    <w:tl2br w:val="nil"/>
                    <w:tr2bl w:val="nil"/>
                  </w:tcBorders>
                  <w:vAlign w:val="center"/>
                </w:tcPr>
                <w:p w14:paraId="051154D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159.0738</w:t>
                  </w:r>
                </w:p>
              </w:tc>
              <w:tc>
                <w:tcPr>
                  <w:tcW w:w="1944" w:type="dxa"/>
                  <w:tcBorders>
                    <w:tl2br w:val="nil"/>
                    <w:tr2bl w:val="nil"/>
                  </w:tcBorders>
                  <w:vAlign w:val="center"/>
                </w:tcPr>
                <w:p w14:paraId="5281F73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1590.737</w:t>
                  </w:r>
                  <w:r>
                    <w:rPr>
                      <w:rFonts w:hint="eastAsia" w:ascii="Times New Roman" w:hAnsi="Times New Roman" w:eastAsia="宋体" w:cs="Times New Roman"/>
                      <w:b w:val="0"/>
                      <w:bCs/>
                      <w:sz w:val="21"/>
                      <w:szCs w:val="21"/>
                      <w:vertAlign w:val="baseline"/>
                      <w:lang w:val="en-US" w:eastAsia="zh-CN"/>
                    </w:rPr>
                    <w:t>6</w:t>
                  </w:r>
                </w:p>
              </w:tc>
              <w:tc>
                <w:tcPr>
                  <w:tcW w:w="1212" w:type="dxa"/>
                  <w:tcBorders>
                    <w:tl2br w:val="nil"/>
                    <w:tr2bl w:val="nil"/>
                  </w:tcBorders>
                  <w:vAlign w:val="center"/>
                </w:tcPr>
                <w:p w14:paraId="1E2B599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有组织</w:t>
                  </w:r>
                </w:p>
              </w:tc>
            </w:tr>
            <w:tr w14:paraId="71CEE38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77" w:type="dxa"/>
                  <w:tcBorders>
                    <w:tl2br w:val="nil"/>
                    <w:tr2bl w:val="nil"/>
                  </w:tcBorders>
                  <w:vAlign w:val="center"/>
                </w:tcPr>
                <w:p w14:paraId="1C4299F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煤粉生产线</w:t>
                  </w:r>
                </w:p>
              </w:tc>
              <w:tc>
                <w:tcPr>
                  <w:tcW w:w="1577" w:type="dxa"/>
                  <w:tcBorders>
                    <w:tl2br w:val="nil"/>
                    <w:tr2bl w:val="nil"/>
                  </w:tcBorders>
                  <w:vAlign w:val="center"/>
                </w:tcPr>
                <w:p w14:paraId="7AC429E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颗粒物</w:t>
                  </w:r>
                </w:p>
              </w:tc>
              <w:tc>
                <w:tcPr>
                  <w:tcW w:w="1577" w:type="dxa"/>
                  <w:tcBorders>
                    <w:tl2br w:val="nil"/>
                    <w:tr2bl w:val="nil"/>
                  </w:tcBorders>
                  <w:vAlign w:val="center"/>
                </w:tcPr>
                <w:p w14:paraId="4578E32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1.4806</w:t>
                  </w:r>
                </w:p>
              </w:tc>
              <w:tc>
                <w:tcPr>
                  <w:tcW w:w="1944" w:type="dxa"/>
                  <w:tcBorders>
                    <w:tl2br w:val="nil"/>
                    <w:tr2bl w:val="nil"/>
                  </w:tcBorders>
                  <w:vAlign w:val="center"/>
                </w:tcPr>
                <w:p w14:paraId="1C50966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21.4574</w:t>
                  </w:r>
                </w:p>
              </w:tc>
              <w:tc>
                <w:tcPr>
                  <w:tcW w:w="1212" w:type="dxa"/>
                  <w:tcBorders>
                    <w:tl2br w:val="nil"/>
                    <w:tr2bl w:val="nil"/>
                  </w:tcBorders>
                  <w:vAlign w:val="center"/>
                </w:tcPr>
                <w:p w14:paraId="5A7ED48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有组织</w:t>
                  </w:r>
                </w:p>
              </w:tc>
            </w:tr>
            <w:tr w14:paraId="5633A48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77" w:type="dxa"/>
                  <w:tcBorders>
                    <w:tl2br w:val="nil"/>
                    <w:tr2bl w:val="nil"/>
                  </w:tcBorders>
                  <w:vAlign w:val="center"/>
                </w:tcPr>
                <w:p w14:paraId="0E1C5EB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再生料（废沥青混凝土层）预处理</w:t>
                  </w:r>
                </w:p>
              </w:tc>
              <w:tc>
                <w:tcPr>
                  <w:tcW w:w="1577" w:type="dxa"/>
                  <w:tcBorders>
                    <w:tl2br w:val="nil"/>
                    <w:tr2bl w:val="nil"/>
                  </w:tcBorders>
                  <w:vAlign w:val="center"/>
                </w:tcPr>
                <w:p w14:paraId="217F2EE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颗粒物</w:t>
                  </w:r>
                </w:p>
              </w:tc>
              <w:tc>
                <w:tcPr>
                  <w:tcW w:w="1577" w:type="dxa"/>
                  <w:tcBorders>
                    <w:tl2br w:val="nil"/>
                    <w:tr2bl w:val="nil"/>
                  </w:tcBorders>
                  <w:vAlign w:val="center"/>
                </w:tcPr>
                <w:p w14:paraId="4D37524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20.6838</w:t>
                  </w:r>
                </w:p>
              </w:tc>
              <w:tc>
                <w:tcPr>
                  <w:tcW w:w="1944" w:type="dxa"/>
                  <w:tcBorders>
                    <w:tl2br w:val="nil"/>
                    <w:tr2bl w:val="nil"/>
                  </w:tcBorders>
                  <w:vAlign w:val="center"/>
                </w:tcPr>
                <w:p w14:paraId="5F32F93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1149.1015</w:t>
                  </w:r>
                </w:p>
              </w:tc>
              <w:tc>
                <w:tcPr>
                  <w:tcW w:w="1212" w:type="dxa"/>
                  <w:tcBorders>
                    <w:tl2br w:val="nil"/>
                    <w:tr2bl w:val="nil"/>
                  </w:tcBorders>
                  <w:vAlign w:val="center"/>
                </w:tcPr>
                <w:p w14:paraId="319BE00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有组织</w:t>
                  </w:r>
                </w:p>
              </w:tc>
            </w:tr>
          </w:tbl>
          <w:p w14:paraId="3F5F5E32">
            <w:pPr>
              <w:autoSpaceDE w:val="0"/>
              <w:autoSpaceDN w:val="0"/>
              <w:spacing w:line="240" w:lineRule="auto"/>
              <w:ind w:firstLine="420" w:firstLineChars="200"/>
              <w:jc w:val="center"/>
              <w:rPr>
                <w:rFonts w:hint="eastAsia"/>
                <w:b w:val="0"/>
                <w:bCs/>
                <w:sz w:val="21"/>
                <w:szCs w:val="21"/>
                <w:lang w:val="en-US" w:eastAsia="zh-CN"/>
              </w:rPr>
            </w:pPr>
          </w:p>
          <w:p w14:paraId="5DEFB9C6">
            <w:pPr>
              <w:autoSpaceDE w:val="0"/>
              <w:autoSpaceDN w:val="0"/>
              <w:spacing w:line="360" w:lineRule="auto"/>
              <w:ind w:firstLine="482" w:firstLineChars="200"/>
              <w:rPr>
                <w:rFonts w:hint="eastAsia"/>
                <w:b/>
                <w:bCs w:val="0"/>
                <w:sz w:val="24"/>
                <w:lang w:val="en-US" w:eastAsia="zh-CN"/>
              </w:rPr>
            </w:pPr>
            <w:r>
              <w:rPr>
                <w:rFonts w:hint="eastAsia"/>
                <w:b/>
                <w:bCs w:val="0"/>
                <w:sz w:val="24"/>
                <w:lang w:val="en-US" w:eastAsia="zh-CN"/>
              </w:rPr>
              <w:t>1.5监测要求</w:t>
            </w:r>
          </w:p>
          <w:p w14:paraId="44597A40">
            <w:pPr>
              <w:autoSpaceDE w:val="0"/>
              <w:autoSpaceDN w:val="0"/>
              <w:spacing w:line="360" w:lineRule="auto"/>
              <w:ind w:firstLine="480" w:firstLineChars="200"/>
              <w:rPr>
                <w:rFonts w:hint="eastAsia"/>
                <w:b w:val="0"/>
                <w:bCs/>
                <w:sz w:val="24"/>
                <w:lang w:val="en-US" w:eastAsia="zh-CN"/>
              </w:rPr>
            </w:pPr>
            <w:r>
              <w:rPr>
                <w:rFonts w:hint="default"/>
                <w:sz w:val="24"/>
                <w:szCs w:val="24"/>
                <w:lang w:val="en-US" w:eastAsia="zh-CN"/>
              </w:rPr>
              <w:t>根据《排污许可证申请与核发技术规范 总则》（HJ942-2018）、《排污单位自行监测技术指南 总则》（HJ819-2017）、《排污许可证申请与核发技术规范 石墨及其他非金属矿物制品制造》（HJ1119-2020）</w:t>
            </w:r>
            <w:r>
              <w:rPr>
                <w:rFonts w:hint="eastAsia"/>
                <w:sz w:val="24"/>
                <w:szCs w:val="24"/>
                <w:lang w:val="en-US" w:eastAsia="zh-CN"/>
              </w:rPr>
              <w:t>、</w:t>
            </w:r>
            <w:r>
              <w:rPr>
                <w:rFonts w:hint="default"/>
                <w:sz w:val="24"/>
                <w:szCs w:val="24"/>
                <w:lang w:val="en-US" w:eastAsia="zh-CN"/>
              </w:rPr>
              <w:t>《排污许可证申请与核发技术规范 锅炉》（HJ953-2018）</w:t>
            </w:r>
            <w:r>
              <w:rPr>
                <w:rFonts w:hint="eastAsia"/>
                <w:sz w:val="24"/>
                <w:szCs w:val="24"/>
                <w:lang w:val="en-US" w:eastAsia="zh-CN"/>
              </w:rPr>
              <w:t>和</w:t>
            </w:r>
            <w:r>
              <w:rPr>
                <w:rFonts w:hint="eastAsia"/>
                <w:b w:val="0"/>
                <w:bCs/>
                <w:sz w:val="24"/>
                <w:lang w:val="en-US" w:eastAsia="zh-CN"/>
              </w:rPr>
              <w:t>《排污单位自行监测技术指南 火力发电及锅炉》（HJ820-2017）</w:t>
            </w:r>
            <w:r>
              <w:rPr>
                <w:rFonts w:hint="default"/>
                <w:sz w:val="24"/>
                <w:szCs w:val="24"/>
                <w:lang w:val="en-US" w:eastAsia="zh-CN"/>
              </w:rPr>
              <w:t>等相关文件中废气污染源自行监测要求</w:t>
            </w:r>
            <w:r>
              <w:rPr>
                <w:rFonts w:hint="eastAsia"/>
                <w:b w:val="0"/>
                <w:bCs/>
                <w:sz w:val="24"/>
                <w:lang w:val="en-US" w:eastAsia="zh-CN"/>
              </w:rPr>
              <w:t>，详见下表：</w:t>
            </w:r>
          </w:p>
          <w:p w14:paraId="64FC7900">
            <w:pPr>
              <w:numPr>
                <w:ilvl w:val="0"/>
                <w:numId w:val="6"/>
              </w:numPr>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有组织废气监测方案</w:t>
            </w:r>
          </w:p>
          <w:tbl>
            <w:tblPr>
              <w:tblStyle w:val="27"/>
              <w:tblW w:w="78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2446"/>
              <w:gridCol w:w="1166"/>
              <w:gridCol w:w="3104"/>
            </w:tblGrid>
            <w:tr w14:paraId="5350F7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tcBorders>
                    <w:tl2br w:val="nil"/>
                    <w:tr2bl w:val="nil"/>
                  </w:tcBorders>
                  <w:vAlign w:val="center"/>
                </w:tcPr>
                <w:p w14:paraId="728A476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监测点位</w:t>
                  </w:r>
                </w:p>
              </w:tc>
              <w:tc>
                <w:tcPr>
                  <w:tcW w:w="2446" w:type="dxa"/>
                  <w:tcBorders>
                    <w:tl2br w:val="nil"/>
                    <w:tr2bl w:val="nil"/>
                  </w:tcBorders>
                  <w:vAlign w:val="center"/>
                </w:tcPr>
                <w:p w14:paraId="1966926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监测指标</w:t>
                  </w:r>
                </w:p>
              </w:tc>
              <w:tc>
                <w:tcPr>
                  <w:tcW w:w="1166" w:type="dxa"/>
                  <w:tcBorders>
                    <w:tl2br w:val="nil"/>
                    <w:tr2bl w:val="nil"/>
                  </w:tcBorders>
                  <w:vAlign w:val="center"/>
                </w:tcPr>
                <w:p w14:paraId="46B800E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监测频次</w:t>
                  </w:r>
                </w:p>
              </w:tc>
              <w:tc>
                <w:tcPr>
                  <w:tcW w:w="3104" w:type="dxa"/>
                  <w:tcBorders>
                    <w:tl2br w:val="nil"/>
                    <w:tr2bl w:val="nil"/>
                  </w:tcBorders>
                  <w:vAlign w:val="center"/>
                </w:tcPr>
                <w:p w14:paraId="7682058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执行排放标准</w:t>
                  </w:r>
                </w:p>
              </w:tc>
            </w:tr>
            <w:tr w14:paraId="38D84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tcBorders>
                    <w:tl2br w:val="nil"/>
                    <w:tr2bl w:val="nil"/>
                  </w:tcBorders>
                  <w:vAlign w:val="center"/>
                </w:tcPr>
                <w:p w14:paraId="0F8CD39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DA001</w:t>
                  </w:r>
                </w:p>
              </w:tc>
              <w:tc>
                <w:tcPr>
                  <w:tcW w:w="2446" w:type="dxa"/>
                  <w:tcBorders>
                    <w:tl2br w:val="nil"/>
                    <w:tr2bl w:val="nil"/>
                  </w:tcBorders>
                  <w:vAlign w:val="center"/>
                </w:tcPr>
                <w:p w14:paraId="7F0CF40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颗粒物、NO</w:t>
                  </w:r>
                  <w:r>
                    <w:rPr>
                      <w:rFonts w:hint="eastAsia" w:ascii="Times New Roman" w:hAnsi="Times New Roman" w:eastAsia="宋体" w:cs="Times New Roman"/>
                      <w:b w:val="0"/>
                      <w:bCs/>
                      <w:sz w:val="21"/>
                      <w:szCs w:val="21"/>
                      <w:vertAlign w:val="subscript"/>
                      <w:lang w:val="en-US" w:eastAsia="zh-CN"/>
                    </w:rPr>
                    <w:t>x</w:t>
                  </w:r>
                  <w:r>
                    <w:rPr>
                      <w:rFonts w:hint="default" w:ascii="Times New Roman" w:hAnsi="Times New Roman" w:eastAsia="宋体" w:cs="Times New Roman"/>
                      <w:b w:val="0"/>
                      <w:bCs/>
                      <w:sz w:val="21"/>
                      <w:szCs w:val="21"/>
                      <w:vertAlign w:val="baseline"/>
                      <w:lang w:val="en-US" w:eastAsia="zh-CN"/>
                    </w:rPr>
                    <w:t>、SO</w:t>
                  </w:r>
                  <w:r>
                    <w:rPr>
                      <w:rFonts w:hint="default" w:ascii="Times New Roman" w:hAnsi="Times New Roman" w:eastAsia="宋体" w:cs="Times New Roman"/>
                      <w:b w:val="0"/>
                      <w:bCs/>
                      <w:sz w:val="21"/>
                      <w:szCs w:val="21"/>
                      <w:vertAlign w:val="subscript"/>
                      <w:lang w:val="en-US" w:eastAsia="zh-CN"/>
                    </w:rPr>
                    <w:t>2</w:t>
                  </w:r>
                </w:p>
              </w:tc>
              <w:tc>
                <w:tcPr>
                  <w:tcW w:w="1166" w:type="dxa"/>
                  <w:tcBorders>
                    <w:tl2br w:val="nil"/>
                    <w:tr2bl w:val="nil"/>
                  </w:tcBorders>
                  <w:vAlign w:val="center"/>
                </w:tcPr>
                <w:p w14:paraId="7347128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1次/半年</w:t>
                  </w:r>
                </w:p>
              </w:tc>
              <w:tc>
                <w:tcPr>
                  <w:tcW w:w="3104" w:type="dxa"/>
                  <w:tcBorders>
                    <w:tl2br w:val="nil"/>
                    <w:tr2bl w:val="nil"/>
                  </w:tcBorders>
                  <w:vAlign w:val="center"/>
                </w:tcPr>
                <w:p w14:paraId="0F57BF6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《四川省工业炉窑大气污染综合治理实施清单》</w:t>
                  </w:r>
                </w:p>
              </w:tc>
            </w:tr>
            <w:tr w14:paraId="18A7C4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restart"/>
                  <w:tcBorders>
                    <w:tl2br w:val="nil"/>
                    <w:tr2bl w:val="nil"/>
                  </w:tcBorders>
                  <w:vAlign w:val="center"/>
                </w:tcPr>
                <w:p w14:paraId="08AF21D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DA002</w:t>
                  </w:r>
                </w:p>
              </w:tc>
              <w:tc>
                <w:tcPr>
                  <w:tcW w:w="2446" w:type="dxa"/>
                  <w:tcBorders>
                    <w:tl2br w:val="nil"/>
                    <w:tr2bl w:val="nil"/>
                  </w:tcBorders>
                  <w:vAlign w:val="center"/>
                </w:tcPr>
                <w:p w14:paraId="34005EF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沥青烟、苯并[a]芘</w:t>
                  </w:r>
                </w:p>
              </w:tc>
              <w:tc>
                <w:tcPr>
                  <w:tcW w:w="1166" w:type="dxa"/>
                  <w:vMerge w:val="restart"/>
                  <w:tcBorders>
                    <w:tl2br w:val="nil"/>
                    <w:tr2bl w:val="nil"/>
                  </w:tcBorders>
                  <w:vAlign w:val="center"/>
                </w:tcPr>
                <w:p w14:paraId="2240B25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1次/年</w:t>
                  </w:r>
                </w:p>
              </w:tc>
              <w:tc>
                <w:tcPr>
                  <w:tcW w:w="3104" w:type="dxa"/>
                  <w:tcBorders>
                    <w:tl2br w:val="nil"/>
                    <w:tr2bl w:val="nil"/>
                  </w:tcBorders>
                  <w:vAlign w:val="center"/>
                </w:tcPr>
                <w:p w14:paraId="19EC4DE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《大气污染物综合排放标准》（GB16297-1996）表2中二级标准</w:t>
                  </w:r>
                </w:p>
              </w:tc>
            </w:tr>
            <w:tr w14:paraId="4007A2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continue"/>
                  <w:tcBorders>
                    <w:tl2br w:val="nil"/>
                    <w:tr2bl w:val="nil"/>
                  </w:tcBorders>
                  <w:vAlign w:val="center"/>
                </w:tcPr>
                <w:p w14:paraId="2A37DA3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sz w:val="21"/>
                      <w:szCs w:val="21"/>
                      <w:vertAlign w:val="baseline"/>
                      <w:lang w:val="en-US" w:eastAsia="zh-CN"/>
                    </w:rPr>
                  </w:pPr>
                </w:p>
              </w:tc>
              <w:tc>
                <w:tcPr>
                  <w:tcW w:w="2446" w:type="dxa"/>
                  <w:tcBorders>
                    <w:tl2br w:val="nil"/>
                    <w:tr2bl w:val="nil"/>
                  </w:tcBorders>
                  <w:vAlign w:val="center"/>
                </w:tcPr>
                <w:p w14:paraId="646109F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VOCs</w:t>
                  </w:r>
                </w:p>
              </w:tc>
              <w:tc>
                <w:tcPr>
                  <w:tcW w:w="1166" w:type="dxa"/>
                  <w:vMerge w:val="continue"/>
                  <w:tcBorders>
                    <w:tl2br w:val="nil"/>
                    <w:tr2bl w:val="nil"/>
                  </w:tcBorders>
                  <w:vAlign w:val="center"/>
                </w:tcPr>
                <w:p w14:paraId="1815FE0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p>
              </w:tc>
              <w:tc>
                <w:tcPr>
                  <w:tcW w:w="3104" w:type="dxa"/>
                  <w:tcBorders>
                    <w:tl2br w:val="nil"/>
                    <w:tr2bl w:val="nil"/>
                  </w:tcBorders>
                  <w:vAlign w:val="center"/>
                </w:tcPr>
                <w:p w14:paraId="6C76EB7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《四川省固定污染源大气挥发性有机物排放标准》（DB51/2377-2017）表3</w:t>
                  </w:r>
                </w:p>
              </w:tc>
            </w:tr>
            <w:tr w14:paraId="314CC9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restart"/>
                  <w:tcBorders>
                    <w:tl2br w:val="nil"/>
                    <w:tr2bl w:val="nil"/>
                  </w:tcBorders>
                  <w:vAlign w:val="center"/>
                </w:tcPr>
                <w:p w14:paraId="5D774F3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DA003</w:t>
                  </w:r>
                </w:p>
              </w:tc>
              <w:tc>
                <w:tcPr>
                  <w:tcW w:w="2446" w:type="dxa"/>
                  <w:tcBorders>
                    <w:tl2br w:val="nil"/>
                    <w:tr2bl w:val="nil"/>
                  </w:tcBorders>
                  <w:vAlign w:val="center"/>
                </w:tcPr>
                <w:p w14:paraId="571E1EA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颗粒物、SO</w:t>
                  </w:r>
                  <w:r>
                    <w:rPr>
                      <w:rFonts w:hint="default" w:ascii="Times New Roman" w:hAnsi="Times New Roman" w:eastAsia="宋体" w:cs="Times New Roman"/>
                      <w:b w:val="0"/>
                      <w:bCs/>
                      <w:sz w:val="21"/>
                      <w:szCs w:val="21"/>
                      <w:vertAlign w:val="subscript"/>
                      <w:lang w:val="en-US" w:eastAsia="zh-CN"/>
                    </w:rPr>
                    <w:t>2</w:t>
                  </w:r>
                  <w:r>
                    <w:rPr>
                      <w:rFonts w:hint="default" w:ascii="Times New Roman" w:hAnsi="Times New Roman" w:eastAsia="宋体" w:cs="Times New Roman"/>
                      <w:b w:val="0"/>
                      <w:bCs/>
                      <w:sz w:val="21"/>
                      <w:szCs w:val="21"/>
                      <w:vertAlign w:val="baseline"/>
                      <w:lang w:val="en-US" w:eastAsia="zh-CN"/>
                    </w:rPr>
                    <w:t>、林格曼黑度</w:t>
                  </w:r>
                </w:p>
              </w:tc>
              <w:tc>
                <w:tcPr>
                  <w:tcW w:w="1166" w:type="dxa"/>
                  <w:tcBorders>
                    <w:tl2br w:val="nil"/>
                    <w:tr2bl w:val="nil"/>
                  </w:tcBorders>
                  <w:vAlign w:val="center"/>
                </w:tcPr>
                <w:p w14:paraId="37C6B28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1次/年</w:t>
                  </w:r>
                </w:p>
              </w:tc>
              <w:tc>
                <w:tcPr>
                  <w:tcW w:w="3104" w:type="dxa"/>
                  <w:vMerge w:val="restart"/>
                  <w:tcBorders>
                    <w:tl2br w:val="nil"/>
                    <w:tr2bl w:val="nil"/>
                  </w:tcBorders>
                  <w:vAlign w:val="center"/>
                </w:tcPr>
                <w:p w14:paraId="7B0F767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《四川省大气污染物工程减量指导意见（2023-2025年）》（川污防攻坚办【2023】15号）</w:t>
                  </w:r>
                </w:p>
              </w:tc>
            </w:tr>
            <w:tr w14:paraId="760710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continue"/>
                  <w:tcBorders>
                    <w:tl2br w:val="nil"/>
                    <w:tr2bl w:val="nil"/>
                  </w:tcBorders>
                  <w:vAlign w:val="center"/>
                </w:tcPr>
                <w:p w14:paraId="23310843">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sz w:val="21"/>
                      <w:szCs w:val="21"/>
                      <w:vertAlign w:val="baseline"/>
                      <w:lang w:val="en-US" w:eastAsia="zh-CN"/>
                    </w:rPr>
                  </w:pPr>
                </w:p>
              </w:tc>
              <w:tc>
                <w:tcPr>
                  <w:tcW w:w="2446" w:type="dxa"/>
                  <w:tcBorders>
                    <w:tl2br w:val="nil"/>
                    <w:tr2bl w:val="nil"/>
                  </w:tcBorders>
                  <w:vAlign w:val="center"/>
                </w:tcPr>
                <w:p w14:paraId="673C1F8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NO</w:t>
                  </w:r>
                  <w:r>
                    <w:rPr>
                      <w:rFonts w:hint="eastAsia" w:ascii="Times New Roman" w:hAnsi="Times New Roman" w:eastAsia="宋体" w:cs="Times New Roman"/>
                      <w:b w:val="0"/>
                      <w:bCs/>
                      <w:sz w:val="21"/>
                      <w:szCs w:val="21"/>
                      <w:vertAlign w:val="subscript"/>
                      <w:lang w:val="en-US" w:eastAsia="zh-CN"/>
                    </w:rPr>
                    <w:t>x</w:t>
                  </w:r>
                </w:p>
              </w:tc>
              <w:tc>
                <w:tcPr>
                  <w:tcW w:w="1166" w:type="dxa"/>
                  <w:tcBorders>
                    <w:tl2br w:val="nil"/>
                    <w:tr2bl w:val="nil"/>
                  </w:tcBorders>
                  <w:vAlign w:val="center"/>
                </w:tcPr>
                <w:p w14:paraId="304EC9B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1次/月</w:t>
                  </w:r>
                </w:p>
              </w:tc>
              <w:tc>
                <w:tcPr>
                  <w:tcW w:w="3104" w:type="dxa"/>
                  <w:vMerge w:val="continue"/>
                  <w:tcBorders>
                    <w:tl2br w:val="nil"/>
                    <w:tr2bl w:val="nil"/>
                  </w:tcBorders>
                  <w:vAlign w:val="center"/>
                </w:tcPr>
                <w:p w14:paraId="1D2A2B2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p>
              </w:tc>
            </w:tr>
            <w:tr w14:paraId="13E42F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tcBorders>
                    <w:tl2br w:val="nil"/>
                    <w:tr2bl w:val="nil"/>
                  </w:tcBorders>
                  <w:vAlign w:val="center"/>
                </w:tcPr>
                <w:p w14:paraId="54D840F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DA004</w:t>
                  </w:r>
                </w:p>
              </w:tc>
              <w:tc>
                <w:tcPr>
                  <w:tcW w:w="2446" w:type="dxa"/>
                  <w:tcBorders>
                    <w:tl2br w:val="nil"/>
                    <w:tr2bl w:val="nil"/>
                  </w:tcBorders>
                  <w:shd w:val="clear" w:color="auto" w:fill="auto"/>
                  <w:vAlign w:val="center"/>
                </w:tcPr>
                <w:p w14:paraId="19998EA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eastAsia="宋体" w:cs="Times New Roman"/>
                      <w:b w:val="0"/>
                      <w:bCs/>
                      <w:sz w:val="21"/>
                      <w:szCs w:val="21"/>
                      <w:vertAlign w:val="baseline"/>
                      <w:lang w:val="en-US" w:eastAsia="zh-CN"/>
                    </w:rPr>
                    <w:t>颗粒物、NO</w:t>
                  </w:r>
                  <w:r>
                    <w:rPr>
                      <w:rFonts w:hint="eastAsia" w:ascii="Times New Roman" w:hAnsi="Times New Roman" w:eastAsia="宋体" w:cs="Times New Roman"/>
                      <w:b w:val="0"/>
                      <w:bCs/>
                      <w:sz w:val="21"/>
                      <w:szCs w:val="21"/>
                      <w:vertAlign w:val="subscript"/>
                      <w:lang w:val="en-US" w:eastAsia="zh-CN"/>
                    </w:rPr>
                    <w:t>x</w:t>
                  </w:r>
                  <w:r>
                    <w:rPr>
                      <w:rFonts w:hint="default" w:ascii="Times New Roman" w:hAnsi="Times New Roman" w:eastAsia="宋体" w:cs="Times New Roman"/>
                      <w:b w:val="0"/>
                      <w:bCs/>
                      <w:sz w:val="21"/>
                      <w:szCs w:val="21"/>
                      <w:vertAlign w:val="baseline"/>
                      <w:lang w:val="en-US" w:eastAsia="zh-CN"/>
                    </w:rPr>
                    <w:t>、SO</w:t>
                  </w:r>
                  <w:r>
                    <w:rPr>
                      <w:rFonts w:hint="default" w:ascii="Times New Roman" w:hAnsi="Times New Roman" w:eastAsia="宋体" w:cs="Times New Roman"/>
                      <w:b w:val="0"/>
                      <w:bCs/>
                      <w:sz w:val="21"/>
                      <w:szCs w:val="21"/>
                      <w:vertAlign w:val="subscript"/>
                      <w:lang w:val="en-US" w:eastAsia="zh-CN"/>
                    </w:rPr>
                    <w:t>2</w:t>
                  </w:r>
                </w:p>
              </w:tc>
              <w:tc>
                <w:tcPr>
                  <w:tcW w:w="1166" w:type="dxa"/>
                  <w:tcBorders>
                    <w:tl2br w:val="nil"/>
                    <w:tr2bl w:val="nil"/>
                  </w:tcBorders>
                  <w:shd w:val="clear" w:color="auto" w:fill="auto"/>
                  <w:vAlign w:val="center"/>
                </w:tcPr>
                <w:p w14:paraId="3C83849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sz w:val="21"/>
                      <w:szCs w:val="21"/>
                      <w:vertAlign w:val="baseline"/>
                      <w:lang w:val="en-US" w:eastAsia="zh-CN"/>
                    </w:rPr>
                    <w:t>1次/半年</w:t>
                  </w:r>
                </w:p>
              </w:tc>
              <w:tc>
                <w:tcPr>
                  <w:tcW w:w="3104" w:type="dxa"/>
                  <w:tcBorders>
                    <w:tl2br w:val="nil"/>
                    <w:tr2bl w:val="nil"/>
                  </w:tcBorders>
                  <w:shd w:val="clear" w:color="auto" w:fill="auto"/>
                  <w:vAlign w:val="center"/>
                </w:tcPr>
                <w:p w14:paraId="1A37B14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eastAsia="宋体" w:cs="Times New Roman"/>
                      <w:b w:val="0"/>
                      <w:bCs/>
                      <w:sz w:val="21"/>
                      <w:szCs w:val="21"/>
                      <w:vertAlign w:val="baseline"/>
                      <w:lang w:val="en-US" w:eastAsia="zh-CN"/>
                    </w:rPr>
                    <w:t>《四川省工业炉窑大气污染综合治理实施清单》</w:t>
                  </w:r>
                </w:p>
              </w:tc>
            </w:tr>
            <w:tr w14:paraId="34C980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tcBorders>
                    <w:tl2br w:val="nil"/>
                    <w:tr2bl w:val="nil"/>
                  </w:tcBorders>
                  <w:vAlign w:val="center"/>
                </w:tcPr>
                <w:p w14:paraId="089E3764">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DA005</w:t>
                  </w:r>
                </w:p>
              </w:tc>
              <w:tc>
                <w:tcPr>
                  <w:tcW w:w="2446" w:type="dxa"/>
                  <w:tcBorders>
                    <w:tl2br w:val="nil"/>
                    <w:tr2bl w:val="nil"/>
                  </w:tcBorders>
                  <w:vAlign w:val="center"/>
                </w:tcPr>
                <w:p w14:paraId="5B7AB4A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颗粒物</w:t>
                  </w:r>
                </w:p>
              </w:tc>
              <w:tc>
                <w:tcPr>
                  <w:tcW w:w="1166" w:type="dxa"/>
                  <w:tcBorders>
                    <w:tl2br w:val="nil"/>
                    <w:tr2bl w:val="nil"/>
                  </w:tcBorders>
                  <w:vAlign w:val="center"/>
                </w:tcPr>
                <w:p w14:paraId="1C5F229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1次/年</w:t>
                  </w:r>
                </w:p>
              </w:tc>
              <w:tc>
                <w:tcPr>
                  <w:tcW w:w="3104" w:type="dxa"/>
                  <w:tcBorders>
                    <w:tl2br w:val="nil"/>
                    <w:tr2bl w:val="nil"/>
                  </w:tcBorders>
                  <w:vAlign w:val="center"/>
                </w:tcPr>
                <w:p w14:paraId="4A2E37F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《大气污染物综合排放标准》（GB16297-1996）表2中二级标准</w:t>
                  </w:r>
                </w:p>
              </w:tc>
            </w:tr>
          </w:tbl>
          <w:p w14:paraId="3A084264">
            <w:pPr>
              <w:autoSpaceDE w:val="0"/>
              <w:autoSpaceDN w:val="0"/>
              <w:spacing w:line="240" w:lineRule="auto"/>
              <w:ind w:firstLine="420" w:firstLineChars="200"/>
              <w:jc w:val="center"/>
              <w:rPr>
                <w:rFonts w:hint="eastAsia"/>
                <w:b w:val="0"/>
                <w:bCs/>
                <w:sz w:val="21"/>
                <w:szCs w:val="21"/>
                <w:lang w:val="en-US" w:eastAsia="zh-CN"/>
              </w:rPr>
            </w:pPr>
          </w:p>
          <w:p w14:paraId="2CE2E750">
            <w:pPr>
              <w:numPr>
                <w:ilvl w:val="0"/>
                <w:numId w:val="6"/>
              </w:numPr>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无组织废气监测方案</w:t>
            </w:r>
          </w:p>
          <w:tbl>
            <w:tblPr>
              <w:tblStyle w:val="27"/>
              <w:tblW w:w="78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1939"/>
              <w:gridCol w:w="1438"/>
              <w:gridCol w:w="3339"/>
            </w:tblGrid>
            <w:tr w14:paraId="7597AB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tcBorders>
                    <w:tl2br w:val="nil"/>
                    <w:tr2bl w:val="nil"/>
                  </w:tcBorders>
                  <w:shd w:val="clear" w:color="auto" w:fill="auto"/>
                  <w:vAlign w:val="center"/>
                </w:tcPr>
                <w:p w14:paraId="7FFBB58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eastAsia="宋体" w:cs="Times New Roman"/>
                      <w:b w:val="0"/>
                      <w:bCs/>
                      <w:sz w:val="21"/>
                      <w:szCs w:val="21"/>
                      <w:vertAlign w:val="baseline"/>
                      <w:lang w:val="en-US" w:eastAsia="zh-CN"/>
                    </w:rPr>
                    <w:t>监测点位</w:t>
                  </w:r>
                </w:p>
              </w:tc>
              <w:tc>
                <w:tcPr>
                  <w:tcW w:w="1939" w:type="dxa"/>
                  <w:tcBorders>
                    <w:tl2br w:val="nil"/>
                    <w:tr2bl w:val="nil"/>
                  </w:tcBorders>
                  <w:shd w:val="clear" w:color="auto" w:fill="auto"/>
                  <w:vAlign w:val="center"/>
                </w:tcPr>
                <w:p w14:paraId="7CB07CD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eastAsia="宋体" w:cs="Times New Roman"/>
                      <w:b w:val="0"/>
                      <w:bCs/>
                      <w:sz w:val="21"/>
                      <w:szCs w:val="21"/>
                      <w:vertAlign w:val="baseline"/>
                      <w:lang w:val="en-US" w:eastAsia="zh-CN"/>
                    </w:rPr>
                    <w:t>监测指标</w:t>
                  </w:r>
                </w:p>
              </w:tc>
              <w:tc>
                <w:tcPr>
                  <w:tcW w:w="1438" w:type="dxa"/>
                  <w:tcBorders>
                    <w:tl2br w:val="nil"/>
                    <w:tr2bl w:val="nil"/>
                  </w:tcBorders>
                  <w:shd w:val="clear" w:color="auto" w:fill="auto"/>
                  <w:vAlign w:val="center"/>
                </w:tcPr>
                <w:p w14:paraId="2D63454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eastAsia="宋体" w:cs="Times New Roman"/>
                      <w:b w:val="0"/>
                      <w:bCs/>
                      <w:sz w:val="21"/>
                      <w:szCs w:val="21"/>
                      <w:vertAlign w:val="baseline"/>
                      <w:lang w:val="en-US" w:eastAsia="zh-CN"/>
                    </w:rPr>
                    <w:t>监测频次</w:t>
                  </w:r>
                </w:p>
              </w:tc>
              <w:tc>
                <w:tcPr>
                  <w:tcW w:w="3339" w:type="dxa"/>
                  <w:tcBorders>
                    <w:tl2br w:val="nil"/>
                    <w:tr2bl w:val="nil"/>
                  </w:tcBorders>
                  <w:shd w:val="clear" w:color="auto" w:fill="auto"/>
                  <w:vAlign w:val="center"/>
                </w:tcPr>
                <w:p w14:paraId="1A79562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eastAsia="宋体" w:cs="Times New Roman"/>
                      <w:b w:val="0"/>
                      <w:bCs/>
                      <w:sz w:val="21"/>
                      <w:szCs w:val="21"/>
                      <w:vertAlign w:val="baseline"/>
                      <w:lang w:val="en-US" w:eastAsia="zh-CN"/>
                    </w:rPr>
                    <w:t>执行排放标准</w:t>
                  </w:r>
                </w:p>
              </w:tc>
            </w:tr>
            <w:tr w14:paraId="1E833A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restart"/>
                  <w:tcBorders>
                    <w:tl2br w:val="nil"/>
                    <w:tr2bl w:val="nil"/>
                  </w:tcBorders>
                  <w:vAlign w:val="center"/>
                </w:tcPr>
                <w:p w14:paraId="0B0D9ED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厂界</w:t>
                  </w:r>
                </w:p>
              </w:tc>
              <w:tc>
                <w:tcPr>
                  <w:tcW w:w="1939" w:type="dxa"/>
                  <w:tcBorders>
                    <w:tl2br w:val="nil"/>
                    <w:tr2bl w:val="nil"/>
                  </w:tcBorders>
                  <w:vAlign w:val="center"/>
                </w:tcPr>
                <w:p w14:paraId="7D6F059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颗粒物、</w:t>
                  </w:r>
                  <w:r>
                    <w:rPr>
                      <w:rFonts w:hint="default" w:ascii="Times New Roman" w:hAnsi="Times New Roman" w:eastAsia="宋体" w:cs="Times New Roman"/>
                      <w:b w:val="0"/>
                      <w:bCs/>
                      <w:sz w:val="21"/>
                      <w:szCs w:val="21"/>
                      <w:vertAlign w:val="baseline"/>
                      <w:lang w:val="en-US" w:eastAsia="zh-CN"/>
                    </w:rPr>
                    <w:t>沥青烟</w:t>
                  </w:r>
                  <w:r>
                    <w:rPr>
                      <w:rFonts w:hint="eastAsia" w:ascii="Times New Roman" w:hAnsi="Times New Roman" w:eastAsia="宋体" w:cs="Times New Roman"/>
                      <w:b w:val="0"/>
                      <w:bCs/>
                      <w:sz w:val="21"/>
                      <w:szCs w:val="21"/>
                      <w:vertAlign w:val="baseline"/>
                      <w:lang w:val="en-US" w:eastAsia="zh-CN"/>
                    </w:rPr>
                    <w:t>、</w:t>
                  </w:r>
                  <w:r>
                    <w:rPr>
                      <w:rFonts w:hint="default" w:ascii="Times New Roman" w:hAnsi="Times New Roman" w:eastAsia="宋体" w:cs="Times New Roman"/>
                      <w:b w:val="0"/>
                      <w:bCs/>
                      <w:sz w:val="21"/>
                      <w:szCs w:val="21"/>
                      <w:vertAlign w:val="baseline"/>
                      <w:lang w:val="en-US" w:eastAsia="zh-CN"/>
                    </w:rPr>
                    <w:t>苯并[a]芘</w:t>
                  </w:r>
                </w:p>
              </w:tc>
              <w:tc>
                <w:tcPr>
                  <w:tcW w:w="1438" w:type="dxa"/>
                  <w:tcBorders>
                    <w:tl2br w:val="nil"/>
                    <w:tr2bl w:val="nil"/>
                  </w:tcBorders>
                  <w:vAlign w:val="center"/>
                </w:tcPr>
                <w:p w14:paraId="523396A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1次/年</w:t>
                  </w:r>
                </w:p>
              </w:tc>
              <w:tc>
                <w:tcPr>
                  <w:tcW w:w="3339" w:type="dxa"/>
                  <w:tcBorders>
                    <w:tl2br w:val="nil"/>
                    <w:tr2bl w:val="nil"/>
                  </w:tcBorders>
                  <w:vAlign w:val="center"/>
                </w:tcPr>
                <w:p w14:paraId="2A69DA9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《大气污染物综合排放标准》（GB16297-1996）表2中排放限值</w:t>
                  </w:r>
                </w:p>
              </w:tc>
            </w:tr>
            <w:tr w14:paraId="0A8F03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continue"/>
                  <w:tcBorders>
                    <w:tl2br w:val="nil"/>
                    <w:tr2bl w:val="nil"/>
                  </w:tcBorders>
                  <w:vAlign w:val="center"/>
                </w:tcPr>
                <w:p w14:paraId="0A42892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p>
              </w:tc>
              <w:tc>
                <w:tcPr>
                  <w:tcW w:w="1939" w:type="dxa"/>
                  <w:tcBorders>
                    <w:tl2br w:val="nil"/>
                    <w:tr2bl w:val="nil"/>
                  </w:tcBorders>
                  <w:vAlign w:val="center"/>
                </w:tcPr>
                <w:p w14:paraId="4204585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VOCs</w:t>
                  </w:r>
                </w:p>
              </w:tc>
              <w:tc>
                <w:tcPr>
                  <w:tcW w:w="1438" w:type="dxa"/>
                  <w:tcBorders>
                    <w:tl2br w:val="nil"/>
                    <w:tr2bl w:val="nil"/>
                  </w:tcBorders>
                  <w:vAlign w:val="center"/>
                </w:tcPr>
                <w:p w14:paraId="1D6CDBC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1次/年</w:t>
                  </w:r>
                </w:p>
              </w:tc>
              <w:tc>
                <w:tcPr>
                  <w:tcW w:w="3339" w:type="dxa"/>
                  <w:tcBorders>
                    <w:tl2br w:val="nil"/>
                    <w:tr2bl w:val="nil"/>
                  </w:tcBorders>
                  <w:vAlign w:val="center"/>
                </w:tcPr>
                <w:p w14:paraId="1F42A31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《四川省固定污染源大气挥发性有机物排放标准》（DB51/2377-2017）表3</w:t>
                  </w:r>
                </w:p>
              </w:tc>
            </w:tr>
            <w:tr w14:paraId="5933DF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tcBorders>
                    <w:tl2br w:val="nil"/>
                    <w:tr2bl w:val="nil"/>
                  </w:tcBorders>
                  <w:vAlign w:val="center"/>
                </w:tcPr>
                <w:p w14:paraId="7119467F">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厂区内</w:t>
                  </w:r>
                </w:p>
              </w:tc>
              <w:tc>
                <w:tcPr>
                  <w:tcW w:w="1939" w:type="dxa"/>
                  <w:tcBorders>
                    <w:tl2br w:val="nil"/>
                    <w:tr2bl w:val="nil"/>
                  </w:tcBorders>
                  <w:vAlign w:val="center"/>
                </w:tcPr>
                <w:p w14:paraId="6ADBE48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NMHC</w:t>
                  </w:r>
                </w:p>
              </w:tc>
              <w:tc>
                <w:tcPr>
                  <w:tcW w:w="1438" w:type="dxa"/>
                  <w:tcBorders>
                    <w:tl2br w:val="nil"/>
                    <w:tr2bl w:val="nil"/>
                  </w:tcBorders>
                  <w:vAlign w:val="center"/>
                </w:tcPr>
                <w:p w14:paraId="5D909C7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1次/年</w:t>
                  </w:r>
                </w:p>
              </w:tc>
              <w:tc>
                <w:tcPr>
                  <w:tcW w:w="3339" w:type="dxa"/>
                  <w:tcBorders>
                    <w:tl2br w:val="nil"/>
                    <w:tr2bl w:val="nil"/>
                  </w:tcBorders>
                  <w:vAlign w:val="center"/>
                </w:tcPr>
                <w:p w14:paraId="2BEF409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《挥发性有机物无组织排放标准》（GB37822-2019）</w:t>
                  </w:r>
                </w:p>
              </w:tc>
            </w:tr>
          </w:tbl>
          <w:p w14:paraId="1471711E">
            <w:pPr>
              <w:autoSpaceDE w:val="0"/>
              <w:autoSpaceDN w:val="0"/>
              <w:spacing w:line="240" w:lineRule="auto"/>
              <w:ind w:firstLine="420" w:firstLineChars="200"/>
              <w:jc w:val="center"/>
              <w:rPr>
                <w:rFonts w:hint="eastAsia"/>
                <w:b w:val="0"/>
                <w:bCs/>
                <w:sz w:val="21"/>
                <w:szCs w:val="21"/>
                <w:lang w:val="en-US" w:eastAsia="zh-CN"/>
              </w:rPr>
            </w:pPr>
          </w:p>
          <w:p w14:paraId="065557F4">
            <w:pPr>
              <w:spacing w:line="360" w:lineRule="auto"/>
              <w:ind w:firstLine="482" w:firstLineChars="200"/>
              <w:rPr>
                <w:b/>
                <w:sz w:val="24"/>
                <w:highlight w:val="none"/>
              </w:rPr>
            </w:pPr>
            <w:r>
              <w:rPr>
                <w:rFonts w:hint="eastAsia"/>
                <w:b/>
                <w:sz w:val="24"/>
                <w:highlight w:val="none"/>
                <w:lang w:val="en-US" w:eastAsia="zh-CN"/>
              </w:rPr>
              <w:t>2</w:t>
            </w:r>
            <w:r>
              <w:rPr>
                <w:rFonts w:hint="eastAsia"/>
                <w:b/>
                <w:sz w:val="24"/>
                <w:highlight w:val="none"/>
              </w:rPr>
              <w:t>、废水环境影响和保护措施</w:t>
            </w:r>
          </w:p>
          <w:p w14:paraId="1D4855CA">
            <w:pPr>
              <w:spacing w:line="360" w:lineRule="auto"/>
              <w:ind w:firstLine="482" w:firstLineChars="200"/>
              <w:rPr>
                <w:b/>
                <w:sz w:val="24"/>
              </w:rPr>
            </w:pPr>
            <w:r>
              <w:rPr>
                <w:rFonts w:hint="eastAsia"/>
                <w:b/>
                <w:sz w:val="24"/>
                <w:lang w:val="en-US" w:eastAsia="zh-CN"/>
              </w:rPr>
              <w:t>2.1产排污环节、类别、污染物种类、产生量核算</w:t>
            </w:r>
          </w:p>
          <w:p w14:paraId="17B3F1D5">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本项目产生的废水主要有生活污水（</w:t>
            </w:r>
            <w:r>
              <w:rPr>
                <w:rFonts w:hint="eastAsia" w:cs="Times New Roman"/>
                <w:sz w:val="24"/>
                <w:szCs w:val="24"/>
                <w:lang w:val="en-US" w:eastAsia="zh-CN"/>
              </w:rPr>
              <w:t>含</w:t>
            </w:r>
            <w:r>
              <w:rPr>
                <w:rFonts w:hint="eastAsia" w:ascii="Times New Roman" w:hAnsi="Times New Roman" w:eastAsia="宋体" w:cs="Times New Roman"/>
                <w:sz w:val="24"/>
                <w:szCs w:val="24"/>
                <w:lang w:val="en-US" w:eastAsia="zh-CN"/>
              </w:rPr>
              <w:t>食堂废水）和生产废水，其中生产废水主要为车辆</w:t>
            </w:r>
            <w:r>
              <w:rPr>
                <w:rFonts w:hint="eastAsia" w:cs="Times New Roman"/>
                <w:sz w:val="24"/>
                <w:szCs w:val="24"/>
                <w:lang w:val="en-US" w:eastAsia="zh-CN"/>
              </w:rPr>
              <w:t>清洗</w:t>
            </w:r>
            <w:r>
              <w:rPr>
                <w:rFonts w:hint="eastAsia" w:ascii="Times New Roman" w:hAnsi="Times New Roman" w:eastAsia="宋体" w:cs="Times New Roman"/>
                <w:sz w:val="24"/>
                <w:szCs w:val="24"/>
                <w:lang w:val="en-US" w:eastAsia="zh-CN"/>
              </w:rPr>
              <w:t>废水、生产检测中心试验设备清洗废水。</w:t>
            </w:r>
          </w:p>
          <w:p w14:paraId="334F48AA">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①生活污水（</w:t>
            </w:r>
            <w:r>
              <w:rPr>
                <w:rFonts w:hint="eastAsia" w:cs="Times New Roman"/>
                <w:b/>
                <w:bCs/>
                <w:sz w:val="24"/>
                <w:szCs w:val="24"/>
                <w:lang w:val="en-US" w:eastAsia="zh-CN"/>
              </w:rPr>
              <w:t>含</w:t>
            </w:r>
            <w:r>
              <w:rPr>
                <w:rFonts w:hint="eastAsia" w:ascii="Times New Roman" w:hAnsi="Times New Roman" w:eastAsia="宋体" w:cs="Times New Roman"/>
                <w:b/>
                <w:bCs/>
                <w:sz w:val="24"/>
                <w:szCs w:val="24"/>
                <w:lang w:val="en-US" w:eastAsia="zh-CN"/>
              </w:rPr>
              <w:t>食堂废水）</w:t>
            </w:r>
          </w:p>
          <w:p w14:paraId="25D0DF46">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sz w:val="24"/>
                <w:lang w:val="en-US" w:eastAsia="zh-CN"/>
              </w:rPr>
              <w:t>本次改扩建后，厂区内设置员工宿舍和员工食堂，</w:t>
            </w:r>
            <w:r>
              <w:rPr>
                <w:rFonts w:hint="eastAsia" w:ascii="Times New Roman" w:hAnsi="Times New Roman" w:eastAsia="宋体" w:cs="Times New Roman"/>
                <w:sz w:val="24"/>
                <w:lang w:val="en-US" w:eastAsia="zh-CN"/>
              </w:rPr>
              <w:t>员工生活用水按120L/天·人（其中食堂用水20L/天·人）计，</w:t>
            </w:r>
            <w:r>
              <w:rPr>
                <w:rFonts w:hint="eastAsia"/>
                <w:sz w:val="24"/>
                <w:lang w:val="en-US" w:eastAsia="zh-CN"/>
              </w:rPr>
              <w:t>本次改扩建新增劳动</w:t>
            </w:r>
            <w:r>
              <w:rPr>
                <w:rFonts w:hint="eastAsia" w:ascii="Times New Roman" w:hAnsi="Times New Roman" w:eastAsia="宋体" w:cs="Times New Roman"/>
                <w:sz w:val="24"/>
                <w:lang w:val="en-US" w:eastAsia="zh-CN"/>
              </w:rPr>
              <w:t>定员10人，</w:t>
            </w:r>
            <w:r>
              <w:rPr>
                <w:rFonts w:hint="eastAsia"/>
                <w:b w:val="0"/>
                <w:bCs w:val="0"/>
                <w:sz w:val="24"/>
                <w:lang w:val="en-US" w:eastAsia="zh-CN"/>
              </w:rPr>
              <w:t>改扩建完成后全厂劳动定员40人，</w:t>
            </w:r>
            <w:r>
              <w:rPr>
                <w:rFonts w:hint="eastAsia" w:ascii="Times New Roman" w:hAnsi="Times New Roman" w:eastAsia="宋体" w:cs="Times New Roman"/>
                <w:sz w:val="24"/>
                <w:lang w:val="en-US" w:eastAsia="zh-CN"/>
              </w:rPr>
              <w:t>则生活用水量约为</w:t>
            </w:r>
            <w:r>
              <w:rPr>
                <w:rFonts w:hint="eastAsia" w:cs="Times New Roman"/>
                <w:sz w:val="24"/>
                <w:lang w:val="en-US" w:eastAsia="zh-CN"/>
              </w:rPr>
              <w:t>4.8</w:t>
            </w:r>
            <w:r>
              <w:rPr>
                <w:rFonts w:hint="eastAsia" w:ascii="Times New Roman" w:hAnsi="Times New Roman" w:eastAsia="宋体" w:cs="Times New Roman"/>
                <w:sz w:val="24"/>
                <w:lang w:val="en-US" w:eastAsia="zh-CN"/>
              </w:rPr>
              <w:t>m</w:t>
            </w:r>
            <w:r>
              <w:rPr>
                <w:rFonts w:hint="eastAsia"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lang w:val="en-US" w:eastAsia="zh-CN"/>
              </w:rPr>
              <w:t>/d（</w:t>
            </w:r>
            <w:r>
              <w:rPr>
                <w:rFonts w:hint="eastAsia" w:cs="Times New Roman"/>
                <w:sz w:val="24"/>
                <w:lang w:val="en-US" w:eastAsia="zh-CN"/>
              </w:rPr>
              <w:t>1584</w:t>
            </w:r>
            <w:r>
              <w:rPr>
                <w:rFonts w:hint="eastAsia" w:ascii="Times New Roman" w:hAnsi="Times New Roman" w:eastAsia="宋体" w:cs="Times New Roman"/>
                <w:sz w:val="24"/>
                <w:lang w:val="en-US" w:eastAsia="zh-CN"/>
              </w:rPr>
              <w:t>m</w:t>
            </w:r>
            <w:r>
              <w:rPr>
                <w:rFonts w:hint="eastAsia"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lang w:val="en-US" w:eastAsia="zh-CN"/>
              </w:rPr>
              <w:t>/a），其中：食堂用水</w:t>
            </w:r>
            <w:r>
              <w:rPr>
                <w:rFonts w:hint="eastAsia" w:cs="Times New Roman"/>
                <w:sz w:val="24"/>
                <w:lang w:val="en-US" w:eastAsia="zh-CN"/>
              </w:rPr>
              <w:t>0.8</w:t>
            </w:r>
            <w:r>
              <w:rPr>
                <w:rFonts w:hint="eastAsia" w:ascii="Times New Roman" w:hAnsi="Times New Roman" w:eastAsia="宋体" w:cs="Times New Roman"/>
                <w:sz w:val="24"/>
                <w:lang w:val="en-US" w:eastAsia="zh-CN"/>
              </w:rPr>
              <w:t>m</w:t>
            </w:r>
            <w:r>
              <w:rPr>
                <w:rFonts w:hint="eastAsia"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lang w:val="en-US" w:eastAsia="zh-CN"/>
              </w:rPr>
              <w:t>/d（</w:t>
            </w:r>
            <w:r>
              <w:rPr>
                <w:rFonts w:hint="eastAsia" w:cs="Times New Roman"/>
                <w:sz w:val="24"/>
                <w:lang w:val="en-US" w:eastAsia="zh-CN"/>
              </w:rPr>
              <w:t>264</w:t>
            </w:r>
            <w:r>
              <w:rPr>
                <w:rFonts w:hint="eastAsia" w:ascii="Times New Roman" w:hAnsi="Times New Roman" w:eastAsia="宋体" w:cs="Times New Roman"/>
                <w:sz w:val="24"/>
                <w:lang w:val="en-US" w:eastAsia="zh-CN"/>
              </w:rPr>
              <w:t>m</w:t>
            </w:r>
            <w:r>
              <w:rPr>
                <w:rFonts w:hint="eastAsia"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lang w:val="en-US" w:eastAsia="zh-CN"/>
              </w:rPr>
              <w:t>/a）。产污系数按0.85计，则生活污水量为</w:t>
            </w:r>
            <w:r>
              <w:rPr>
                <w:rFonts w:hint="eastAsia" w:cs="Times New Roman"/>
                <w:sz w:val="24"/>
                <w:lang w:val="en-US" w:eastAsia="zh-CN"/>
              </w:rPr>
              <w:t>4.08</w:t>
            </w:r>
            <w:r>
              <w:rPr>
                <w:rFonts w:hint="eastAsia" w:ascii="Times New Roman" w:hAnsi="Times New Roman" w:eastAsia="宋体" w:cs="Times New Roman"/>
                <w:sz w:val="24"/>
                <w:lang w:val="en-US" w:eastAsia="zh-CN"/>
              </w:rPr>
              <w:t>m</w:t>
            </w:r>
            <w:r>
              <w:rPr>
                <w:rFonts w:hint="eastAsia"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lang w:val="en-US" w:eastAsia="zh-CN"/>
              </w:rPr>
              <w:t>/d（</w:t>
            </w:r>
            <w:r>
              <w:rPr>
                <w:rFonts w:hint="eastAsia" w:cs="Times New Roman"/>
                <w:sz w:val="24"/>
                <w:lang w:val="en-US" w:eastAsia="zh-CN"/>
              </w:rPr>
              <w:t>1346.4</w:t>
            </w:r>
            <w:r>
              <w:rPr>
                <w:rFonts w:hint="eastAsia" w:ascii="Times New Roman" w:hAnsi="Times New Roman" w:eastAsia="宋体" w:cs="Times New Roman"/>
                <w:sz w:val="24"/>
                <w:lang w:val="en-US" w:eastAsia="zh-CN"/>
              </w:rPr>
              <w:t>m</w:t>
            </w:r>
            <w:r>
              <w:rPr>
                <w:rFonts w:hint="eastAsia"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lang w:val="en-US" w:eastAsia="zh-CN"/>
              </w:rPr>
              <w:t>/a），</w:t>
            </w:r>
            <w:r>
              <w:rPr>
                <w:rFonts w:hint="eastAsia" w:cs="Times New Roman"/>
                <w:sz w:val="24"/>
                <w:lang w:val="en-US" w:eastAsia="zh-CN"/>
              </w:rPr>
              <w:t>其中：</w:t>
            </w:r>
            <w:r>
              <w:rPr>
                <w:rFonts w:hint="eastAsia" w:ascii="Times New Roman" w:hAnsi="Times New Roman" w:eastAsia="宋体" w:cs="Times New Roman"/>
                <w:sz w:val="24"/>
                <w:lang w:val="en-US" w:eastAsia="zh-CN"/>
              </w:rPr>
              <w:t>食堂废水为</w:t>
            </w:r>
            <w:r>
              <w:rPr>
                <w:rFonts w:hint="eastAsia" w:cs="Times New Roman"/>
                <w:sz w:val="24"/>
                <w:lang w:val="en-US" w:eastAsia="zh-CN"/>
              </w:rPr>
              <w:t>0.68</w:t>
            </w:r>
            <w:r>
              <w:rPr>
                <w:rFonts w:hint="eastAsia" w:ascii="Times New Roman" w:hAnsi="Times New Roman" w:eastAsia="宋体" w:cs="Times New Roman"/>
                <w:sz w:val="24"/>
                <w:lang w:val="en-US" w:eastAsia="zh-CN"/>
              </w:rPr>
              <w:t>m</w:t>
            </w:r>
            <w:r>
              <w:rPr>
                <w:rFonts w:hint="eastAsia"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lang w:val="en-US" w:eastAsia="zh-CN"/>
              </w:rPr>
              <w:t>/d（</w:t>
            </w:r>
            <w:r>
              <w:rPr>
                <w:rFonts w:hint="eastAsia" w:cs="Times New Roman"/>
                <w:sz w:val="24"/>
                <w:lang w:val="en-US" w:eastAsia="zh-CN"/>
              </w:rPr>
              <w:t>224.4</w:t>
            </w:r>
            <w:r>
              <w:rPr>
                <w:rFonts w:hint="eastAsia" w:ascii="Times New Roman" w:hAnsi="Times New Roman" w:eastAsia="宋体" w:cs="Times New Roman"/>
                <w:sz w:val="24"/>
                <w:lang w:val="en-US" w:eastAsia="zh-CN"/>
              </w:rPr>
              <w:t>m</w:t>
            </w:r>
            <w:r>
              <w:rPr>
                <w:rFonts w:hint="eastAsia"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lang w:val="en-US" w:eastAsia="zh-CN"/>
              </w:rPr>
              <w:t>/a）。</w:t>
            </w:r>
            <w:r>
              <w:rPr>
                <w:rFonts w:hint="eastAsia" w:ascii="Times New Roman" w:hAnsi="Times New Roman" w:eastAsia="宋体" w:cs="Times New Roman"/>
                <w:sz w:val="24"/>
                <w:szCs w:val="24"/>
                <w:lang w:val="en-US" w:eastAsia="zh-CN"/>
              </w:rPr>
              <w:t>生活污水（</w:t>
            </w:r>
            <w:r>
              <w:rPr>
                <w:rFonts w:hint="eastAsia" w:cs="Times New Roman"/>
                <w:sz w:val="24"/>
                <w:szCs w:val="24"/>
                <w:lang w:val="en-US" w:eastAsia="zh-CN"/>
              </w:rPr>
              <w:t>含</w:t>
            </w:r>
            <w:r>
              <w:rPr>
                <w:rFonts w:hint="eastAsia" w:ascii="Times New Roman" w:hAnsi="Times New Roman" w:eastAsia="宋体" w:cs="Times New Roman"/>
                <w:sz w:val="24"/>
                <w:szCs w:val="24"/>
                <w:lang w:val="en-US" w:eastAsia="zh-CN"/>
              </w:rPr>
              <w:t>食堂废水）经隔油池+化粪池处理后用作农肥不外排。</w:t>
            </w:r>
          </w:p>
          <w:p w14:paraId="6E66BE1D">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②生产废水</w:t>
            </w:r>
          </w:p>
          <w:p w14:paraId="7D3ADAD3">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本项目生产废水主要为车辆</w:t>
            </w:r>
            <w:r>
              <w:rPr>
                <w:rFonts w:hint="eastAsia" w:cs="Times New Roman"/>
                <w:sz w:val="24"/>
                <w:szCs w:val="24"/>
                <w:lang w:val="en-US" w:eastAsia="zh-CN"/>
              </w:rPr>
              <w:t>清洗</w:t>
            </w:r>
            <w:r>
              <w:rPr>
                <w:rFonts w:hint="eastAsia" w:ascii="Times New Roman" w:hAnsi="Times New Roman" w:eastAsia="宋体" w:cs="Times New Roman"/>
                <w:sz w:val="24"/>
                <w:szCs w:val="24"/>
                <w:lang w:val="en-US" w:eastAsia="zh-CN"/>
              </w:rPr>
              <w:t>废水、生产检测中心试验设备清洗废水，主要污染物为SS</w:t>
            </w:r>
            <w:r>
              <w:rPr>
                <w:rFonts w:hint="eastAsia" w:cs="Times New Roman"/>
                <w:sz w:val="24"/>
                <w:szCs w:val="24"/>
                <w:lang w:val="en-US" w:eastAsia="zh-CN"/>
              </w:rPr>
              <w:t>、石油类</w:t>
            </w:r>
            <w:r>
              <w:rPr>
                <w:rFonts w:hint="eastAsia" w:ascii="Times New Roman" w:hAnsi="Times New Roman" w:eastAsia="宋体" w:cs="Times New Roman"/>
                <w:sz w:val="24"/>
                <w:szCs w:val="24"/>
                <w:lang w:val="en-US" w:eastAsia="zh-CN"/>
              </w:rPr>
              <w:t>，全部经</w:t>
            </w:r>
            <w:r>
              <w:rPr>
                <w:rFonts w:hint="eastAsia" w:cs="Times New Roman"/>
                <w:sz w:val="24"/>
                <w:szCs w:val="24"/>
                <w:lang w:val="en-US" w:eastAsia="zh-CN"/>
              </w:rPr>
              <w:t>隔油池+</w:t>
            </w:r>
            <w:r>
              <w:rPr>
                <w:rFonts w:hint="eastAsia" w:ascii="Times New Roman" w:hAnsi="Times New Roman" w:eastAsia="宋体" w:cs="Times New Roman"/>
                <w:sz w:val="24"/>
                <w:szCs w:val="24"/>
                <w:lang w:val="en-US" w:eastAsia="zh-CN"/>
              </w:rPr>
              <w:t>三级沉淀池处理后循环使用，不外排，沉淀池定期补水。</w:t>
            </w:r>
          </w:p>
          <w:p w14:paraId="26643AB7">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hint="eastAsia" w:cs="Times New Roman"/>
                <w:b/>
                <w:bCs/>
                <w:sz w:val="24"/>
                <w:szCs w:val="24"/>
                <w:lang w:val="en-US" w:eastAsia="zh-CN"/>
              </w:rPr>
            </w:pPr>
            <w:r>
              <w:rPr>
                <w:rFonts w:hint="eastAsia" w:cs="Times New Roman"/>
                <w:b/>
                <w:bCs/>
                <w:sz w:val="24"/>
                <w:szCs w:val="24"/>
                <w:lang w:val="en-US" w:eastAsia="zh-CN"/>
              </w:rPr>
              <w:t>2.2治理设施、排放方式、排放口基本信息</w:t>
            </w:r>
          </w:p>
          <w:p w14:paraId="6FB98D6B">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hint="eastAsia" w:cs="Times New Roman"/>
                <w:b/>
                <w:bCs/>
                <w:sz w:val="24"/>
                <w:szCs w:val="24"/>
                <w:lang w:val="en-US" w:eastAsia="zh-CN"/>
              </w:rPr>
            </w:pPr>
            <w:r>
              <w:rPr>
                <w:rFonts w:hint="eastAsia" w:cs="Times New Roman"/>
                <w:b/>
                <w:bCs/>
                <w:sz w:val="24"/>
                <w:szCs w:val="24"/>
                <w:lang w:val="en-US" w:eastAsia="zh-CN"/>
              </w:rPr>
              <w:t>（1）治理措施</w:t>
            </w:r>
          </w:p>
          <w:p w14:paraId="65A98F91">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hint="eastAsia" w:cs="Times New Roman"/>
                <w:b/>
                <w:bCs/>
                <w:sz w:val="24"/>
                <w:szCs w:val="24"/>
                <w:lang w:val="en-US" w:eastAsia="zh-CN"/>
              </w:rPr>
            </w:pPr>
            <w:r>
              <w:rPr>
                <w:rFonts w:hint="eastAsia" w:cs="Times New Roman"/>
                <w:b/>
                <w:bCs/>
                <w:sz w:val="24"/>
                <w:szCs w:val="24"/>
                <w:lang w:val="en-US" w:eastAsia="zh-CN"/>
              </w:rPr>
              <w:t>①生活污水（含食堂废水）</w:t>
            </w:r>
          </w:p>
          <w:p w14:paraId="2C98EFDF">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cs="Times New Roman"/>
                <w:sz w:val="24"/>
                <w:szCs w:val="24"/>
                <w:lang w:val="en-US" w:eastAsia="zh-CN"/>
              </w:rPr>
            </w:pPr>
            <w:r>
              <w:rPr>
                <w:rFonts w:hint="eastAsia" w:cs="Times New Roman"/>
                <w:sz w:val="24"/>
                <w:szCs w:val="24"/>
                <w:lang w:val="en-US" w:eastAsia="zh-CN"/>
              </w:rPr>
              <w:t>食堂废水经隔油池（有效容积1m</w:t>
            </w:r>
            <w:r>
              <w:rPr>
                <w:rFonts w:hint="eastAsia" w:cs="Times New Roman"/>
                <w:sz w:val="24"/>
                <w:szCs w:val="24"/>
                <w:vertAlign w:val="superscript"/>
                <w:lang w:val="en-US" w:eastAsia="zh-CN"/>
              </w:rPr>
              <w:t>3</w:t>
            </w:r>
            <w:r>
              <w:rPr>
                <w:rFonts w:hint="eastAsia" w:cs="Times New Roman"/>
                <w:sz w:val="24"/>
                <w:szCs w:val="24"/>
                <w:lang w:val="en-US" w:eastAsia="zh-CN"/>
              </w:rPr>
              <w:t>）处理后和生活污水一同经化粪池（有效容积20m</w:t>
            </w:r>
            <w:r>
              <w:rPr>
                <w:rFonts w:hint="eastAsia" w:cs="Times New Roman"/>
                <w:sz w:val="24"/>
                <w:szCs w:val="24"/>
                <w:vertAlign w:val="superscript"/>
                <w:lang w:val="en-US" w:eastAsia="zh-CN"/>
              </w:rPr>
              <w:t>3</w:t>
            </w:r>
            <w:r>
              <w:rPr>
                <w:rFonts w:hint="eastAsia" w:cs="Times New Roman"/>
                <w:sz w:val="24"/>
                <w:szCs w:val="24"/>
                <w:lang w:val="en-US" w:eastAsia="zh-CN"/>
              </w:rPr>
              <w:t>）处理后用作农肥不外排。</w:t>
            </w:r>
          </w:p>
          <w:p w14:paraId="4B19F6D8">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hint="eastAsia" w:cs="Times New Roman"/>
                <w:sz w:val="24"/>
                <w:szCs w:val="24"/>
                <w:lang w:val="en-US" w:eastAsia="zh-CN"/>
              </w:rPr>
            </w:pPr>
            <w:r>
              <w:rPr>
                <w:rFonts w:hint="eastAsia" w:cs="Times New Roman"/>
                <w:b/>
                <w:bCs/>
                <w:sz w:val="24"/>
                <w:szCs w:val="24"/>
                <w:lang w:val="en-US" w:eastAsia="zh-CN"/>
              </w:rPr>
              <w:t>②生产废水（车辆清洗废水、生产检测中心试验设备清洗废水）</w:t>
            </w:r>
          </w:p>
          <w:p w14:paraId="0367F94B">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车辆清洗废水、生产检测中心试验设备清洗废水全部经隔油池+三级沉淀池处理后循环使用。隔油池处理能力为1m</w:t>
            </w:r>
            <w:r>
              <w:rPr>
                <w:rFonts w:hint="eastAsia" w:cs="Times New Roman"/>
                <w:sz w:val="24"/>
                <w:szCs w:val="24"/>
                <w:vertAlign w:val="superscript"/>
                <w:lang w:val="en-US" w:eastAsia="zh-CN"/>
              </w:rPr>
              <w:t>3</w:t>
            </w:r>
            <w:r>
              <w:rPr>
                <w:rFonts w:hint="eastAsia" w:cs="Times New Roman"/>
                <w:sz w:val="24"/>
                <w:szCs w:val="24"/>
                <w:lang w:val="en-US" w:eastAsia="zh-CN"/>
              </w:rPr>
              <w:t>/h，三级沉淀池设置情况为一级沉淀池10m</w:t>
            </w:r>
            <w:r>
              <w:rPr>
                <w:rFonts w:hint="eastAsia" w:cs="Times New Roman"/>
                <w:sz w:val="24"/>
                <w:szCs w:val="24"/>
                <w:vertAlign w:val="superscript"/>
                <w:lang w:val="en-US" w:eastAsia="zh-CN"/>
              </w:rPr>
              <w:t>3</w:t>
            </w:r>
            <w:r>
              <w:rPr>
                <w:rFonts w:hint="eastAsia" w:cs="Times New Roman"/>
                <w:sz w:val="24"/>
                <w:szCs w:val="24"/>
                <w:lang w:val="en-US" w:eastAsia="zh-CN"/>
              </w:rPr>
              <w:t>、二级沉淀池10m</w:t>
            </w:r>
            <w:r>
              <w:rPr>
                <w:rFonts w:hint="eastAsia" w:cs="Times New Roman"/>
                <w:sz w:val="24"/>
                <w:szCs w:val="24"/>
                <w:vertAlign w:val="superscript"/>
                <w:lang w:val="en-US" w:eastAsia="zh-CN"/>
              </w:rPr>
              <w:t>3</w:t>
            </w:r>
            <w:r>
              <w:rPr>
                <w:rFonts w:hint="eastAsia" w:cs="Times New Roman"/>
                <w:sz w:val="24"/>
                <w:szCs w:val="24"/>
                <w:lang w:val="en-US" w:eastAsia="zh-CN"/>
              </w:rPr>
              <w:t>、三级沉淀池10m</w:t>
            </w:r>
            <w:r>
              <w:rPr>
                <w:rFonts w:hint="eastAsia" w:cs="Times New Roman"/>
                <w:sz w:val="24"/>
                <w:szCs w:val="24"/>
                <w:vertAlign w:val="superscript"/>
                <w:lang w:val="en-US" w:eastAsia="zh-CN"/>
              </w:rPr>
              <w:t>3</w:t>
            </w:r>
            <w:r>
              <w:rPr>
                <w:rFonts w:hint="eastAsia" w:cs="Times New Roman"/>
                <w:sz w:val="24"/>
                <w:szCs w:val="24"/>
                <w:lang w:val="en-US" w:eastAsia="zh-CN"/>
              </w:rPr>
              <w:t>，总容积30m</w:t>
            </w:r>
            <w:r>
              <w:rPr>
                <w:rFonts w:hint="eastAsia" w:cs="Times New Roman"/>
                <w:sz w:val="24"/>
                <w:szCs w:val="24"/>
                <w:vertAlign w:val="superscript"/>
                <w:lang w:val="en-US" w:eastAsia="zh-CN"/>
              </w:rPr>
              <w:t>3</w:t>
            </w:r>
            <w:r>
              <w:rPr>
                <w:rFonts w:hint="eastAsia" w:cs="Times New Roman"/>
                <w:sz w:val="24"/>
                <w:szCs w:val="24"/>
                <w:lang w:val="en-US" w:eastAsia="zh-CN"/>
              </w:rPr>
              <w:t>。</w:t>
            </w:r>
          </w:p>
          <w:p w14:paraId="58060F06">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（2）废水治理设施、排放口基本信息表</w:t>
            </w:r>
          </w:p>
          <w:p w14:paraId="4AA0677A">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项目废水治理设施、排放口基本信息见下表：</w:t>
            </w:r>
          </w:p>
          <w:p w14:paraId="61C4DBFB">
            <w:pPr>
              <w:numPr>
                <w:ilvl w:val="0"/>
                <w:numId w:val="6"/>
              </w:numPr>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废水治理设施信息表</w:t>
            </w:r>
          </w:p>
          <w:tbl>
            <w:tblPr>
              <w:tblStyle w:val="27"/>
              <w:tblW w:w="788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76"/>
              <w:gridCol w:w="1323"/>
              <w:gridCol w:w="912"/>
              <w:gridCol w:w="975"/>
              <w:gridCol w:w="788"/>
              <w:gridCol w:w="950"/>
              <w:gridCol w:w="700"/>
              <w:gridCol w:w="675"/>
              <w:gridCol w:w="688"/>
            </w:tblGrid>
            <w:tr w14:paraId="7C31B5A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876" w:type="dxa"/>
                  <w:vMerge w:val="restart"/>
                  <w:tcBorders>
                    <w:tl2br w:val="nil"/>
                    <w:tr2bl w:val="nil"/>
                  </w:tcBorders>
                  <w:vAlign w:val="center"/>
                </w:tcPr>
                <w:p w14:paraId="21E9277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废水类别</w:t>
                  </w:r>
                </w:p>
              </w:tc>
              <w:tc>
                <w:tcPr>
                  <w:tcW w:w="1323" w:type="dxa"/>
                  <w:vMerge w:val="restart"/>
                  <w:tcBorders>
                    <w:tl2br w:val="nil"/>
                    <w:tr2bl w:val="nil"/>
                  </w:tcBorders>
                  <w:vAlign w:val="center"/>
                </w:tcPr>
                <w:p w14:paraId="6250050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污染物种类</w:t>
                  </w:r>
                </w:p>
              </w:tc>
              <w:tc>
                <w:tcPr>
                  <w:tcW w:w="3625" w:type="dxa"/>
                  <w:gridSpan w:val="4"/>
                  <w:tcBorders>
                    <w:tl2br w:val="nil"/>
                    <w:tr2bl w:val="nil"/>
                  </w:tcBorders>
                  <w:vAlign w:val="center"/>
                </w:tcPr>
                <w:p w14:paraId="35C5423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污染治理设施</w:t>
                  </w:r>
                </w:p>
              </w:tc>
              <w:tc>
                <w:tcPr>
                  <w:tcW w:w="700" w:type="dxa"/>
                  <w:vMerge w:val="restart"/>
                  <w:tcBorders>
                    <w:tl2br w:val="nil"/>
                    <w:tr2bl w:val="nil"/>
                  </w:tcBorders>
                  <w:vAlign w:val="center"/>
                </w:tcPr>
                <w:p w14:paraId="3B01348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排放方式</w:t>
                  </w:r>
                </w:p>
              </w:tc>
              <w:tc>
                <w:tcPr>
                  <w:tcW w:w="675" w:type="dxa"/>
                  <w:vMerge w:val="restart"/>
                  <w:tcBorders>
                    <w:tl2br w:val="nil"/>
                    <w:tr2bl w:val="nil"/>
                  </w:tcBorders>
                  <w:vAlign w:val="center"/>
                </w:tcPr>
                <w:p w14:paraId="59BE2B0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排放去向</w:t>
                  </w:r>
                </w:p>
              </w:tc>
              <w:tc>
                <w:tcPr>
                  <w:tcW w:w="688" w:type="dxa"/>
                  <w:vMerge w:val="restart"/>
                  <w:tcBorders>
                    <w:tl2br w:val="nil"/>
                    <w:tr2bl w:val="nil"/>
                  </w:tcBorders>
                  <w:vAlign w:val="center"/>
                </w:tcPr>
                <w:p w14:paraId="2B3AECF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排放规律</w:t>
                  </w:r>
                </w:p>
              </w:tc>
            </w:tr>
            <w:tr w14:paraId="25D51A1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876" w:type="dxa"/>
                  <w:vMerge w:val="continue"/>
                  <w:tcBorders>
                    <w:tl2br w:val="nil"/>
                    <w:tr2bl w:val="nil"/>
                  </w:tcBorders>
                  <w:vAlign w:val="center"/>
                </w:tcPr>
                <w:p w14:paraId="0CCEF84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p>
              </w:tc>
              <w:tc>
                <w:tcPr>
                  <w:tcW w:w="1323" w:type="dxa"/>
                  <w:vMerge w:val="continue"/>
                  <w:tcBorders>
                    <w:tl2br w:val="nil"/>
                    <w:tr2bl w:val="nil"/>
                  </w:tcBorders>
                  <w:vAlign w:val="center"/>
                </w:tcPr>
                <w:p w14:paraId="586FB8C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p>
              </w:tc>
              <w:tc>
                <w:tcPr>
                  <w:tcW w:w="912" w:type="dxa"/>
                  <w:tcBorders>
                    <w:tl2br w:val="nil"/>
                    <w:tr2bl w:val="nil"/>
                  </w:tcBorders>
                  <w:vAlign w:val="center"/>
                </w:tcPr>
                <w:p w14:paraId="0F16768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名称</w:t>
                  </w:r>
                </w:p>
              </w:tc>
              <w:tc>
                <w:tcPr>
                  <w:tcW w:w="975" w:type="dxa"/>
                  <w:tcBorders>
                    <w:tl2br w:val="nil"/>
                    <w:tr2bl w:val="nil"/>
                  </w:tcBorders>
                  <w:vAlign w:val="center"/>
                </w:tcPr>
                <w:p w14:paraId="0110742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处理能力</w:t>
                  </w:r>
                </w:p>
              </w:tc>
              <w:tc>
                <w:tcPr>
                  <w:tcW w:w="788" w:type="dxa"/>
                  <w:tcBorders>
                    <w:tl2br w:val="nil"/>
                    <w:tr2bl w:val="nil"/>
                  </w:tcBorders>
                  <w:vAlign w:val="center"/>
                </w:tcPr>
                <w:p w14:paraId="305F80A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治理工艺</w:t>
                  </w:r>
                </w:p>
              </w:tc>
              <w:tc>
                <w:tcPr>
                  <w:tcW w:w="950" w:type="dxa"/>
                  <w:tcBorders>
                    <w:tl2br w:val="nil"/>
                    <w:tr2bl w:val="nil"/>
                  </w:tcBorders>
                  <w:vAlign w:val="center"/>
                </w:tcPr>
                <w:p w14:paraId="455A79B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是否为可行性技术</w:t>
                  </w:r>
                </w:p>
              </w:tc>
              <w:tc>
                <w:tcPr>
                  <w:tcW w:w="700" w:type="dxa"/>
                  <w:vMerge w:val="continue"/>
                  <w:tcBorders>
                    <w:tl2br w:val="nil"/>
                    <w:tr2bl w:val="nil"/>
                  </w:tcBorders>
                  <w:vAlign w:val="center"/>
                </w:tcPr>
                <w:p w14:paraId="6B570F8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p>
              </w:tc>
              <w:tc>
                <w:tcPr>
                  <w:tcW w:w="675" w:type="dxa"/>
                  <w:vMerge w:val="continue"/>
                  <w:tcBorders>
                    <w:tl2br w:val="nil"/>
                    <w:tr2bl w:val="nil"/>
                  </w:tcBorders>
                  <w:vAlign w:val="center"/>
                </w:tcPr>
                <w:p w14:paraId="2EF29AA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p>
              </w:tc>
              <w:tc>
                <w:tcPr>
                  <w:tcW w:w="688" w:type="dxa"/>
                  <w:vMerge w:val="continue"/>
                  <w:tcBorders>
                    <w:tl2br w:val="nil"/>
                    <w:tr2bl w:val="nil"/>
                  </w:tcBorders>
                  <w:vAlign w:val="center"/>
                </w:tcPr>
                <w:p w14:paraId="3E09D20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p>
              </w:tc>
            </w:tr>
            <w:tr w14:paraId="050C89D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876" w:type="dxa"/>
                  <w:tcBorders>
                    <w:tl2br w:val="nil"/>
                    <w:tr2bl w:val="nil"/>
                  </w:tcBorders>
                  <w:vAlign w:val="center"/>
                </w:tcPr>
                <w:p w14:paraId="27CC974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生活污水（</w:t>
                  </w:r>
                  <w:r>
                    <w:rPr>
                      <w:rFonts w:hint="eastAsia" w:ascii="Times New Roman" w:hAnsi="Times New Roman" w:eastAsia="宋体" w:cs="Times New Roman"/>
                      <w:sz w:val="21"/>
                      <w:szCs w:val="21"/>
                      <w:vertAlign w:val="baseline"/>
                      <w:lang w:val="en-US" w:eastAsia="zh-CN"/>
                    </w:rPr>
                    <w:t>含</w:t>
                  </w:r>
                  <w:r>
                    <w:rPr>
                      <w:rFonts w:hint="default" w:ascii="Times New Roman" w:hAnsi="Times New Roman" w:eastAsia="宋体" w:cs="Times New Roman"/>
                      <w:sz w:val="21"/>
                      <w:szCs w:val="21"/>
                      <w:vertAlign w:val="baseline"/>
                      <w:lang w:val="en-US" w:eastAsia="zh-CN"/>
                    </w:rPr>
                    <w:t>食堂废水）</w:t>
                  </w:r>
                </w:p>
              </w:tc>
              <w:tc>
                <w:tcPr>
                  <w:tcW w:w="1323" w:type="dxa"/>
                  <w:tcBorders>
                    <w:tl2br w:val="nil"/>
                    <w:tr2bl w:val="nil"/>
                  </w:tcBorders>
                  <w:vAlign w:val="center"/>
                </w:tcPr>
                <w:p w14:paraId="564FF55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COD、BOD</w:t>
                  </w:r>
                  <w:r>
                    <w:rPr>
                      <w:rFonts w:hint="default" w:ascii="Times New Roman" w:hAnsi="Times New Roman" w:eastAsia="宋体" w:cs="Times New Roman"/>
                      <w:sz w:val="21"/>
                      <w:szCs w:val="21"/>
                      <w:vertAlign w:val="subscript"/>
                      <w:lang w:val="en-US" w:eastAsia="zh-CN"/>
                    </w:rPr>
                    <w:t>5</w:t>
                  </w:r>
                  <w:r>
                    <w:rPr>
                      <w:rFonts w:hint="default" w:ascii="Times New Roman" w:hAnsi="Times New Roman" w:eastAsia="宋体" w:cs="Times New Roman"/>
                      <w:sz w:val="21"/>
                      <w:szCs w:val="21"/>
                      <w:vertAlign w:val="baseline"/>
                      <w:lang w:val="en-US" w:eastAsia="zh-CN"/>
                    </w:rPr>
                    <w:t>、SS、NH</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vertAlign w:val="baseline"/>
                      <w:lang w:val="en-US" w:eastAsia="zh-CN"/>
                    </w:rPr>
                    <w:t>-N、TP、动植物油</w:t>
                  </w:r>
                </w:p>
              </w:tc>
              <w:tc>
                <w:tcPr>
                  <w:tcW w:w="912" w:type="dxa"/>
                  <w:tcBorders>
                    <w:tl2br w:val="nil"/>
                    <w:tr2bl w:val="nil"/>
                  </w:tcBorders>
                  <w:vAlign w:val="center"/>
                </w:tcPr>
                <w:p w14:paraId="6489630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隔油池+化粪池</w:t>
                  </w:r>
                </w:p>
              </w:tc>
              <w:tc>
                <w:tcPr>
                  <w:tcW w:w="975" w:type="dxa"/>
                  <w:tcBorders>
                    <w:tl2br w:val="nil"/>
                    <w:tr2bl w:val="nil"/>
                  </w:tcBorders>
                  <w:vAlign w:val="center"/>
                </w:tcPr>
                <w:p w14:paraId="46399CD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隔油池1m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vertAlign w:val="baseline"/>
                      <w:lang w:val="en-US" w:eastAsia="zh-CN"/>
                    </w:rPr>
                    <w:t>、化粪池20m</w:t>
                  </w:r>
                  <w:r>
                    <w:rPr>
                      <w:rFonts w:hint="eastAsia" w:ascii="Times New Roman" w:hAnsi="Times New Roman" w:eastAsia="宋体" w:cs="Times New Roman"/>
                      <w:sz w:val="21"/>
                      <w:szCs w:val="21"/>
                      <w:vertAlign w:val="superscript"/>
                      <w:lang w:val="en-US" w:eastAsia="zh-CN"/>
                    </w:rPr>
                    <w:t>3</w:t>
                  </w:r>
                </w:p>
              </w:tc>
              <w:tc>
                <w:tcPr>
                  <w:tcW w:w="788" w:type="dxa"/>
                  <w:tcBorders>
                    <w:tl2br w:val="nil"/>
                    <w:tr2bl w:val="nil"/>
                  </w:tcBorders>
                  <w:vAlign w:val="center"/>
                </w:tcPr>
                <w:p w14:paraId="53F15D9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油水分离+沉淀</w:t>
                  </w:r>
                </w:p>
              </w:tc>
              <w:tc>
                <w:tcPr>
                  <w:tcW w:w="950" w:type="dxa"/>
                  <w:tcBorders>
                    <w:tl2br w:val="nil"/>
                    <w:tr2bl w:val="nil"/>
                  </w:tcBorders>
                  <w:vAlign w:val="center"/>
                </w:tcPr>
                <w:p w14:paraId="7B7A463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是</w:t>
                  </w:r>
                </w:p>
              </w:tc>
              <w:tc>
                <w:tcPr>
                  <w:tcW w:w="700" w:type="dxa"/>
                  <w:tcBorders>
                    <w:tl2br w:val="nil"/>
                    <w:tr2bl w:val="nil"/>
                  </w:tcBorders>
                  <w:vAlign w:val="center"/>
                </w:tcPr>
                <w:p w14:paraId="2305B39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675" w:type="dxa"/>
                  <w:tcBorders>
                    <w:tl2br w:val="nil"/>
                    <w:tr2bl w:val="nil"/>
                  </w:tcBorders>
                  <w:vAlign w:val="center"/>
                </w:tcPr>
                <w:p w14:paraId="4CEA104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688" w:type="dxa"/>
                  <w:tcBorders>
                    <w:tl2br w:val="nil"/>
                    <w:tr2bl w:val="nil"/>
                  </w:tcBorders>
                  <w:vAlign w:val="center"/>
                </w:tcPr>
                <w:p w14:paraId="4537618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r>
            <w:tr w14:paraId="7D26298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876" w:type="dxa"/>
                  <w:tcBorders>
                    <w:tl2br w:val="nil"/>
                    <w:tr2bl w:val="nil"/>
                  </w:tcBorders>
                  <w:vAlign w:val="center"/>
                </w:tcPr>
                <w:p w14:paraId="5283794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生产废水</w:t>
                  </w:r>
                </w:p>
              </w:tc>
              <w:tc>
                <w:tcPr>
                  <w:tcW w:w="1323" w:type="dxa"/>
                  <w:tcBorders>
                    <w:tl2br w:val="nil"/>
                    <w:tr2bl w:val="nil"/>
                  </w:tcBorders>
                  <w:vAlign w:val="center"/>
                </w:tcPr>
                <w:p w14:paraId="05F6014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SS、石油类</w:t>
                  </w:r>
                </w:p>
              </w:tc>
              <w:tc>
                <w:tcPr>
                  <w:tcW w:w="912" w:type="dxa"/>
                  <w:tcBorders>
                    <w:tl2br w:val="nil"/>
                    <w:tr2bl w:val="nil"/>
                  </w:tcBorders>
                  <w:vAlign w:val="center"/>
                </w:tcPr>
                <w:p w14:paraId="2226F0B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隔油池+</w:t>
                  </w:r>
                  <w:r>
                    <w:rPr>
                      <w:rFonts w:hint="default" w:ascii="Times New Roman" w:hAnsi="Times New Roman" w:eastAsia="宋体" w:cs="Times New Roman"/>
                      <w:sz w:val="21"/>
                      <w:szCs w:val="21"/>
                      <w:vertAlign w:val="baseline"/>
                      <w:lang w:val="en-US" w:eastAsia="zh-CN"/>
                    </w:rPr>
                    <w:t>三级沉淀池</w:t>
                  </w:r>
                </w:p>
              </w:tc>
              <w:tc>
                <w:tcPr>
                  <w:tcW w:w="975" w:type="dxa"/>
                  <w:tcBorders>
                    <w:tl2br w:val="nil"/>
                    <w:tr2bl w:val="nil"/>
                  </w:tcBorders>
                  <w:vAlign w:val="center"/>
                </w:tcPr>
                <w:p w14:paraId="3A465B6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隔油池处理能力1</w:t>
                  </w:r>
                  <w:r>
                    <w:rPr>
                      <w:rFonts w:hint="default" w:ascii="Times New Roman" w:hAnsi="Times New Roman" w:eastAsia="宋体" w:cs="Times New Roman"/>
                      <w:sz w:val="21"/>
                      <w:szCs w:val="21"/>
                      <w:vertAlign w:val="baseline"/>
                      <w:lang w:val="en-US" w:eastAsia="zh-CN"/>
                    </w:rPr>
                    <w:t>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w:t>
                  </w:r>
                  <w:r>
                    <w:rPr>
                      <w:rFonts w:hint="eastAsia" w:ascii="Times New Roman" w:hAnsi="Times New Roman" w:eastAsia="宋体" w:cs="Times New Roman"/>
                      <w:sz w:val="21"/>
                      <w:szCs w:val="21"/>
                      <w:vertAlign w:val="baseline"/>
                      <w:lang w:val="en-US" w:eastAsia="zh-CN"/>
                    </w:rPr>
                    <w:t>h、三级沉淀池</w:t>
                  </w:r>
                  <w:r>
                    <w:rPr>
                      <w:rFonts w:hint="default" w:ascii="Times New Roman" w:hAnsi="Times New Roman" w:eastAsia="宋体" w:cs="Times New Roman"/>
                      <w:sz w:val="21"/>
                      <w:szCs w:val="21"/>
                      <w:vertAlign w:val="baseline"/>
                      <w:lang w:val="en-US" w:eastAsia="zh-CN"/>
                    </w:rPr>
                    <w:t>30m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/d</w:t>
                  </w:r>
                </w:p>
              </w:tc>
              <w:tc>
                <w:tcPr>
                  <w:tcW w:w="788" w:type="dxa"/>
                  <w:tcBorders>
                    <w:tl2br w:val="nil"/>
                    <w:tr2bl w:val="nil"/>
                  </w:tcBorders>
                  <w:vAlign w:val="center"/>
                </w:tcPr>
                <w:p w14:paraId="55BF3C7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油水分离+沉淀</w:t>
                  </w:r>
                </w:p>
              </w:tc>
              <w:tc>
                <w:tcPr>
                  <w:tcW w:w="950" w:type="dxa"/>
                  <w:tcBorders>
                    <w:tl2br w:val="nil"/>
                    <w:tr2bl w:val="nil"/>
                  </w:tcBorders>
                  <w:vAlign w:val="center"/>
                </w:tcPr>
                <w:p w14:paraId="7C8605F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是</w:t>
                  </w:r>
                </w:p>
              </w:tc>
              <w:tc>
                <w:tcPr>
                  <w:tcW w:w="700" w:type="dxa"/>
                  <w:tcBorders>
                    <w:tl2br w:val="nil"/>
                    <w:tr2bl w:val="nil"/>
                  </w:tcBorders>
                  <w:vAlign w:val="center"/>
                </w:tcPr>
                <w:p w14:paraId="4CED1B1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675" w:type="dxa"/>
                  <w:tcBorders>
                    <w:tl2br w:val="nil"/>
                    <w:tr2bl w:val="nil"/>
                  </w:tcBorders>
                  <w:vAlign w:val="center"/>
                </w:tcPr>
                <w:p w14:paraId="1DBFF1E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688" w:type="dxa"/>
                  <w:tcBorders>
                    <w:tl2br w:val="nil"/>
                    <w:tr2bl w:val="nil"/>
                  </w:tcBorders>
                  <w:vAlign w:val="center"/>
                </w:tcPr>
                <w:p w14:paraId="76CADBC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r>
          </w:tbl>
          <w:p w14:paraId="3A63A2C9">
            <w:pPr>
              <w:keepNext w:val="0"/>
              <w:keepLines w:val="0"/>
              <w:pageBreakBefore w:val="0"/>
              <w:widowControl w:val="0"/>
              <w:kinsoku/>
              <w:overflowPunct/>
              <w:topLinePunct w:val="0"/>
              <w:autoSpaceDE/>
              <w:autoSpaceDN/>
              <w:bidi w:val="0"/>
              <w:adjustRightInd/>
              <w:snapToGrid/>
              <w:spacing w:line="240" w:lineRule="auto"/>
              <w:ind w:firstLine="420" w:firstLineChars="200"/>
              <w:jc w:val="center"/>
              <w:textAlignment w:val="auto"/>
              <w:rPr>
                <w:rFonts w:hint="eastAsia" w:ascii="Times New Roman" w:hAnsi="Times New Roman" w:eastAsia="宋体" w:cs="Times New Roman"/>
                <w:sz w:val="21"/>
                <w:szCs w:val="21"/>
                <w:lang w:val="en-US" w:eastAsia="zh-CN"/>
              </w:rPr>
            </w:pPr>
          </w:p>
          <w:p w14:paraId="4F19B7B6">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sz w:val="24"/>
                <w:szCs w:val="24"/>
                <w:lang w:val="en-US" w:eastAsia="zh-CN"/>
              </w:rPr>
            </w:pPr>
            <w:r>
              <w:rPr>
                <w:rFonts w:hint="eastAsia" w:cs="Times New Roman"/>
                <w:b/>
                <w:bCs/>
                <w:sz w:val="24"/>
                <w:szCs w:val="24"/>
                <w:lang w:val="en-US" w:eastAsia="zh-CN"/>
              </w:rPr>
              <w:t>2.3</w:t>
            </w:r>
            <w:r>
              <w:rPr>
                <w:rFonts w:hint="eastAsia" w:ascii="Times New Roman" w:hAnsi="Times New Roman" w:eastAsia="宋体" w:cs="Times New Roman"/>
                <w:b/>
                <w:bCs/>
                <w:sz w:val="24"/>
                <w:szCs w:val="24"/>
                <w:lang w:val="en-US" w:eastAsia="zh-CN"/>
              </w:rPr>
              <w:t>废水处理可行性分析</w:t>
            </w:r>
          </w:p>
          <w:p w14:paraId="20C01CE0">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（1）生活污水（包括食堂废水）</w:t>
            </w:r>
          </w:p>
          <w:p w14:paraId="7610599E">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本项目生活污水（</w:t>
            </w:r>
            <w:r>
              <w:rPr>
                <w:rFonts w:hint="eastAsia" w:cs="Times New Roman"/>
                <w:sz w:val="24"/>
                <w:szCs w:val="24"/>
                <w:lang w:val="en-US" w:eastAsia="zh-CN"/>
              </w:rPr>
              <w:t>含</w:t>
            </w:r>
            <w:r>
              <w:rPr>
                <w:rFonts w:hint="eastAsia" w:ascii="Times New Roman" w:hAnsi="Times New Roman" w:eastAsia="宋体" w:cs="Times New Roman"/>
                <w:sz w:val="24"/>
                <w:szCs w:val="24"/>
                <w:lang w:val="en-US" w:eastAsia="zh-CN"/>
              </w:rPr>
              <w:t>食堂废水）水质简单，食堂废水经</w:t>
            </w:r>
            <w:r>
              <w:rPr>
                <w:rFonts w:hint="eastAsia" w:cs="Times New Roman"/>
                <w:sz w:val="24"/>
                <w:szCs w:val="24"/>
                <w:lang w:val="en-US" w:eastAsia="zh-CN"/>
              </w:rPr>
              <w:t>隔油池</w:t>
            </w:r>
            <w:r>
              <w:rPr>
                <w:rFonts w:hint="eastAsia" w:ascii="Times New Roman" w:hAnsi="Times New Roman" w:eastAsia="宋体" w:cs="Times New Roman"/>
                <w:sz w:val="24"/>
                <w:szCs w:val="24"/>
                <w:lang w:val="en-US" w:eastAsia="zh-CN"/>
              </w:rPr>
              <w:t>处理后和生活污水一同经</w:t>
            </w:r>
            <w:r>
              <w:rPr>
                <w:rFonts w:hint="eastAsia" w:cs="Times New Roman"/>
                <w:sz w:val="24"/>
                <w:szCs w:val="24"/>
                <w:lang w:val="en-US" w:eastAsia="zh-CN"/>
              </w:rPr>
              <w:t>化粪池</w:t>
            </w:r>
            <w:r>
              <w:rPr>
                <w:rFonts w:hint="eastAsia" w:ascii="Times New Roman" w:hAnsi="Times New Roman" w:eastAsia="宋体" w:cs="Times New Roman"/>
                <w:sz w:val="24"/>
                <w:szCs w:val="24"/>
                <w:lang w:val="en-US" w:eastAsia="zh-CN"/>
              </w:rPr>
              <w:t>处理</w:t>
            </w:r>
            <w:r>
              <w:rPr>
                <w:rFonts w:hint="eastAsia" w:cs="Times New Roman"/>
                <w:sz w:val="24"/>
                <w:szCs w:val="24"/>
                <w:lang w:val="en-US" w:eastAsia="zh-CN"/>
              </w:rPr>
              <w:t>后用作农肥不外排</w:t>
            </w:r>
            <w:r>
              <w:rPr>
                <w:rFonts w:hint="eastAsia" w:ascii="Times New Roman" w:hAnsi="Times New Roman" w:eastAsia="宋体" w:cs="Times New Roman"/>
                <w:sz w:val="24"/>
                <w:szCs w:val="24"/>
                <w:lang w:val="en-US" w:eastAsia="zh-CN"/>
              </w:rPr>
              <w:t>。本项目食堂废水产生量为</w:t>
            </w:r>
            <w:r>
              <w:rPr>
                <w:rFonts w:hint="eastAsia" w:cs="Times New Roman"/>
                <w:sz w:val="24"/>
                <w:szCs w:val="24"/>
                <w:lang w:val="en-US" w:eastAsia="zh-CN"/>
              </w:rPr>
              <w:t>0.68</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/d，本项目设置的</w:t>
            </w:r>
            <w:r>
              <w:rPr>
                <w:rFonts w:hint="eastAsia" w:cs="Times New Roman"/>
                <w:sz w:val="24"/>
                <w:szCs w:val="24"/>
                <w:lang w:val="en-US" w:eastAsia="zh-CN"/>
              </w:rPr>
              <w:t>隔油有效容积1</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，能够满足食堂废水处理需求。本项目生活污水（</w:t>
            </w:r>
            <w:r>
              <w:rPr>
                <w:rFonts w:hint="eastAsia" w:cs="Times New Roman"/>
                <w:sz w:val="24"/>
                <w:szCs w:val="24"/>
                <w:lang w:val="en-US" w:eastAsia="zh-CN"/>
              </w:rPr>
              <w:t>含</w:t>
            </w:r>
            <w:r>
              <w:rPr>
                <w:rFonts w:hint="eastAsia" w:ascii="Times New Roman" w:hAnsi="Times New Roman" w:eastAsia="宋体" w:cs="Times New Roman"/>
                <w:sz w:val="24"/>
                <w:szCs w:val="24"/>
                <w:lang w:val="en-US" w:eastAsia="zh-CN"/>
              </w:rPr>
              <w:t>食堂废水）产生量为</w:t>
            </w:r>
            <w:r>
              <w:rPr>
                <w:rFonts w:hint="eastAsia" w:cs="Times New Roman"/>
                <w:sz w:val="24"/>
                <w:szCs w:val="24"/>
                <w:lang w:val="en-US" w:eastAsia="zh-CN"/>
              </w:rPr>
              <w:t>4.08</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/d，</w:t>
            </w:r>
            <w:r>
              <w:rPr>
                <w:rFonts w:hint="eastAsia" w:cs="Times New Roman"/>
                <w:sz w:val="24"/>
                <w:szCs w:val="24"/>
                <w:lang w:val="en-US" w:eastAsia="zh-CN"/>
              </w:rPr>
              <w:t>化粪池有效容积20</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，废水停留时间按12小时考虑，</w:t>
            </w:r>
            <w:r>
              <w:rPr>
                <w:rFonts w:hint="eastAsia" w:cs="Times New Roman"/>
                <w:sz w:val="24"/>
                <w:szCs w:val="24"/>
                <w:lang w:val="en-US" w:eastAsia="zh-CN"/>
              </w:rPr>
              <w:t>化粪池处理生活污水量为40</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/d，能够满足生活污水（包括食堂废水）处理需求。</w:t>
            </w:r>
          </w:p>
          <w:p w14:paraId="608C9916">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（2）生产废水（车辆</w:t>
            </w:r>
            <w:r>
              <w:rPr>
                <w:rFonts w:hint="eastAsia" w:cs="Times New Roman"/>
                <w:b/>
                <w:bCs/>
                <w:sz w:val="24"/>
                <w:szCs w:val="24"/>
                <w:lang w:val="en-US" w:eastAsia="zh-CN"/>
              </w:rPr>
              <w:t>清洗</w:t>
            </w:r>
            <w:r>
              <w:rPr>
                <w:rFonts w:hint="eastAsia" w:ascii="Times New Roman" w:hAnsi="Times New Roman" w:eastAsia="宋体" w:cs="Times New Roman"/>
                <w:b/>
                <w:bCs/>
                <w:sz w:val="24"/>
                <w:szCs w:val="24"/>
                <w:lang w:val="en-US" w:eastAsia="zh-CN"/>
              </w:rPr>
              <w:t>废水、生产检测中心试验设备清洗废水）</w:t>
            </w:r>
          </w:p>
          <w:p w14:paraId="5B346946">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根据前文水平衡分析，车辆</w:t>
            </w:r>
            <w:r>
              <w:rPr>
                <w:rFonts w:hint="eastAsia" w:cs="Times New Roman"/>
                <w:sz w:val="24"/>
                <w:szCs w:val="24"/>
                <w:lang w:val="en-US" w:eastAsia="zh-CN"/>
              </w:rPr>
              <w:t>清洗</w:t>
            </w:r>
            <w:r>
              <w:rPr>
                <w:rFonts w:hint="eastAsia" w:ascii="Times New Roman" w:hAnsi="Times New Roman" w:eastAsia="宋体" w:cs="Times New Roman"/>
                <w:sz w:val="24"/>
                <w:szCs w:val="24"/>
                <w:lang w:val="en-US" w:eastAsia="zh-CN"/>
              </w:rPr>
              <w:t>过程返回沉淀池水量为</w:t>
            </w:r>
            <w:r>
              <w:rPr>
                <w:rFonts w:hint="eastAsia" w:cs="Times New Roman"/>
                <w:sz w:val="24"/>
                <w:szCs w:val="24"/>
                <w:lang w:val="en-US" w:eastAsia="zh-CN"/>
              </w:rPr>
              <w:t>5.27</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/d，试验设备清洗过程返回沉淀池水量为0.085m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/d，因此，最不利情况下，返回沉淀池水量为</w:t>
            </w:r>
            <w:r>
              <w:rPr>
                <w:rFonts w:hint="eastAsia" w:cs="Times New Roman"/>
                <w:sz w:val="24"/>
                <w:szCs w:val="24"/>
                <w:lang w:val="en-US" w:eastAsia="zh-CN"/>
              </w:rPr>
              <w:t>5.355</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/d。本项目三级沉淀池总容积为30m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，综合停留时间按</w:t>
            </w:r>
            <w:r>
              <w:rPr>
                <w:rFonts w:hint="eastAsia" w:cs="Times New Roman"/>
                <w:sz w:val="24"/>
                <w:szCs w:val="24"/>
                <w:lang w:val="en-US" w:eastAsia="zh-CN"/>
              </w:rPr>
              <w:t>12h</w:t>
            </w:r>
            <w:r>
              <w:rPr>
                <w:rFonts w:hint="eastAsia" w:ascii="Times New Roman" w:hAnsi="Times New Roman" w:eastAsia="宋体" w:cs="Times New Roman"/>
                <w:sz w:val="24"/>
                <w:szCs w:val="24"/>
                <w:lang w:val="en-US" w:eastAsia="zh-CN"/>
              </w:rPr>
              <w:t>计，则三级沉淀池处理能力为</w:t>
            </w:r>
            <w:r>
              <w:rPr>
                <w:rFonts w:hint="eastAsia" w:cs="Times New Roman"/>
                <w:sz w:val="24"/>
                <w:szCs w:val="24"/>
                <w:lang w:val="en-US" w:eastAsia="zh-CN"/>
              </w:rPr>
              <w:t>6</w:t>
            </w:r>
            <w:r>
              <w:rPr>
                <w:rFonts w:hint="eastAsia" w:ascii="Times New Roman" w:hAnsi="Times New Roman" w:eastAsia="宋体" w:cs="Times New Roman"/>
                <w:sz w:val="24"/>
                <w:szCs w:val="24"/>
                <w:lang w:val="en-US" w:eastAsia="zh-CN"/>
              </w:rPr>
              <w:t>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/d，满足回用水量处理需要。</w:t>
            </w:r>
          </w:p>
          <w:p w14:paraId="00A5168D">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本项目生产废水主要污染物为SS</w:t>
            </w:r>
            <w:r>
              <w:rPr>
                <w:rFonts w:hint="eastAsia" w:cs="Times New Roman"/>
                <w:sz w:val="24"/>
                <w:szCs w:val="24"/>
                <w:lang w:val="en-US" w:eastAsia="zh-CN"/>
              </w:rPr>
              <w:t>、石油类</w:t>
            </w:r>
            <w:r>
              <w:rPr>
                <w:rFonts w:hint="eastAsia" w:ascii="Times New Roman" w:hAnsi="Times New Roman" w:eastAsia="宋体" w:cs="Times New Roman"/>
                <w:sz w:val="24"/>
                <w:szCs w:val="24"/>
                <w:lang w:val="en-US" w:eastAsia="zh-CN"/>
              </w:rPr>
              <w:t>，经</w:t>
            </w:r>
            <w:r>
              <w:rPr>
                <w:rFonts w:hint="eastAsia" w:cs="Times New Roman"/>
                <w:sz w:val="24"/>
                <w:szCs w:val="24"/>
                <w:lang w:val="en-US" w:eastAsia="zh-CN"/>
              </w:rPr>
              <w:t>隔油池+</w:t>
            </w:r>
            <w:r>
              <w:rPr>
                <w:rFonts w:hint="eastAsia" w:ascii="Times New Roman" w:hAnsi="Times New Roman" w:eastAsia="宋体" w:cs="Times New Roman"/>
                <w:sz w:val="24"/>
                <w:szCs w:val="24"/>
                <w:lang w:val="en-US" w:eastAsia="zh-CN"/>
              </w:rPr>
              <w:t>三级沉淀池处理后可出去废水中大部分悬浮物</w:t>
            </w:r>
            <w:r>
              <w:rPr>
                <w:rFonts w:hint="eastAsia" w:cs="Times New Roman"/>
                <w:sz w:val="24"/>
                <w:szCs w:val="24"/>
                <w:lang w:val="en-US" w:eastAsia="zh-CN"/>
              </w:rPr>
              <w:t>、石油类</w:t>
            </w:r>
            <w:r>
              <w:rPr>
                <w:rFonts w:hint="eastAsia" w:ascii="Times New Roman" w:hAnsi="Times New Roman" w:eastAsia="宋体" w:cs="Times New Roman"/>
                <w:sz w:val="24"/>
                <w:szCs w:val="24"/>
                <w:lang w:val="en-US" w:eastAsia="zh-CN"/>
              </w:rPr>
              <w:t>，本项目车辆</w:t>
            </w:r>
            <w:r>
              <w:rPr>
                <w:rFonts w:hint="eastAsia" w:cs="Times New Roman"/>
                <w:sz w:val="24"/>
                <w:szCs w:val="24"/>
                <w:lang w:val="en-US" w:eastAsia="zh-CN"/>
              </w:rPr>
              <w:t>清洗</w:t>
            </w:r>
            <w:r>
              <w:rPr>
                <w:rFonts w:hint="eastAsia" w:ascii="Times New Roman" w:hAnsi="Times New Roman" w:eastAsia="宋体" w:cs="Times New Roman"/>
                <w:sz w:val="24"/>
                <w:szCs w:val="24"/>
                <w:lang w:val="en-US" w:eastAsia="zh-CN"/>
              </w:rPr>
              <w:t>用水对水质无特殊要求，经三级沉淀池处理后可回用于</w:t>
            </w:r>
            <w:r>
              <w:rPr>
                <w:rFonts w:hint="eastAsia" w:cs="Times New Roman"/>
                <w:sz w:val="24"/>
                <w:szCs w:val="24"/>
                <w:lang w:val="en-US" w:eastAsia="zh-CN"/>
              </w:rPr>
              <w:t>车辆清洗</w:t>
            </w:r>
            <w:r>
              <w:rPr>
                <w:rFonts w:hint="eastAsia" w:ascii="Times New Roman" w:hAnsi="Times New Roman" w:eastAsia="宋体" w:cs="Times New Roman"/>
                <w:sz w:val="24"/>
                <w:szCs w:val="24"/>
                <w:lang w:val="en-US" w:eastAsia="zh-CN"/>
              </w:rPr>
              <w:t>或洒水降尘。</w:t>
            </w:r>
          </w:p>
          <w:p w14:paraId="32362637">
            <w:pPr>
              <w:spacing w:line="360" w:lineRule="auto"/>
              <w:ind w:firstLine="482" w:firstLineChars="200"/>
              <w:rPr>
                <w:rFonts w:hint="default"/>
                <w:b/>
                <w:sz w:val="24"/>
                <w:highlight w:val="none"/>
                <w:lang w:val="en-US" w:eastAsia="zh-CN"/>
              </w:rPr>
            </w:pPr>
            <w:r>
              <w:rPr>
                <w:rFonts w:hint="eastAsia"/>
                <w:b/>
                <w:sz w:val="24"/>
                <w:highlight w:val="none"/>
                <w:lang w:val="en-US" w:eastAsia="zh-CN"/>
              </w:rPr>
              <w:t>2.4监测要求</w:t>
            </w:r>
          </w:p>
          <w:p w14:paraId="182CF766">
            <w:pPr>
              <w:spacing w:line="360" w:lineRule="auto"/>
              <w:ind w:firstLine="480" w:firstLineChars="200"/>
              <w:rPr>
                <w:rFonts w:hint="default"/>
                <w:b/>
                <w:sz w:val="24"/>
                <w:highlight w:val="none"/>
                <w:lang w:val="en-US" w:eastAsia="zh-CN"/>
              </w:rPr>
            </w:pPr>
            <w:r>
              <w:rPr>
                <w:rFonts w:hint="eastAsia"/>
                <w:b w:val="0"/>
                <w:bCs/>
                <w:sz w:val="24"/>
                <w:highlight w:val="none"/>
                <w:lang w:val="en-US" w:eastAsia="zh-CN"/>
              </w:rPr>
              <w:t>本项目</w:t>
            </w:r>
            <w:r>
              <w:rPr>
                <w:rFonts w:hint="eastAsia" w:ascii="Times New Roman" w:hAnsi="Times New Roman" w:eastAsia="宋体" w:cs="Times New Roman"/>
                <w:sz w:val="24"/>
                <w:szCs w:val="24"/>
                <w:lang w:val="en-US" w:eastAsia="zh-CN"/>
              </w:rPr>
              <w:t>生活污水（</w:t>
            </w:r>
            <w:r>
              <w:rPr>
                <w:rFonts w:hint="eastAsia" w:cs="Times New Roman"/>
                <w:sz w:val="24"/>
                <w:szCs w:val="24"/>
                <w:lang w:val="en-US" w:eastAsia="zh-CN"/>
              </w:rPr>
              <w:t>含</w:t>
            </w:r>
            <w:r>
              <w:rPr>
                <w:rFonts w:hint="eastAsia" w:ascii="Times New Roman" w:hAnsi="Times New Roman" w:eastAsia="宋体" w:cs="Times New Roman"/>
                <w:sz w:val="24"/>
                <w:szCs w:val="24"/>
                <w:lang w:val="en-US" w:eastAsia="zh-CN"/>
              </w:rPr>
              <w:t>食堂废水）和生产废水均</w:t>
            </w:r>
            <w:r>
              <w:rPr>
                <w:rFonts w:hint="eastAsia" w:cs="Times New Roman"/>
                <w:sz w:val="24"/>
                <w:szCs w:val="24"/>
                <w:lang w:val="en-US" w:eastAsia="zh-CN"/>
              </w:rPr>
              <w:t>不</w:t>
            </w:r>
            <w:r>
              <w:rPr>
                <w:rFonts w:hint="eastAsia" w:ascii="Times New Roman" w:hAnsi="Times New Roman" w:eastAsia="宋体" w:cs="Times New Roman"/>
                <w:sz w:val="24"/>
                <w:szCs w:val="24"/>
                <w:lang w:val="en-US" w:eastAsia="zh-CN"/>
              </w:rPr>
              <w:t>外排，无需设置监测计划。</w:t>
            </w:r>
          </w:p>
          <w:p w14:paraId="7E57672D">
            <w:pPr>
              <w:spacing w:line="360" w:lineRule="auto"/>
              <w:ind w:firstLine="482" w:firstLineChars="200"/>
              <w:rPr>
                <w:rFonts w:hint="eastAsia"/>
                <w:b/>
                <w:sz w:val="24"/>
                <w:highlight w:val="none"/>
              </w:rPr>
            </w:pPr>
            <w:r>
              <w:rPr>
                <w:rFonts w:hint="eastAsia"/>
                <w:b/>
                <w:sz w:val="24"/>
                <w:highlight w:val="none"/>
                <w:lang w:val="en-US" w:eastAsia="zh-CN"/>
              </w:rPr>
              <w:t>3、</w:t>
            </w:r>
            <w:r>
              <w:rPr>
                <w:rFonts w:hint="eastAsia"/>
                <w:b/>
                <w:sz w:val="24"/>
                <w:highlight w:val="none"/>
              </w:rPr>
              <w:t>声环境影响和保护措施</w:t>
            </w:r>
          </w:p>
          <w:p w14:paraId="46EEBF2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sz w:val="24"/>
                <w:szCs w:val="24"/>
              </w:rPr>
            </w:pPr>
            <w:r>
              <w:rPr>
                <w:rFonts w:hint="eastAsia" w:cs="Times New Roman"/>
                <w:b/>
                <w:kern w:val="0"/>
                <w:sz w:val="24"/>
                <w:szCs w:val="24"/>
                <w:lang w:val="en-US" w:eastAsia="zh-CN"/>
              </w:rPr>
              <w:t>3.1</w:t>
            </w:r>
            <w:r>
              <w:rPr>
                <w:rFonts w:hint="default" w:ascii="Times New Roman" w:hAnsi="Times New Roman" w:eastAsia="宋体" w:cs="Times New Roman"/>
                <w:b/>
                <w:kern w:val="0"/>
                <w:sz w:val="24"/>
                <w:szCs w:val="24"/>
              </w:rPr>
              <w:t>噪声产生情况和治理措施</w:t>
            </w:r>
          </w:p>
          <w:p w14:paraId="4CC3E7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本项目营运期的主要噪声来源是</w:t>
            </w:r>
            <w:r>
              <w:rPr>
                <w:rFonts w:hint="eastAsia"/>
                <w:b w:val="0"/>
                <w:bCs w:val="0"/>
                <w:sz w:val="24"/>
                <w:szCs w:val="24"/>
                <w:lang w:val="en-US" w:eastAsia="zh-CN"/>
              </w:rPr>
              <w:t>煤粉生产设备</w:t>
            </w:r>
            <w:r>
              <w:rPr>
                <w:rFonts w:hint="eastAsia"/>
                <w:b w:val="0"/>
                <w:bCs w:val="0"/>
                <w:sz w:val="24"/>
                <w:szCs w:val="24"/>
              </w:rPr>
              <w:t>、DGR4000环保型整体式沥青搅拌设备、</w:t>
            </w:r>
            <w:r>
              <w:rPr>
                <w:rFonts w:hint="eastAsia"/>
                <w:b w:val="0"/>
                <w:bCs w:val="0"/>
                <w:sz w:val="24"/>
                <w:szCs w:val="24"/>
                <w:lang w:val="en-US" w:eastAsia="zh-CN"/>
              </w:rPr>
              <w:t>鄂破机</w:t>
            </w:r>
            <w:r>
              <w:rPr>
                <w:rFonts w:hint="eastAsia"/>
                <w:b w:val="0"/>
                <w:bCs w:val="0"/>
                <w:sz w:val="24"/>
                <w:szCs w:val="24"/>
              </w:rPr>
              <w:t>、</w:t>
            </w:r>
            <w:r>
              <w:rPr>
                <w:rFonts w:hint="eastAsia"/>
                <w:b w:val="0"/>
                <w:bCs w:val="0"/>
                <w:sz w:val="24"/>
                <w:szCs w:val="24"/>
                <w:lang w:val="en-US" w:eastAsia="zh-CN"/>
              </w:rPr>
              <w:t>振动筛、</w:t>
            </w:r>
            <w:r>
              <w:rPr>
                <w:rFonts w:hint="eastAsia"/>
                <w:b w:val="0"/>
                <w:bCs w:val="0"/>
                <w:sz w:val="24"/>
                <w:szCs w:val="24"/>
              </w:rPr>
              <w:t>空压机、风机等设备在生产运行过程中产生的空气动力性噪声、机械噪声及电机噪声。生产设备声源位于生产车间内，</w:t>
            </w:r>
            <w:r>
              <w:rPr>
                <w:rFonts w:hint="eastAsia"/>
                <w:b w:val="0"/>
                <w:bCs w:val="0"/>
                <w:sz w:val="24"/>
                <w:szCs w:val="24"/>
                <w:lang w:val="en-US" w:eastAsia="zh-CN"/>
              </w:rPr>
              <w:t>废气治理措施风机位于生产车间内</w:t>
            </w:r>
            <w:r>
              <w:rPr>
                <w:rFonts w:hint="eastAsia"/>
                <w:b w:val="0"/>
                <w:bCs w:val="0"/>
                <w:sz w:val="24"/>
                <w:szCs w:val="24"/>
              </w:rPr>
              <w:t>。根据《环境工程手册 环境噪声控制卷》（2000年）中表6-13中风机的声级LA为63.5-79.5dB，在风机进、出口安装消声器后，噪声可降低10-20dB；本项目所用风机按最大值选择取79.5dB，并采取消声措施（根据业主提供的资料，降噪量取10dB）。项目所用</w:t>
            </w:r>
            <w:r>
              <w:rPr>
                <w:rFonts w:hint="eastAsia"/>
                <w:b w:val="0"/>
                <w:bCs w:val="0"/>
                <w:sz w:val="24"/>
                <w:szCs w:val="24"/>
                <w:lang w:val="en-US" w:eastAsia="zh-CN"/>
              </w:rPr>
              <w:t>空压机</w:t>
            </w:r>
            <w:r>
              <w:rPr>
                <w:rFonts w:hint="eastAsia"/>
                <w:b w:val="0"/>
                <w:bCs w:val="0"/>
                <w:sz w:val="24"/>
                <w:szCs w:val="24"/>
              </w:rPr>
              <w:t>主要噪声为风机带来的噪声，参考风机噪声源强，声级LA取79.5dB。</w:t>
            </w:r>
          </w:p>
          <w:p w14:paraId="0D7D4D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bCs/>
                <w:sz w:val="24"/>
                <w:szCs w:val="24"/>
              </w:rPr>
            </w:pPr>
            <w:r>
              <w:rPr>
                <w:rFonts w:hint="eastAsia"/>
                <w:b w:val="0"/>
                <w:bCs w:val="0"/>
                <w:sz w:val="24"/>
                <w:szCs w:val="24"/>
              </w:rPr>
              <w:t>其他生产设备噪声声源通过类比</w:t>
            </w:r>
            <w:r>
              <w:rPr>
                <w:rFonts w:hint="eastAsia"/>
                <w:b w:val="0"/>
                <w:bCs w:val="0"/>
                <w:sz w:val="24"/>
                <w:szCs w:val="24"/>
                <w:lang w:val="en-US" w:eastAsia="zh-CN"/>
              </w:rPr>
              <w:t>同类</w:t>
            </w:r>
            <w:r>
              <w:rPr>
                <w:rFonts w:hint="eastAsia"/>
                <w:b w:val="0"/>
                <w:bCs w:val="0"/>
                <w:sz w:val="24"/>
                <w:szCs w:val="24"/>
              </w:rPr>
              <w:t>项目噪声声源源强进行分析，本项目各种噪声源统计见下表：</w:t>
            </w:r>
          </w:p>
          <w:p w14:paraId="31FEED69">
            <w:pPr>
              <w:numPr>
                <w:ilvl w:val="0"/>
                <w:numId w:val="6"/>
              </w:numPr>
              <w:ind w:left="420" w:leftChars="0" w:hanging="420" w:firstLineChars="0"/>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主要设备噪声源强</w:t>
            </w:r>
            <w:r>
              <w:rPr>
                <w:rFonts w:hint="eastAsia" w:cs="Times New Roman"/>
                <w:b/>
                <w:bCs/>
                <w:szCs w:val="21"/>
                <w:lang w:val="en-US" w:eastAsia="zh-CN"/>
              </w:rPr>
              <w:t xml:space="preserve">    </w:t>
            </w:r>
            <w:r>
              <w:rPr>
                <w:rFonts w:hint="eastAsia" w:ascii="Times New Roman" w:hAnsi="Times New Roman" w:eastAsia="宋体" w:cs="Times New Roman"/>
                <w:b/>
                <w:bCs/>
                <w:szCs w:val="21"/>
                <w:lang w:val="en-US" w:eastAsia="zh-CN"/>
              </w:rPr>
              <w:t>单位（dB（A））</w:t>
            </w:r>
          </w:p>
          <w:tbl>
            <w:tblPr>
              <w:tblStyle w:val="26"/>
              <w:tblW w:w="7949"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928"/>
              <w:gridCol w:w="3789"/>
              <w:gridCol w:w="1200"/>
              <w:gridCol w:w="2032"/>
            </w:tblGrid>
            <w:tr w14:paraId="42F5199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928" w:type="dxa"/>
                  <w:tcBorders>
                    <w:tl2br w:val="nil"/>
                    <w:tr2bl w:val="nil"/>
                  </w:tcBorders>
                  <w:noWrap w:val="0"/>
                  <w:vAlign w:val="center"/>
                </w:tcPr>
                <w:p w14:paraId="494D034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序号</w:t>
                  </w:r>
                </w:p>
              </w:tc>
              <w:tc>
                <w:tcPr>
                  <w:tcW w:w="3789" w:type="dxa"/>
                  <w:tcBorders>
                    <w:tl2br w:val="nil"/>
                    <w:tr2bl w:val="nil"/>
                  </w:tcBorders>
                  <w:noWrap w:val="0"/>
                  <w:vAlign w:val="center"/>
                </w:tcPr>
                <w:p w14:paraId="705F991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噪声源</w:t>
                  </w:r>
                </w:p>
              </w:tc>
              <w:tc>
                <w:tcPr>
                  <w:tcW w:w="1200" w:type="dxa"/>
                  <w:tcBorders>
                    <w:tl2br w:val="nil"/>
                    <w:tr2bl w:val="nil"/>
                  </w:tcBorders>
                  <w:noWrap w:val="0"/>
                  <w:vAlign w:val="center"/>
                </w:tcPr>
                <w:p w14:paraId="6F7DCAD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数量</w:t>
                  </w:r>
                </w:p>
              </w:tc>
              <w:tc>
                <w:tcPr>
                  <w:tcW w:w="2032" w:type="dxa"/>
                  <w:tcBorders>
                    <w:tl2br w:val="nil"/>
                    <w:tr2bl w:val="nil"/>
                  </w:tcBorders>
                  <w:noWrap w:val="0"/>
                  <w:vAlign w:val="center"/>
                </w:tcPr>
                <w:p w14:paraId="76BD43E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噪声源强(dB(A))</w:t>
                  </w:r>
                </w:p>
              </w:tc>
            </w:tr>
            <w:tr w14:paraId="5E64208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928" w:type="dxa"/>
                  <w:tcBorders>
                    <w:tl2br w:val="nil"/>
                    <w:tr2bl w:val="nil"/>
                  </w:tcBorders>
                  <w:noWrap w:val="0"/>
                  <w:vAlign w:val="center"/>
                </w:tcPr>
                <w:p w14:paraId="10C1049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3789" w:type="dxa"/>
                  <w:tcBorders>
                    <w:tl2br w:val="nil"/>
                    <w:tr2bl w:val="nil"/>
                  </w:tcBorders>
                  <w:noWrap w:val="0"/>
                  <w:vAlign w:val="center"/>
                </w:tcPr>
                <w:p w14:paraId="1CF3EAE9">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s="Times New Roman"/>
                      <w:color w:val="auto"/>
                      <w:lang w:val="en-US" w:eastAsia="zh-CN"/>
                    </w:rPr>
                    <w:t>煤粉生产设备</w:t>
                  </w:r>
                </w:p>
              </w:tc>
              <w:tc>
                <w:tcPr>
                  <w:tcW w:w="1200" w:type="dxa"/>
                  <w:tcBorders>
                    <w:tl2br w:val="nil"/>
                    <w:tr2bl w:val="nil"/>
                  </w:tcBorders>
                  <w:noWrap w:val="0"/>
                  <w:vAlign w:val="center"/>
                </w:tcPr>
                <w:p w14:paraId="5FFEEB5A">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bCs/>
                      <w:color w:val="000000"/>
                      <w:kern w:val="2"/>
                      <w:sz w:val="21"/>
                      <w:szCs w:val="21"/>
                      <w:lang w:val="en-US" w:eastAsia="zh-CN" w:bidi="ar-SA"/>
                    </w:rPr>
                  </w:pPr>
                  <w:r>
                    <w:rPr>
                      <w:rFonts w:hint="eastAsia" w:cs="Times New Roman"/>
                      <w:color w:val="auto"/>
                      <w:lang w:val="en-US" w:eastAsia="zh-CN"/>
                    </w:rPr>
                    <w:t>1</w:t>
                  </w:r>
                  <w:r>
                    <w:rPr>
                      <w:rFonts w:hint="default" w:ascii="Times New Roman" w:hAnsi="Times New Roman" w:eastAsia="宋体" w:cs="Times New Roman"/>
                      <w:color w:val="auto"/>
                      <w:lang w:val="en-US" w:eastAsia="zh-CN"/>
                    </w:rPr>
                    <w:t>台</w:t>
                  </w:r>
                </w:p>
              </w:tc>
              <w:tc>
                <w:tcPr>
                  <w:tcW w:w="2032" w:type="dxa"/>
                  <w:tcBorders>
                    <w:tl2br w:val="nil"/>
                    <w:tr2bl w:val="nil"/>
                  </w:tcBorders>
                  <w:noWrap w:val="0"/>
                  <w:vAlign w:val="center"/>
                </w:tcPr>
                <w:p w14:paraId="1CB1343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98</w:t>
                  </w:r>
                </w:p>
              </w:tc>
            </w:tr>
            <w:tr w14:paraId="1BC5378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928" w:type="dxa"/>
                  <w:tcBorders>
                    <w:tl2br w:val="nil"/>
                    <w:tr2bl w:val="nil"/>
                  </w:tcBorders>
                  <w:noWrap w:val="0"/>
                  <w:vAlign w:val="center"/>
                </w:tcPr>
                <w:p w14:paraId="66DB86A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3789" w:type="dxa"/>
                  <w:tcBorders>
                    <w:tl2br w:val="nil"/>
                    <w:tr2bl w:val="nil"/>
                  </w:tcBorders>
                  <w:noWrap w:val="0"/>
                  <w:vAlign w:val="center"/>
                </w:tcPr>
                <w:p w14:paraId="1B9E8DDC">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DGR4000环保型整体式沥青搅拌设备</w:t>
                  </w:r>
                </w:p>
              </w:tc>
              <w:tc>
                <w:tcPr>
                  <w:tcW w:w="1200" w:type="dxa"/>
                  <w:tcBorders>
                    <w:tl2br w:val="nil"/>
                    <w:tr2bl w:val="nil"/>
                  </w:tcBorders>
                  <w:noWrap w:val="0"/>
                  <w:vAlign w:val="center"/>
                </w:tcPr>
                <w:p w14:paraId="1B45C4F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Cs/>
                      <w:color w:val="000000"/>
                      <w:kern w:val="2"/>
                      <w:sz w:val="21"/>
                      <w:szCs w:val="21"/>
                      <w:lang w:val="en-US" w:eastAsia="zh-CN" w:bidi="ar-SA"/>
                    </w:rPr>
                  </w:pPr>
                  <w:r>
                    <w:rPr>
                      <w:rFonts w:hint="eastAsia" w:cs="Times New Roman"/>
                      <w:color w:val="auto"/>
                      <w:lang w:val="en-US" w:eastAsia="zh-CN"/>
                    </w:rPr>
                    <w:t>1</w:t>
                  </w:r>
                  <w:r>
                    <w:rPr>
                      <w:rFonts w:hint="default" w:ascii="Times New Roman" w:hAnsi="Times New Roman" w:eastAsia="宋体" w:cs="Times New Roman"/>
                      <w:color w:val="auto"/>
                      <w:lang w:val="en-US" w:eastAsia="zh-CN"/>
                    </w:rPr>
                    <w:t>台</w:t>
                  </w:r>
                </w:p>
              </w:tc>
              <w:tc>
                <w:tcPr>
                  <w:tcW w:w="2032" w:type="dxa"/>
                  <w:tcBorders>
                    <w:tl2br w:val="nil"/>
                    <w:tr2bl w:val="nil"/>
                  </w:tcBorders>
                  <w:noWrap w:val="0"/>
                  <w:vAlign w:val="center"/>
                </w:tcPr>
                <w:p w14:paraId="23BF1B5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95</w:t>
                  </w:r>
                </w:p>
              </w:tc>
            </w:tr>
            <w:tr w14:paraId="3AC2C11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928" w:type="dxa"/>
                  <w:tcBorders>
                    <w:tl2br w:val="nil"/>
                    <w:tr2bl w:val="nil"/>
                  </w:tcBorders>
                  <w:noWrap w:val="0"/>
                  <w:vAlign w:val="center"/>
                </w:tcPr>
                <w:p w14:paraId="253AC6F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3789" w:type="dxa"/>
                  <w:tcBorders>
                    <w:tl2br w:val="nil"/>
                    <w:tr2bl w:val="nil"/>
                  </w:tcBorders>
                  <w:noWrap w:val="0"/>
                  <w:vAlign w:val="center"/>
                </w:tcPr>
                <w:p w14:paraId="4D32F0D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鄂破机</w:t>
                  </w:r>
                </w:p>
              </w:tc>
              <w:tc>
                <w:tcPr>
                  <w:tcW w:w="1200" w:type="dxa"/>
                  <w:tcBorders>
                    <w:tl2br w:val="nil"/>
                    <w:tr2bl w:val="nil"/>
                  </w:tcBorders>
                  <w:noWrap w:val="0"/>
                  <w:vAlign w:val="center"/>
                </w:tcPr>
                <w:p w14:paraId="3D597E8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Cs/>
                      <w:color w:val="000000"/>
                      <w:kern w:val="2"/>
                      <w:sz w:val="21"/>
                      <w:szCs w:val="21"/>
                      <w:lang w:val="en-US" w:eastAsia="zh-CN" w:bidi="ar-SA"/>
                    </w:rPr>
                  </w:pPr>
                  <w:r>
                    <w:rPr>
                      <w:rFonts w:hint="eastAsia" w:cs="Times New Roman"/>
                      <w:color w:val="auto"/>
                      <w:lang w:val="en-US" w:eastAsia="zh-CN"/>
                    </w:rPr>
                    <w:t>1</w:t>
                  </w:r>
                  <w:r>
                    <w:rPr>
                      <w:rFonts w:hint="default" w:ascii="Times New Roman" w:hAnsi="Times New Roman" w:eastAsia="宋体" w:cs="Times New Roman"/>
                      <w:color w:val="auto"/>
                      <w:lang w:val="en-US" w:eastAsia="zh-CN"/>
                    </w:rPr>
                    <w:t>台</w:t>
                  </w:r>
                </w:p>
              </w:tc>
              <w:tc>
                <w:tcPr>
                  <w:tcW w:w="2032" w:type="dxa"/>
                  <w:tcBorders>
                    <w:tl2br w:val="nil"/>
                    <w:tr2bl w:val="nil"/>
                  </w:tcBorders>
                  <w:noWrap w:val="0"/>
                  <w:vAlign w:val="center"/>
                </w:tcPr>
                <w:p w14:paraId="40C356E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98</w:t>
                  </w:r>
                </w:p>
              </w:tc>
            </w:tr>
            <w:tr w14:paraId="04CA2F8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928" w:type="dxa"/>
                  <w:tcBorders>
                    <w:tl2br w:val="nil"/>
                    <w:tr2bl w:val="nil"/>
                  </w:tcBorders>
                  <w:noWrap w:val="0"/>
                  <w:vAlign w:val="center"/>
                </w:tcPr>
                <w:p w14:paraId="1E59AA7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3789" w:type="dxa"/>
                  <w:tcBorders>
                    <w:tl2br w:val="nil"/>
                    <w:tr2bl w:val="nil"/>
                  </w:tcBorders>
                  <w:noWrap w:val="0"/>
                  <w:vAlign w:val="center"/>
                </w:tcPr>
                <w:p w14:paraId="12C2D9D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振动筛</w:t>
                  </w:r>
                </w:p>
              </w:tc>
              <w:tc>
                <w:tcPr>
                  <w:tcW w:w="1200" w:type="dxa"/>
                  <w:tcBorders>
                    <w:tl2br w:val="nil"/>
                    <w:tr2bl w:val="nil"/>
                  </w:tcBorders>
                  <w:noWrap w:val="0"/>
                  <w:vAlign w:val="center"/>
                </w:tcPr>
                <w:p w14:paraId="7705349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auto"/>
                      <w:lang w:val="en-US" w:eastAsia="zh-CN"/>
                    </w:rPr>
                    <w:t>1</w:t>
                  </w:r>
                  <w:r>
                    <w:rPr>
                      <w:rFonts w:hint="default" w:ascii="Times New Roman" w:hAnsi="Times New Roman" w:eastAsia="宋体" w:cs="Times New Roman"/>
                      <w:color w:val="auto"/>
                      <w:lang w:val="en-US" w:eastAsia="zh-CN"/>
                    </w:rPr>
                    <w:t>台</w:t>
                  </w:r>
                </w:p>
              </w:tc>
              <w:tc>
                <w:tcPr>
                  <w:tcW w:w="2032" w:type="dxa"/>
                  <w:tcBorders>
                    <w:tl2br w:val="nil"/>
                    <w:tr2bl w:val="nil"/>
                  </w:tcBorders>
                  <w:noWrap w:val="0"/>
                  <w:vAlign w:val="center"/>
                </w:tcPr>
                <w:p w14:paraId="642DA50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95</w:t>
                  </w:r>
                </w:p>
              </w:tc>
            </w:tr>
            <w:tr w14:paraId="70C8ED6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928" w:type="dxa"/>
                  <w:tcBorders>
                    <w:tl2br w:val="nil"/>
                    <w:tr2bl w:val="nil"/>
                  </w:tcBorders>
                  <w:noWrap w:val="0"/>
                  <w:vAlign w:val="center"/>
                </w:tcPr>
                <w:p w14:paraId="0411381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5</w:t>
                  </w:r>
                </w:p>
              </w:tc>
              <w:tc>
                <w:tcPr>
                  <w:tcW w:w="3789" w:type="dxa"/>
                  <w:tcBorders>
                    <w:tl2br w:val="nil"/>
                    <w:tr2bl w:val="nil"/>
                  </w:tcBorders>
                  <w:noWrap w:val="0"/>
                  <w:vAlign w:val="center"/>
                </w:tcPr>
                <w:p w14:paraId="72211E04">
                  <w:pPr>
                    <w:keepNext w:val="0"/>
                    <w:keepLines w:val="0"/>
                    <w:pageBreakBefore w:val="0"/>
                    <w:kinsoku/>
                    <w:wordWrap/>
                    <w:overflowPunct/>
                    <w:topLinePunct w:val="0"/>
                    <w:autoSpaceDE/>
                    <w:autoSpaceDN/>
                    <w:bidi w:val="0"/>
                    <w:adjustRightInd/>
                    <w:snapToGrid/>
                    <w:spacing w:line="240" w:lineRule="exact"/>
                    <w:jc w:val="center"/>
                    <w:rPr>
                      <w:rFonts w:hint="eastAsia" w:cs="Times New Roman"/>
                      <w:color w:val="000000"/>
                      <w:kern w:val="2"/>
                      <w:sz w:val="21"/>
                      <w:szCs w:val="21"/>
                      <w:lang w:val="en-US" w:eastAsia="zh-CN" w:bidi="ar-SA"/>
                    </w:rPr>
                  </w:pPr>
                  <w:r>
                    <w:rPr>
                      <w:rFonts w:hint="eastAsia" w:cs="Times New Roman"/>
                      <w:color w:val="000000"/>
                      <w:kern w:val="2"/>
                      <w:sz w:val="21"/>
                      <w:szCs w:val="21"/>
                      <w:lang w:val="en-US" w:eastAsia="zh-CN" w:bidi="ar-SA"/>
                    </w:rPr>
                    <w:t>乳化沥青生产设备</w:t>
                  </w:r>
                </w:p>
              </w:tc>
              <w:tc>
                <w:tcPr>
                  <w:tcW w:w="1200" w:type="dxa"/>
                  <w:tcBorders>
                    <w:tl2br w:val="nil"/>
                    <w:tr2bl w:val="nil"/>
                  </w:tcBorders>
                  <w:noWrap w:val="0"/>
                  <w:vAlign w:val="center"/>
                </w:tcPr>
                <w:p w14:paraId="77BCC163">
                  <w:pPr>
                    <w:keepNext w:val="0"/>
                    <w:keepLines w:val="0"/>
                    <w:pageBreakBefore w:val="0"/>
                    <w:kinsoku/>
                    <w:wordWrap/>
                    <w:overflowPunct/>
                    <w:topLinePunct w:val="0"/>
                    <w:autoSpaceDE/>
                    <w:autoSpaceDN/>
                    <w:bidi w:val="0"/>
                    <w:adjustRightInd/>
                    <w:snapToGrid/>
                    <w:spacing w:line="240" w:lineRule="exact"/>
                    <w:jc w:val="center"/>
                    <w:rPr>
                      <w:rFonts w:hint="default" w:cs="Times New Roman"/>
                      <w:color w:val="auto"/>
                      <w:lang w:val="en-US" w:eastAsia="zh-CN"/>
                    </w:rPr>
                  </w:pPr>
                  <w:r>
                    <w:rPr>
                      <w:rFonts w:hint="eastAsia" w:cs="Times New Roman"/>
                      <w:color w:val="auto"/>
                      <w:lang w:val="en-US" w:eastAsia="zh-CN"/>
                    </w:rPr>
                    <w:t>1台</w:t>
                  </w:r>
                </w:p>
              </w:tc>
              <w:tc>
                <w:tcPr>
                  <w:tcW w:w="2032" w:type="dxa"/>
                  <w:tcBorders>
                    <w:tl2br w:val="nil"/>
                    <w:tr2bl w:val="nil"/>
                  </w:tcBorders>
                  <w:noWrap w:val="0"/>
                  <w:vAlign w:val="center"/>
                </w:tcPr>
                <w:p w14:paraId="188C7C2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sz w:val="21"/>
                      <w:szCs w:val="21"/>
                      <w:lang w:val="en-US" w:eastAsia="zh-CN"/>
                    </w:rPr>
                  </w:pPr>
                  <w:r>
                    <w:rPr>
                      <w:rFonts w:hint="eastAsia" w:cs="Times New Roman"/>
                      <w:sz w:val="21"/>
                      <w:szCs w:val="21"/>
                      <w:lang w:val="en-US" w:eastAsia="zh-CN"/>
                    </w:rPr>
                    <w:t>90</w:t>
                  </w:r>
                </w:p>
              </w:tc>
            </w:tr>
            <w:tr w14:paraId="1B3227F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928" w:type="dxa"/>
                  <w:tcBorders>
                    <w:tl2br w:val="nil"/>
                    <w:tr2bl w:val="nil"/>
                  </w:tcBorders>
                  <w:noWrap w:val="0"/>
                  <w:vAlign w:val="center"/>
                </w:tcPr>
                <w:p w14:paraId="540C5E9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sz w:val="21"/>
                      <w:szCs w:val="21"/>
                      <w:lang w:val="en-US" w:eastAsia="zh-CN"/>
                    </w:rPr>
                  </w:pPr>
                  <w:r>
                    <w:rPr>
                      <w:rFonts w:hint="eastAsia" w:cs="Times New Roman"/>
                      <w:sz w:val="21"/>
                      <w:szCs w:val="21"/>
                      <w:lang w:val="en-US" w:eastAsia="zh-CN"/>
                    </w:rPr>
                    <w:t>6</w:t>
                  </w:r>
                </w:p>
              </w:tc>
              <w:tc>
                <w:tcPr>
                  <w:tcW w:w="3789" w:type="dxa"/>
                  <w:tcBorders>
                    <w:tl2br w:val="nil"/>
                    <w:tr2bl w:val="nil"/>
                  </w:tcBorders>
                  <w:noWrap w:val="0"/>
                  <w:vAlign w:val="center"/>
                </w:tcPr>
                <w:p w14:paraId="77D5D063">
                  <w:pPr>
                    <w:keepNext w:val="0"/>
                    <w:keepLines w:val="0"/>
                    <w:pageBreakBefore w:val="0"/>
                    <w:kinsoku/>
                    <w:wordWrap/>
                    <w:overflowPunct/>
                    <w:topLinePunct w:val="0"/>
                    <w:autoSpaceDE/>
                    <w:autoSpaceDN/>
                    <w:bidi w:val="0"/>
                    <w:adjustRightInd/>
                    <w:snapToGrid/>
                    <w:spacing w:line="240" w:lineRule="exact"/>
                    <w:jc w:val="center"/>
                    <w:rPr>
                      <w:rFonts w:hint="default" w:cs="Times New Roman"/>
                      <w:color w:val="000000"/>
                      <w:kern w:val="2"/>
                      <w:sz w:val="21"/>
                      <w:szCs w:val="21"/>
                      <w:lang w:val="en-US" w:eastAsia="zh-CN" w:bidi="ar-SA"/>
                    </w:rPr>
                  </w:pPr>
                  <w:r>
                    <w:rPr>
                      <w:rFonts w:hint="eastAsia" w:cs="Times New Roman"/>
                      <w:color w:val="000000"/>
                      <w:kern w:val="2"/>
                      <w:sz w:val="21"/>
                      <w:szCs w:val="21"/>
                      <w:lang w:val="en-US" w:eastAsia="zh-CN" w:bidi="ar-SA"/>
                    </w:rPr>
                    <w:t>导热油炉</w:t>
                  </w:r>
                </w:p>
              </w:tc>
              <w:tc>
                <w:tcPr>
                  <w:tcW w:w="1200" w:type="dxa"/>
                  <w:tcBorders>
                    <w:tl2br w:val="nil"/>
                    <w:tr2bl w:val="nil"/>
                  </w:tcBorders>
                  <w:noWrap w:val="0"/>
                  <w:vAlign w:val="center"/>
                </w:tcPr>
                <w:p w14:paraId="3E7E99EF">
                  <w:pPr>
                    <w:keepNext w:val="0"/>
                    <w:keepLines w:val="0"/>
                    <w:pageBreakBefore w:val="0"/>
                    <w:kinsoku/>
                    <w:wordWrap/>
                    <w:overflowPunct/>
                    <w:topLinePunct w:val="0"/>
                    <w:autoSpaceDE/>
                    <w:autoSpaceDN/>
                    <w:bidi w:val="0"/>
                    <w:adjustRightInd/>
                    <w:snapToGrid/>
                    <w:spacing w:line="240" w:lineRule="exact"/>
                    <w:jc w:val="center"/>
                    <w:rPr>
                      <w:rFonts w:hint="default" w:cs="Times New Roman"/>
                      <w:color w:val="auto"/>
                      <w:lang w:val="en-US" w:eastAsia="zh-CN"/>
                    </w:rPr>
                  </w:pPr>
                  <w:r>
                    <w:rPr>
                      <w:rFonts w:hint="eastAsia" w:cs="Times New Roman"/>
                      <w:color w:val="auto"/>
                      <w:lang w:val="en-US" w:eastAsia="zh-CN"/>
                    </w:rPr>
                    <w:t>1台</w:t>
                  </w:r>
                </w:p>
              </w:tc>
              <w:tc>
                <w:tcPr>
                  <w:tcW w:w="2032" w:type="dxa"/>
                  <w:tcBorders>
                    <w:tl2br w:val="nil"/>
                    <w:tr2bl w:val="nil"/>
                  </w:tcBorders>
                  <w:noWrap w:val="0"/>
                  <w:vAlign w:val="center"/>
                </w:tcPr>
                <w:p w14:paraId="7E9761F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sz w:val="21"/>
                      <w:szCs w:val="21"/>
                      <w:lang w:val="en-US" w:eastAsia="zh-CN"/>
                    </w:rPr>
                  </w:pPr>
                  <w:r>
                    <w:rPr>
                      <w:rFonts w:hint="eastAsia" w:cs="Times New Roman"/>
                      <w:sz w:val="21"/>
                      <w:szCs w:val="21"/>
                      <w:lang w:val="en-US" w:eastAsia="zh-CN"/>
                    </w:rPr>
                    <w:t>90</w:t>
                  </w:r>
                </w:p>
              </w:tc>
            </w:tr>
            <w:tr w14:paraId="695103A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928" w:type="dxa"/>
                  <w:tcBorders>
                    <w:tl2br w:val="nil"/>
                    <w:tr2bl w:val="nil"/>
                  </w:tcBorders>
                  <w:noWrap w:val="0"/>
                  <w:vAlign w:val="center"/>
                </w:tcPr>
                <w:p w14:paraId="27277C5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sz w:val="21"/>
                      <w:szCs w:val="21"/>
                      <w:lang w:val="en-US" w:eastAsia="zh-CN"/>
                    </w:rPr>
                  </w:pPr>
                  <w:r>
                    <w:rPr>
                      <w:rFonts w:hint="eastAsia" w:cs="Times New Roman"/>
                      <w:sz w:val="21"/>
                      <w:szCs w:val="21"/>
                      <w:lang w:val="en-US" w:eastAsia="zh-CN"/>
                    </w:rPr>
                    <w:t>7</w:t>
                  </w:r>
                </w:p>
              </w:tc>
              <w:tc>
                <w:tcPr>
                  <w:tcW w:w="3789" w:type="dxa"/>
                  <w:tcBorders>
                    <w:tl2br w:val="nil"/>
                    <w:tr2bl w:val="nil"/>
                  </w:tcBorders>
                  <w:noWrap w:val="0"/>
                  <w:vAlign w:val="center"/>
                </w:tcPr>
                <w:p w14:paraId="48684B05">
                  <w:pPr>
                    <w:keepNext w:val="0"/>
                    <w:keepLines w:val="0"/>
                    <w:pageBreakBefore w:val="0"/>
                    <w:kinsoku/>
                    <w:wordWrap/>
                    <w:overflowPunct/>
                    <w:topLinePunct w:val="0"/>
                    <w:autoSpaceDE/>
                    <w:autoSpaceDN/>
                    <w:bidi w:val="0"/>
                    <w:adjustRightInd/>
                    <w:snapToGrid/>
                    <w:spacing w:line="240" w:lineRule="exact"/>
                    <w:jc w:val="center"/>
                    <w:rPr>
                      <w:rFonts w:hint="default" w:cs="Times New Roman"/>
                      <w:color w:val="000000"/>
                      <w:kern w:val="2"/>
                      <w:sz w:val="21"/>
                      <w:szCs w:val="21"/>
                      <w:lang w:val="en-US" w:eastAsia="zh-CN" w:bidi="ar-SA"/>
                    </w:rPr>
                  </w:pPr>
                  <w:r>
                    <w:rPr>
                      <w:rFonts w:hint="eastAsia" w:cs="Times New Roman"/>
                      <w:color w:val="000000"/>
                      <w:kern w:val="2"/>
                      <w:sz w:val="21"/>
                      <w:szCs w:val="21"/>
                      <w:lang w:val="en-US" w:eastAsia="zh-CN" w:bidi="ar-SA"/>
                    </w:rPr>
                    <w:t>天然气热风炉</w:t>
                  </w:r>
                </w:p>
              </w:tc>
              <w:tc>
                <w:tcPr>
                  <w:tcW w:w="1200" w:type="dxa"/>
                  <w:tcBorders>
                    <w:tl2br w:val="nil"/>
                    <w:tr2bl w:val="nil"/>
                  </w:tcBorders>
                  <w:noWrap w:val="0"/>
                  <w:vAlign w:val="center"/>
                </w:tcPr>
                <w:p w14:paraId="4ECC4B49">
                  <w:pPr>
                    <w:keepNext w:val="0"/>
                    <w:keepLines w:val="0"/>
                    <w:pageBreakBefore w:val="0"/>
                    <w:kinsoku/>
                    <w:wordWrap/>
                    <w:overflowPunct/>
                    <w:topLinePunct w:val="0"/>
                    <w:autoSpaceDE/>
                    <w:autoSpaceDN/>
                    <w:bidi w:val="0"/>
                    <w:adjustRightInd/>
                    <w:snapToGrid/>
                    <w:spacing w:line="240" w:lineRule="exact"/>
                    <w:jc w:val="center"/>
                    <w:rPr>
                      <w:rFonts w:hint="default" w:cs="Times New Roman"/>
                      <w:color w:val="auto"/>
                      <w:lang w:val="en-US" w:eastAsia="zh-CN"/>
                    </w:rPr>
                  </w:pPr>
                  <w:r>
                    <w:rPr>
                      <w:rFonts w:hint="eastAsia" w:cs="Times New Roman"/>
                      <w:color w:val="auto"/>
                      <w:lang w:val="en-US" w:eastAsia="zh-CN"/>
                    </w:rPr>
                    <w:t>1台</w:t>
                  </w:r>
                </w:p>
              </w:tc>
              <w:tc>
                <w:tcPr>
                  <w:tcW w:w="2032" w:type="dxa"/>
                  <w:tcBorders>
                    <w:tl2br w:val="nil"/>
                    <w:tr2bl w:val="nil"/>
                  </w:tcBorders>
                  <w:noWrap w:val="0"/>
                  <w:vAlign w:val="center"/>
                </w:tcPr>
                <w:p w14:paraId="281177D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sz w:val="21"/>
                      <w:szCs w:val="21"/>
                      <w:lang w:val="en-US" w:eastAsia="zh-CN"/>
                    </w:rPr>
                  </w:pPr>
                  <w:r>
                    <w:rPr>
                      <w:rFonts w:hint="eastAsia" w:cs="Times New Roman"/>
                      <w:sz w:val="21"/>
                      <w:szCs w:val="21"/>
                      <w:lang w:val="en-US" w:eastAsia="zh-CN"/>
                    </w:rPr>
                    <w:t>90</w:t>
                  </w:r>
                </w:p>
              </w:tc>
            </w:tr>
            <w:tr w14:paraId="05E8FEB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59" w:hRule="atLeast"/>
                <w:jc w:val="center"/>
              </w:trPr>
              <w:tc>
                <w:tcPr>
                  <w:tcW w:w="928" w:type="dxa"/>
                  <w:tcBorders>
                    <w:tl2br w:val="nil"/>
                    <w:tr2bl w:val="nil"/>
                  </w:tcBorders>
                  <w:noWrap w:val="0"/>
                  <w:vAlign w:val="center"/>
                </w:tcPr>
                <w:p w14:paraId="0E7533C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8</w:t>
                  </w:r>
                </w:p>
              </w:tc>
              <w:tc>
                <w:tcPr>
                  <w:tcW w:w="3789" w:type="dxa"/>
                  <w:tcBorders>
                    <w:tl2br w:val="nil"/>
                    <w:tr2bl w:val="nil"/>
                  </w:tcBorders>
                  <w:noWrap w:val="0"/>
                  <w:vAlign w:val="center"/>
                </w:tcPr>
                <w:p w14:paraId="3B0D4E52">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lang w:val="en-US" w:eastAsia="zh-CN"/>
                    </w:rPr>
                    <w:t>空压机</w:t>
                  </w:r>
                </w:p>
              </w:tc>
              <w:tc>
                <w:tcPr>
                  <w:tcW w:w="1200" w:type="dxa"/>
                  <w:tcBorders>
                    <w:tl2br w:val="nil"/>
                    <w:tr2bl w:val="nil"/>
                  </w:tcBorders>
                  <w:noWrap w:val="0"/>
                  <w:vAlign w:val="center"/>
                </w:tcPr>
                <w:p w14:paraId="4ECF206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kern w:val="2"/>
                      <w:sz w:val="21"/>
                      <w:szCs w:val="21"/>
                      <w:lang w:val="en-US" w:eastAsia="zh-CN" w:bidi="ar-SA"/>
                    </w:rPr>
                  </w:pPr>
                  <w:r>
                    <w:rPr>
                      <w:rFonts w:hint="eastAsia" w:cs="Times New Roman"/>
                      <w:color w:val="auto"/>
                      <w:lang w:val="en-US" w:eastAsia="zh-CN"/>
                    </w:rPr>
                    <w:t>1</w:t>
                  </w:r>
                  <w:r>
                    <w:rPr>
                      <w:rFonts w:hint="eastAsia" w:ascii="Times New Roman" w:hAnsi="Times New Roman" w:eastAsia="宋体" w:cs="Times New Roman"/>
                      <w:color w:val="auto"/>
                      <w:lang w:val="en-US" w:eastAsia="zh-CN"/>
                    </w:rPr>
                    <w:t>台</w:t>
                  </w:r>
                </w:p>
              </w:tc>
              <w:tc>
                <w:tcPr>
                  <w:tcW w:w="2032" w:type="dxa"/>
                  <w:tcBorders>
                    <w:tl2br w:val="nil"/>
                    <w:tr2bl w:val="nil"/>
                  </w:tcBorders>
                  <w:noWrap w:val="0"/>
                  <w:vAlign w:val="center"/>
                </w:tcPr>
                <w:p w14:paraId="5676FA0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79.5</w:t>
                  </w:r>
                </w:p>
              </w:tc>
            </w:tr>
            <w:tr w14:paraId="7FFD39E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59" w:hRule="atLeast"/>
                <w:jc w:val="center"/>
              </w:trPr>
              <w:tc>
                <w:tcPr>
                  <w:tcW w:w="928" w:type="dxa"/>
                  <w:tcBorders>
                    <w:tl2br w:val="nil"/>
                    <w:tr2bl w:val="nil"/>
                  </w:tcBorders>
                  <w:noWrap w:val="0"/>
                  <w:vAlign w:val="center"/>
                </w:tcPr>
                <w:p w14:paraId="409B13B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9</w:t>
                  </w:r>
                </w:p>
              </w:tc>
              <w:tc>
                <w:tcPr>
                  <w:tcW w:w="3789" w:type="dxa"/>
                  <w:tcBorders>
                    <w:tl2br w:val="nil"/>
                    <w:tr2bl w:val="nil"/>
                  </w:tcBorders>
                  <w:noWrap w:val="0"/>
                  <w:vAlign w:val="center"/>
                </w:tcPr>
                <w:p w14:paraId="5C82D02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风机</w:t>
                  </w:r>
                </w:p>
              </w:tc>
              <w:tc>
                <w:tcPr>
                  <w:tcW w:w="1200" w:type="dxa"/>
                  <w:tcBorders>
                    <w:tl2br w:val="nil"/>
                    <w:tr2bl w:val="nil"/>
                  </w:tcBorders>
                  <w:noWrap w:val="0"/>
                  <w:vAlign w:val="center"/>
                </w:tcPr>
                <w:p w14:paraId="4DDEFC8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lang w:val="en-US" w:eastAsia="zh-CN"/>
                    </w:rPr>
                  </w:pPr>
                  <w:r>
                    <w:rPr>
                      <w:rFonts w:hint="eastAsia" w:cs="Times New Roman"/>
                      <w:color w:val="auto"/>
                      <w:lang w:val="en-US" w:eastAsia="zh-CN"/>
                    </w:rPr>
                    <w:t>5</w:t>
                  </w:r>
                  <w:r>
                    <w:rPr>
                      <w:rFonts w:hint="eastAsia" w:ascii="Times New Roman" w:hAnsi="Times New Roman" w:eastAsia="宋体" w:cs="Times New Roman"/>
                      <w:color w:val="auto"/>
                      <w:lang w:val="en-US" w:eastAsia="zh-CN"/>
                    </w:rPr>
                    <w:t>台</w:t>
                  </w:r>
                </w:p>
              </w:tc>
              <w:tc>
                <w:tcPr>
                  <w:tcW w:w="2032" w:type="dxa"/>
                  <w:tcBorders>
                    <w:tl2br w:val="nil"/>
                    <w:tr2bl w:val="nil"/>
                  </w:tcBorders>
                  <w:noWrap w:val="0"/>
                  <w:vAlign w:val="center"/>
                </w:tcPr>
                <w:p w14:paraId="103D921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79.5</w:t>
                  </w:r>
                </w:p>
              </w:tc>
            </w:tr>
          </w:tbl>
          <w:p w14:paraId="63B337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bCs w:val="0"/>
                <w:sz w:val="21"/>
                <w:szCs w:val="21"/>
                <w:lang w:eastAsia="zh-CN"/>
              </w:rPr>
            </w:pPr>
          </w:p>
          <w:p w14:paraId="3DF443EC">
            <w:pPr>
              <w:spacing w:line="360" w:lineRule="auto"/>
              <w:ind w:firstLine="482" w:firstLineChars="200"/>
              <w:rPr>
                <w:rFonts w:hint="eastAsia"/>
                <w:b/>
                <w:bCs/>
                <w:sz w:val="24"/>
                <w:lang w:eastAsia="zh-CN"/>
              </w:rPr>
            </w:pPr>
            <w:r>
              <w:rPr>
                <w:rFonts w:hint="eastAsia"/>
                <w:b/>
                <w:bCs/>
                <w:sz w:val="24"/>
                <w:lang w:eastAsia="zh-CN"/>
              </w:rPr>
              <w:t>拟采取的治理措施：</w:t>
            </w:r>
          </w:p>
          <w:p w14:paraId="2EB23415">
            <w:pPr>
              <w:spacing w:line="360" w:lineRule="auto"/>
              <w:ind w:firstLine="480" w:firstLineChars="200"/>
              <w:rPr>
                <w:rFonts w:hint="eastAsia"/>
                <w:b w:val="0"/>
                <w:bCs w:val="0"/>
                <w:sz w:val="24"/>
                <w:lang w:eastAsia="zh-CN"/>
              </w:rPr>
            </w:pPr>
            <w:r>
              <w:rPr>
                <w:rFonts w:hint="eastAsia"/>
                <w:b w:val="0"/>
                <w:bCs w:val="0"/>
                <w:sz w:val="24"/>
                <w:lang w:eastAsia="zh-CN"/>
              </w:rPr>
              <w:t>本项目采取的主要噪声控制措施是采取阻尼、减震、吸声、隔音、加强个人防护和建筑布局等六大措施，尽力减弱或降低声源的振动，或将传播的声能吸收掉，或设置障碍，达到控制噪声的目的。</w:t>
            </w:r>
          </w:p>
          <w:p w14:paraId="468D2286">
            <w:pPr>
              <w:spacing w:line="360" w:lineRule="auto"/>
              <w:ind w:firstLine="482" w:firstLineChars="200"/>
              <w:rPr>
                <w:rFonts w:hint="eastAsia"/>
                <w:b/>
                <w:bCs/>
                <w:sz w:val="24"/>
                <w:lang w:eastAsia="zh-CN"/>
              </w:rPr>
            </w:pPr>
            <w:r>
              <w:rPr>
                <w:rFonts w:hint="eastAsia"/>
                <w:b/>
                <w:bCs/>
                <w:sz w:val="24"/>
                <w:lang w:eastAsia="zh-CN"/>
              </w:rPr>
              <w:t>本项目加工、生产时段采取的具体噪声控制措施如下：</w:t>
            </w:r>
          </w:p>
          <w:p w14:paraId="3BB094F7">
            <w:pPr>
              <w:spacing w:line="360" w:lineRule="auto"/>
              <w:ind w:firstLine="480" w:firstLineChars="200"/>
              <w:rPr>
                <w:rFonts w:hint="eastAsia"/>
                <w:b w:val="0"/>
                <w:bCs w:val="0"/>
                <w:sz w:val="24"/>
                <w:lang w:eastAsia="zh-CN"/>
              </w:rPr>
            </w:pPr>
            <w:r>
              <w:rPr>
                <w:rFonts w:hint="eastAsia"/>
                <w:b w:val="0"/>
                <w:bCs w:val="0"/>
                <w:sz w:val="24"/>
                <w:lang w:eastAsia="zh-CN"/>
              </w:rPr>
              <w:t>①合理布局、建筑隔声：全部产噪设备均布置在封闭车间内，车间建筑材料采用加厚型镀锌铝板，降低生产噪声对周围环境的影响；</w:t>
            </w:r>
          </w:p>
          <w:p w14:paraId="35FB0F95">
            <w:pPr>
              <w:spacing w:line="360" w:lineRule="auto"/>
              <w:ind w:firstLine="480" w:firstLineChars="200"/>
              <w:rPr>
                <w:rFonts w:hint="eastAsia"/>
                <w:b w:val="0"/>
                <w:bCs w:val="0"/>
                <w:sz w:val="24"/>
                <w:lang w:eastAsia="zh-CN"/>
              </w:rPr>
            </w:pPr>
            <w:r>
              <w:rPr>
                <w:rFonts w:hint="eastAsia"/>
                <w:b w:val="0"/>
                <w:bCs w:val="0"/>
                <w:sz w:val="24"/>
                <w:lang w:eastAsia="zh-CN"/>
              </w:rPr>
              <w:t>②项目选用低噪声设备：基本选用先进的低噪设备，并提高设备的安装质量和精度，以从声源上降低设备本身噪声；</w:t>
            </w:r>
          </w:p>
          <w:p w14:paraId="256345F5">
            <w:pPr>
              <w:spacing w:line="360" w:lineRule="auto"/>
              <w:ind w:firstLine="480" w:firstLineChars="200"/>
              <w:rPr>
                <w:rFonts w:hint="eastAsia"/>
                <w:b w:val="0"/>
                <w:bCs w:val="0"/>
                <w:sz w:val="24"/>
                <w:lang w:eastAsia="zh-CN"/>
              </w:rPr>
            </w:pPr>
            <w:r>
              <w:rPr>
                <w:rFonts w:hint="eastAsia"/>
                <w:b w:val="0"/>
                <w:bCs w:val="0"/>
                <w:sz w:val="24"/>
                <w:lang w:eastAsia="zh-CN"/>
              </w:rPr>
              <w:t>③对高噪设备设置减震基础，尽量采用重机座——把设备直接安装在混凝土机座块上，然后在混凝土块与地面之间安放隔振材料，隔振材料应选择阻尼较大的材料，进行柔性联接，以减小其振动影响；</w:t>
            </w:r>
          </w:p>
          <w:p w14:paraId="6F701DF3">
            <w:pPr>
              <w:spacing w:line="360" w:lineRule="auto"/>
              <w:ind w:firstLine="480" w:firstLineChars="200"/>
              <w:rPr>
                <w:rFonts w:hint="eastAsia"/>
                <w:b w:val="0"/>
                <w:bCs w:val="0"/>
                <w:sz w:val="24"/>
                <w:lang w:eastAsia="zh-CN"/>
              </w:rPr>
            </w:pPr>
            <w:r>
              <w:rPr>
                <w:rFonts w:hint="eastAsia"/>
                <w:b w:val="0"/>
                <w:bCs w:val="0"/>
                <w:sz w:val="24"/>
                <w:lang w:eastAsia="zh-CN"/>
              </w:rPr>
              <w:t>④加强设备的维护，确保设备处于良好的运转状态，杜绝因设备不正常运转时产生的高噪声现象；</w:t>
            </w:r>
          </w:p>
          <w:p w14:paraId="7D5F4E39">
            <w:pPr>
              <w:spacing w:line="360" w:lineRule="auto"/>
              <w:ind w:firstLine="480" w:firstLineChars="200"/>
              <w:rPr>
                <w:rFonts w:hint="eastAsia"/>
                <w:b w:val="0"/>
                <w:bCs w:val="0"/>
                <w:sz w:val="24"/>
                <w:lang w:eastAsia="zh-CN"/>
              </w:rPr>
            </w:pPr>
            <w:r>
              <w:rPr>
                <w:rFonts w:hint="eastAsia"/>
                <w:b w:val="0"/>
                <w:bCs w:val="0"/>
                <w:sz w:val="24"/>
                <w:lang w:eastAsia="zh-CN"/>
              </w:rPr>
              <w:t>⑤合理安排生产时间，仅白天进行生产，夜间不生产。企业在夜间22:00-次日6:00不得进行生产以及运输活动。</w:t>
            </w:r>
          </w:p>
          <w:p w14:paraId="7B2C2FCB">
            <w:pPr>
              <w:spacing w:line="360" w:lineRule="auto"/>
              <w:ind w:firstLine="482" w:firstLineChars="200"/>
              <w:rPr>
                <w:rFonts w:hint="eastAsia"/>
                <w:b/>
                <w:bCs/>
                <w:sz w:val="24"/>
                <w:lang w:eastAsia="zh-CN"/>
              </w:rPr>
            </w:pPr>
            <w:r>
              <w:rPr>
                <w:rFonts w:hint="eastAsia"/>
                <w:b/>
                <w:bCs/>
                <w:sz w:val="24"/>
                <w:lang w:eastAsia="zh-CN"/>
              </w:rPr>
              <w:t>项目运输、装卸阶段采取的具体噪声控制措施如下：</w:t>
            </w:r>
          </w:p>
          <w:p w14:paraId="49DD7339">
            <w:pPr>
              <w:spacing w:line="360" w:lineRule="auto"/>
              <w:ind w:firstLine="480" w:firstLineChars="200"/>
              <w:rPr>
                <w:rFonts w:hint="eastAsia"/>
                <w:b w:val="0"/>
                <w:bCs w:val="0"/>
                <w:sz w:val="24"/>
                <w:lang w:eastAsia="zh-CN"/>
              </w:rPr>
            </w:pPr>
            <w:r>
              <w:rPr>
                <w:rFonts w:hint="eastAsia"/>
                <w:b w:val="0"/>
                <w:bCs w:val="0"/>
                <w:sz w:val="24"/>
                <w:lang w:eastAsia="zh-CN"/>
              </w:rPr>
              <w:t>①建成营运后，应加强对进出项目区域车辆的管理。车辆噪声一般在75</w:t>
            </w:r>
            <w:r>
              <w:rPr>
                <w:rFonts w:hint="eastAsia"/>
                <w:b w:val="0"/>
                <w:bCs w:val="0"/>
                <w:sz w:val="24"/>
                <w:lang w:val="en-US" w:eastAsia="zh-CN"/>
              </w:rPr>
              <w:t>-</w:t>
            </w:r>
            <w:r>
              <w:rPr>
                <w:rFonts w:hint="eastAsia"/>
                <w:b w:val="0"/>
                <w:bCs w:val="0"/>
                <w:sz w:val="24"/>
                <w:lang w:eastAsia="zh-CN"/>
              </w:rPr>
              <w:t>80dB(A)，项目区域内禁鸣喇叭，车辆需限速慢行，并尽量减少机动车频繁启动和怠速，规范停车场的停车秩序，通过采取以上措施能有效降低车辆噪声10</w:t>
            </w:r>
            <w:r>
              <w:rPr>
                <w:rFonts w:hint="eastAsia"/>
                <w:b w:val="0"/>
                <w:bCs w:val="0"/>
                <w:sz w:val="24"/>
                <w:lang w:val="en-US" w:eastAsia="zh-CN"/>
              </w:rPr>
              <w:t>-</w:t>
            </w:r>
            <w:r>
              <w:rPr>
                <w:rFonts w:hint="eastAsia"/>
                <w:b w:val="0"/>
                <w:bCs w:val="0"/>
                <w:sz w:val="24"/>
                <w:lang w:eastAsia="zh-CN"/>
              </w:rPr>
              <w:t>15dB(A)。</w:t>
            </w:r>
          </w:p>
          <w:p w14:paraId="5BD2C71F">
            <w:pPr>
              <w:spacing w:line="360" w:lineRule="auto"/>
              <w:ind w:firstLine="480" w:firstLineChars="200"/>
              <w:rPr>
                <w:rFonts w:hint="eastAsia"/>
                <w:b w:val="0"/>
                <w:bCs w:val="0"/>
                <w:sz w:val="24"/>
                <w:lang w:eastAsia="zh-CN"/>
              </w:rPr>
            </w:pPr>
            <w:r>
              <w:rPr>
                <w:rFonts w:hint="eastAsia"/>
                <w:b w:val="0"/>
                <w:bCs w:val="0"/>
                <w:sz w:val="24"/>
                <w:lang w:eastAsia="zh-CN"/>
              </w:rPr>
              <w:t>②货物装卸加强管理，降低装卸高度，避免夜间进行原辅材料运输，减少运输车辆对沿线</w:t>
            </w:r>
            <w:r>
              <w:rPr>
                <w:rFonts w:hint="eastAsia"/>
                <w:b w:val="0"/>
                <w:bCs w:val="0"/>
                <w:sz w:val="24"/>
                <w:lang w:val="en-US" w:eastAsia="zh-CN"/>
              </w:rPr>
              <w:t>敏感目标</w:t>
            </w:r>
            <w:r>
              <w:rPr>
                <w:rFonts w:hint="eastAsia"/>
                <w:b w:val="0"/>
                <w:bCs w:val="0"/>
                <w:sz w:val="24"/>
                <w:lang w:eastAsia="zh-CN"/>
              </w:rPr>
              <w:t>的影响。</w:t>
            </w:r>
          </w:p>
          <w:p w14:paraId="601CDB6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val="0"/>
                <w:bCs w:val="0"/>
                <w:sz w:val="24"/>
                <w:szCs w:val="24"/>
                <w:highlight w:val="none"/>
              </w:rPr>
            </w:pPr>
            <w:r>
              <w:rPr>
                <w:rFonts w:hint="eastAsia"/>
                <w:b/>
                <w:bCs/>
                <w:sz w:val="24"/>
                <w:lang w:eastAsia="zh-CN"/>
              </w:rPr>
              <w:t>在采取上述噪声防治措施后产生的噪声再经距离衰减；设备和交通噪声可降低</w:t>
            </w:r>
            <w:r>
              <w:rPr>
                <w:rFonts w:hint="eastAsia"/>
                <w:b/>
                <w:bCs/>
                <w:sz w:val="24"/>
                <w:lang w:val="en-US" w:eastAsia="zh-CN"/>
              </w:rPr>
              <w:t>15-20</w:t>
            </w:r>
            <w:r>
              <w:rPr>
                <w:rFonts w:hint="eastAsia"/>
                <w:b/>
                <w:bCs/>
                <w:sz w:val="24"/>
                <w:lang w:eastAsia="zh-CN"/>
              </w:rPr>
              <w:t>dB（A），可减轻噪声对周围环境的影响，确保厂界噪声达到《工业企业厂界环境噪声排放标准》（GB12348</w:t>
            </w:r>
            <w:r>
              <w:rPr>
                <w:rFonts w:hint="eastAsia"/>
                <w:b/>
                <w:bCs/>
                <w:sz w:val="24"/>
                <w:lang w:val="en-US" w:eastAsia="zh-CN"/>
              </w:rPr>
              <w:t>-</w:t>
            </w:r>
            <w:r>
              <w:rPr>
                <w:rFonts w:hint="eastAsia"/>
                <w:b/>
                <w:bCs/>
                <w:sz w:val="24"/>
                <w:lang w:eastAsia="zh-CN"/>
              </w:rPr>
              <w:t>2008）中</w:t>
            </w:r>
            <w:r>
              <w:rPr>
                <w:rFonts w:hint="eastAsia"/>
                <w:b/>
                <w:bCs/>
                <w:sz w:val="24"/>
                <w:lang w:val="en-US" w:eastAsia="zh-CN"/>
              </w:rPr>
              <w:t>3</w:t>
            </w:r>
            <w:r>
              <w:rPr>
                <w:rFonts w:hint="eastAsia"/>
                <w:b/>
                <w:bCs/>
                <w:sz w:val="24"/>
                <w:lang w:eastAsia="zh-CN"/>
              </w:rPr>
              <w:t>类标准限值。</w:t>
            </w:r>
          </w:p>
          <w:p w14:paraId="060751F1">
            <w:pPr>
              <w:spacing w:line="360" w:lineRule="auto"/>
              <w:ind w:firstLine="482" w:firstLineChars="200"/>
              <w:jc w:val="both"/>
              <w:rPr>
                <w:rFonts w:hint="eastAsia"/>
                <w:b/>
                <w:bCs/>
                <w:color w:val="auto"/>
                <w:sz w:val="24"/>
              </w:rPr>
            </w:pPr>
            <w:r>
              <w:rPr>
                <w:rFonts w:hint="eastAsia"/>
                <w:b/>
                <w:bCs/>
                <w:color w:val="auto"/>
                <w:sz w:val="24"/>
                <w:lang w:val="en-US" w:eastAsia="zh-CN"/>
              </w:rPr>
              <w:t>3.2</w:t>
            </w:r>
            <w:r>
              <w:rPr>
                <w:rFonts w:hint="eastAsia"/>
                <w:b/>
                <w:bCs/>
                <w:color w:val="auto"/>
                <w:sz w:val="24"/>
              </w:rPr>
              <w:t>声环境影响分析</w:t>
            </w:r>
          </w:p>
          <w:p w14:paraId="125412B4">
            <w:pPr>
              <w:wordWrap w:val="0"/>
              <w:spacing w:line="360" w:lineRule="auto"/>
              <w:ind w:firstLine="422" w:firstLineChars="200"/>
              <w:rPr>
                <w:rFonts w:hint="default" w:eastAsia="宋体"/>
                <w:b/>
                <w:bCs/>
                <w:lang w:val="en-US" w:eastAsia="zh-CN"/>
              </w:rPr>
            </w:pPr>
            <w:r>
              <w:rPr>
                <w:rFonts w:hint="eastAsia" w:eastAsia="宋体"/>
                <w:b/>
                <w:bCs/>
                <w:lang w:eastAsia="zh-CN"/>
              </w:rPr>
              <w:t>（</w:t>
            </w:r>
            <w:r>
              <w:rPr>
                <w:rFonts w:hint="eastAsia" w:eastAsia="宋体"/>
                <w:b/>
                <w:bCs/>
                <w:lang w:val="en-US" w:eastAsia="zh-CN"/>
              </w:rPr>
              <w:t>1</w:t>
            </w:r>
            <w:r>
              <w:rPr>
                <w:rFonts w:hint="eastAsia" w:eastAsia="宋体"/>
                <w:b/>
                <w:bCs/>
                <w:lang w:eastAsia="zh-CN"/>
              </w:rPr>
              <w:t>）</w:t>
            </w:r>
            <w:r>
              <w:rPr>
                <w:rFonts w:hint="eastAsia" w:eastAsia="宋体"/>
                <w:b/>
                <w:bCs/>
                <w:lang w:val="en-US" w:eastAsia="zh-CN"/>
              </w:rPr>
              <w:t>产噪源强声功率级与声压级的转换</w:t>
            </w:r>
          </w:p>
          <w:p w14:paraId="27BADCC5">
            <w:pPr>
              <w:wordWrap w:val="0"/>
              <w:spacing w:line="360" w:lineRule="auto"/>
              <w:ind w:firstLine="480" w:firstLineChars="200"/>
              <w:rPr>
                <w:rFonts w:hint="default" w:eastAsia="宋体"/>
                <w:b/>
                <w:bCs/>
                <w:sz w:val="24"/>
                <w:lang w:val="en-US" w:eastAsia="zh-CN"/>
              </w:rPr>
            </w:pPr>
            <w:r>
              <w:rPr>
                <w:rFonts w:hint="eastAsia" w:eastAsia="宋体"/>
                <w:b w:val="0"/>
                <w:bCs w:val="0"/>
                <w:sz w:val="24"/>
                <w:lang w:val="en-US" w:eastAsia="zh-CN"/>
              </w:rPr>
              <w:t>根据</w:t>
            </w:r>
            <w:r>
              <w:rPr>
                <w:rFonts w:hint="eastAsia" w:eastAsia="宋体"/>
                <w:b w:val="0"/>
                <w:bCs w:val="0"/>
                <w:sz w:val="24"/>
                <w:lang w:eastAsia="zh-CN"/>
              </w:rPr>
              <w:t>《</w:t>
            </w:r>
            <w:r>
              <w:rPr>
                <w:rFonts w:hint="eastAsia" w:eastAsia="宋体"/>
                <w:sz w:val="24"/>
                <w:lang w:eastAsia="zh-CN"/>
              </w:rPr>
              <w:t>环境影响评价技术导则 声环境》（HJ2.4-2021）</w:t>
            </w:r>
            <w:r>
              <w:rPr>
                <w:rFonts w:hint="eastAsia" w:eastAsia="宋体"/>
                <w:sz w:val="24"/>
                <w:lang w:val="en-US" w:eastAsia="zh-CN"/>
              </w:rPr>
              <w:t>附录A中公式A.10将噪声源强度声功率级与声压级进行转换</w:t>
            </w:r>
          </w:p>
          <w:p w14:paraId="3A90A63C">
            <w:pPr>
              <w:wordWrap w:val="0"/>
              <w:spacing w:line="360" w:lineRule="auto"/>
              <w:ind w:firstLine="0" w:firstLineChars="0"/>
              <w:jc w:val="center"/>
              <w:rPr>
                <w:rFonts w:hint="default" w:eastAsia="宋体"/>
                <w:b/>
                <w:bCs/>
                <w:lang w:val="en-US" w:eastAsia="zh-CN"/>
              </w:rPr>
            </w:pPr>
            <w:r>
              <w:rPr>
                <w:rFonts w:hint="eastAsia" w:eastAsia="宋体"/>
                <w:b w:val="0"/>
                <w:bCs w:val="0"/>
                <w:sz w:val="24"/>
                <w:lang w:val="en-US" w:eastAsia="zh-CN"/>
              </w:rPr>
              <w:t>L</w:t>
            </w:r>
            <w:r>
              <w:rPr>
                <w:rFonts w:hint="eastAsia" w:eastAsia="宋体"/>
                <w:b w:val="0"/>
                <w:bCs w:val="0"/>
                <w:sz w:val="24"/>
                <w:vertAlign w:val="subscript"/>
                <w:lang w:val="en-US" w:eastAsia="zh-CN"/>
              </w:rPr>
              <w:t>A</w:t>
            </w:r>
            <w:r>
              <w:rPr>
                <w:rFonts w:hint="eastAsia" w:eastAsia="宋体"/>
                <w:b w:val="0"/>
                <w:bCs w:val="0"/>
                <w:sz w:val="24"/>
                <w:lang w:val="en-US" w:eastAsia="zh-CN"/>
              </w:rPr>
              <w:t>（r）=L</w:t>
            </w:r>
            <w:r>
              <w:rPr>
                <w:rFonts w:hint="eastAsia" w:eastAsia="宋体"/>
                <w:b w:val="0"/>
                <w:bCs w:val="0"/>
                <w:sz w:val="24"/>
                <w:vertAlign w:val="subscript"/>
                <w:lang w:val="en-US" w:eastAsia="zh-CN"/>
              </w:rPr>
              <w:t>Aw</w:t>
            </w:r>
            <w:r>
              <w:rPr>
                <w:rFonts w:hint="eastAsia" w:eastAsia="宋体"/>
                <w:b w:val="0"/>
                <w:bCs w:val="0"/>
                <w:sz w:val="24"/>
                <w:lang w:val="en-US" w:eastAsia="zh-CN"/>
              </w:rPr>
              <w:t>-20lgr-8</w:t>
            </w:r>
          </w:p>
          <w:p w14:paraId="7CAD5521">
            <w:pPr>
              <w:wordWrap w:val="0"/>
              <w:spacing w:line="360" w:lineRule="auto"/>
              <w:ind w:firstLine="480" w:firstLineChars="200"/>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式中：L</w:t>
            </w:r>
            <w:r>
              <w:rPr>
                <w:rFonts w:hint="eastAsia" w:ascii="Times New Roman" w:hAnsi="Times New Roman" w:eastAsia="宋体" w:cs="Times New Roman"/>
                <w:b w:val="0"/>
                <w:bCs w:val="0"/>
                <w:sz w:val="24"/>
                <w:vertAlign w:val="subscript"/>
                <w:lang w:val="en-US" w:eastAsia="zh-CN"/>
              </w:rPr>
              <w:t>A</w:t>
            </w:r>
            <w:r>
              <w:rPr>
                <w:rFonts w:hint="eastAsia" w:ascii="Times New Roman" w:hAnsi="Times New Roman" w:eastAsia="宋体" w:cs="Times New Roman"/>
                <w:b w:val="0"/>
                <w:bCs w:val="0"/>
                <w:sz w:val="24"/>
                <w:lang w:eastAsia="zh-CN"/>
              </w:rPr>
              <w:t>(r)——距声源r处的A声级，dB（</w:t>
            </w:r>
            <w:r>
              <w:rPr>
                <w:rFonts w:hint="eastAsia" w:ascii="Times New Roman" w:hAnsi="Times New Roman" w:eastAsia="宋体" w:cs="Times New Roman"/>
                <w:b w:val="0"/>
                <w:bCs w:val="0"/>
                <w:sz w:val="24"/>
                <w:lang w:val="en-US" w:eastAsia="zh-CN"/>
              </w:rPr>
              <w:t>A</w:t>
            </w:r>
            <w:r>
              <w:rPr>
                <w:rFonts w:hint="eastAsia" w:ascii="Times New Roman" w:hAnsi="Times New Roman" w:eastAsia="宋体" w:cs="Times New Roman"/>
                <w:b w:val="0"/>
                <w:bCs w:val="0"/>
                <w:sz w:val="24"/>
                <w:lang w:eastAsia="zh-CN"/>
              </w:rPr>
              <w:t>）；</w:t>
            </w:r>
          </w:p>
          <w:p w14:paraId="57E51F45">
            <w:pPr>
              <w:wordWrap w:val="0"/>
              <w:spacing w:line="360" w:lineRule="auto"/>
              <w:ind w:firstLine="1200" w:firstLineChars="500"/>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L</w:t>
            </w:r>
            <w:r>
              <w:rPr>
                <w:rFonts w:hint="eastAsia" w:ascii="Times New Roman" w:hAnsi="Times New Roman" w:eastAsia="宋体" w:cs="Times New Roman"/>
                <w:b w:val="0"/>
                <w:bCs w:val="0"/>
                <w:sz w:val="24"/>
                <w:vertAlign w:val="subscript"/>
                <w:lang w:val="en-US" w:eastAsia="zh-CN"/>
              </w:rPr>
              <w:t>A</w:t>
            </w:r>
            <w:r>
              <w:rPr>
                <w:rFonts w:hint="eastAsia" w:ascii="Times New Roman" w:hAnsi="Times New Roman" w:eastAsia="宋体" w:cs="Times New Roman"/>
                <w:b w:val="0"/>
                <w:bCs w:val="0"/>
                <w:sz w:val="24"/>
                <w:vertAlign w:val="subscript"/>
                <w:lang w:eastAsia="zh-CN"/>
              </w:rPr>
              <w:t>w</w:t>
            </w:r>
            <w:r>
              <w:rPr>
                <w:rFonts w:hint="eastAsia" w:ascii="Times New Roman" w:hAnsi="Times New Roman" w:eastAsia="宋体" w:cs="Times New Roman"/>
                <w:b w:val="0"/>
                <w:bCs w:val="0"/>
                <w:sz w:val="24"/>
                <w:lang w:eastAsia="zh-CN"/>
              </w:rPr>
              <w:t>——点声源A计权声功率级，dB；</w:t>
            </w:r>
          </w:p>
          <w:p w14:paraId="5149E54E">
            <w:pPr>
              <w:wordWrap w:val="0"/>
              <w:spacing w:line="360" w:lineRule="auto"/>
              <w:ind w:firstLine="1200" w:firstLineChars="500"/>
              <w:rPr>
                <w:rFonts w:hint="default"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eastAsia="zh-CN"/>
              </w:rPr>
              <w:t>r——预测点距声源的距离。</w:t>
            </w:r>
            <w:r>
              <w:rPr>
                <w:rFonts w:hint="eastAsia" w:ascii="Times New Roman" w:hAnsi="Times New Roman" w:eastAsia="宋体" w:cs="Times New Roman"/>
                <w:b w:val="0"/>
                <w:bCs w:val="0"/>
                <w:sz w:val="24"/>
                <w:lang w:val="en-US" w:eastAsia="zh-CN"/>
              </w:rPr>
              <w:t>r取1</w:t>
            </w:r>
          </w:p>
          <w:p w14:paraId="249323EA">
            <w:pPr>
              <w:numPr>
                <w:ilvl w:val="0"/>
                <w:numId w:val="6"/>
              </w:numPr>
              <w:ind w:left="420" w:leftChars="0" w:hanging="420" w:firstLineChars="0"/>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主要设备噪声源强       单位（dB（A））</w:t>
            </w:r>
          </w:p>
          <w:tbl>
            <w:tblPr>
              <w:tblStyle w:val="26"/>
              <w:tblW w:w="8002"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778"/>
              <w:gridCol w:w="3657"/>
              <w:gridCol w:w="688"/>
              <w:gridCol w:w="2879"/>
            </w:tblGrid>
            <w:tr w14:paraId="58D57F0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778" w:type="dxa"/>
                  <w:tcBorders>
                    <w:tl2br w:val="nil"/>
                    <w:tr2bl w:val="nil"/>
                  </w:tcBorders>
                  <w:noWrap w:val="0"/>
                  <w:vAlign w:val="center"/>
                </w:tcPr>
                <w:p w14:paraId="0975713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序号</w:t>
                  </w:r>
                </w:p>
              </w:tc>
              <w:tc>
                <w:tcPr>
                  <w:tcW w:w="3657" w:type="dxa"/>
                  <w:tcBorders>
                    <w:tl2br w:val="nil"/>
                    <w:tr2bl w:val="nil"/>
                  </w:tcBorders>
                  <w:noWrap w:val="0"/>
                  <w:vAlign w:val="center"/>
                </w:tcPr>
                <w:p w14:paraId="464DE77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噪声源</w:t>
                  </w:r>
                </w:p>
              </w:tc>
              <w:tc>
                <w:tcPr>
                  <w:tcW w:w="688" w:type="dxa"/>
                  <w:tcBorders>
                    <w:tl2br w:val="nil"/>
                    <w:tr2bl w:val="nil"/>
                  </w:tcBorders>
                  <w:noWrap w:val="0"/>
                  <w:vAlign w:val="center"/>
                </w:tcPr>
                <w:p w14:paraId="63ED177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数量</w:t>
                  </w:r>
                </w:p>
              </w:tc>
              <w:tc>
                <w:tcPr>
                  <w:tcW w:w="2879" w:type="dxa"/>
                  <w:tcBorders>
                    <w:tl2br w:val="nil"/>
                    <w:tr2bl w:val="nil"/>
                  </w:tcBorders>
                  <w:noWrap w:val="0"/>
                  <w:vAlign w:val="center"/>
                </w:tcPr>
                <w:p w14:paraId="4E39A8A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产噪强度声</w:t>
                  </w:r>
                  <w:r>
                    <w:rPr>
                      <w:rFonts w:hint="eastAsia" w:ascii="Times New Roman" w:hAnsi="Times New Roman" w:eastAsia="宋体" w:cs="Times New Roman"/>
                      <w:sz w:val="21"/>
                      <w:szCs w:val="21"/>
                      <w:lang w:val="en-US" w:eastAsia="zh-CN"/>
                    </w:rPr>
                    <w:t>功率</w:t>
                  </w:r>
                  <w:r>
                    <w:rPr>
                      <w:rFonts w:hint="default" w:ascii="Times New Roman" w:hAnsi="Times New Roman" w:eastAsia="宋体" w:cs="Times New Roman"/>
                      <w:sz w:val="21"/>
                      <w:szCs w:val="21"/>
                    </w:rPr>
                    <w:t>级dB（A）</w:t>
                  </w:r>
                </w:p>
              </w:tc>
            </w:tr>
            <w:tr w14:paraId="32B984D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778" w:type="dxa"/>
                  <w:tcBorders>
                    <w:tl2br w:val="nil"/>
                    <w:tr2bl w:val="nil"/>
                  </w:tcBorders>
                  <w:noWrap w:val="0"/>
                  <w:vAlign w:val="center"/>
                </w:tcPr>
                <w:p w14:paraId="0AF5EDB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3657" w:type="dxa"/>
                  <w:tcBorders>
                    <w:tl2br w:val="nil"/>
                    <w:tr2bl w:val="nil"/>
                  </w:tcBorders>
                  <w:shd w:val="clear" w:color="auto" w:fill="auto"/>
                  <w:noWrap w:val="0"/>
                  <w:vAlign w:val="center"/>
                </w:tcPr>
                <w:p w14:paraId="786B2A2B">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s="Times New Roman"/>
                      <w:color w:val="auto"/>
                      <w:lang w:val="en-US" w:eastAsia="zh-CN"/>
                    </w:rPr>
                    <w:t>煤粉生产设备</w:t>
                  </w:r>
                </w:p>
              </w:tc>
              <w:tc>
                <w:tcPr>
                  <w:tcW w:w="688" w:type="dxa"/>
                  <w:tcBorders>
                    <w:tl2br w:val="nil"/>
                    <w:tr2bl w:val="nil"/>
                  </w:tcBorders>
                  <w:shd w:val="clear" w:color="auto" w:fill="auto"/>
                  <w:noWrap w:val="0"/>
                  <w:vAlign w:val="center"/>
                </w:tcPr>
                <w:p w14:paraId="05CFB275">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bCs/>
                      <w:color w:val="000000"/>
                      <w:kern w:val="2"/>
                      <w:sz w:val="21"/>
                      <w:szCs w:val="21"/>
                      <w:lang w:val="en-US" w:eastAsia="zh-CN" w:bidi="ar-SA"/>
                    </w:rPr>
                  </w:pPr>
                  <w:r>
                    <w:rPr>
                      <w:rFonts w:hint="eastAsia" w:cs="Times New Roman"/>
                      <w:color w:val="auto"/>
                      <w:lang w:val="en-US" w:eastAsia="zh-CN"/>
                    </w:rPr>
                    <w:t>1</w:t>
                  </w:r>
                  <w:r>
                    <w:rPr>
                      <w:rFonts w:hint="default" w:ascii="Times New Roman" w:hAnsi="Times New Roman" w:eastAsia="宋体" w:cs="Times New Roman"/>
                      <w:color w:val="auto"/>
                      <w:lang w:val="en-US" w:eastAsia="zh-CN"/>
                    </w:rPr>
                    <w:t>台</w:t>
                  </w:r>
                </w:p>
              </w:tc>
              <w:tc>
                <w:tcPr>
                  <w:tcW w:w="2879" w:type="dxa"/>
                  <w:tcBorders>
                    <w:tl2br w:val="nil"/>
                    <w:tr2bl w:val="nil"/>
                  </w:tcBorders>
                  <w:shd w:val="clear" w:color="auto" w:fill="auto"/>
                  <w:noWrap w:val="0"/>
                  <w:vAlign w:val="center"/>
                </w:tcPr>
                <w:p w14:paraId="0A414D0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106</w:t>
                  </w:r>
                </w:p>
              </w:tc>
            </w:tr>
            <w:tr w14:paraId="35D279A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1" w:hRule="atLeast"/>
                <w:jc w:val="center"/>
              </w:trPr>
              <w:tc>
                <w:tcPr>
                  <w:tcW w:w="778" w:type="dxa"/>
                  <w:tcBorders>
                    <w:tl2br w:val="nil"/>
                    <w:tr2bl w:val="nil"/>
                  </w:tcBorders>
                  <w:noWrap w:val="0"/>
                  <w:vAlign w:val="center"/>
                </w:tcPr>
                <w:p w14:paraId="405CD66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3657" w:type="dxa"/>
                  <w:tcBorders>
                    <w:tl2br w:val="nil"/>
                    <w:tr2bl w:val="nil"/>
                  </w:tcBorders>
                  <w:shd w:val="clear" w:color="auto" w:fill="auto"/>
                  <w:noWrap w:val="0"/>
                  <w:vAlign w:val="center"/>
                </w:tcPr>
                <w:p w14:paraId="4EA484FA">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DGR4000环保型整体式沥青搅拌设备</w:t>
                  </w:r>
                </w:p>
              </w:tc>
              <w:tc>
                <w:tcPr>
                  <w:tcW w:w="688" w:type="dxa"/>
                  <w:tcBorders>
                    <w:tl2br w:val="nil"/>
                    <w:tr2bl w:val="nil"/>
                  </w:tcBorders>
                  <w:shd w:val="clear" w:color="auto" w:fill="auto"/>
                  <w:noWrap w:val="0"/>
                  <w:vAlign w:val="center"/>
                </w:tcPr>
                <w:p w14:paraId="78BA1CB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Cs/>
                      <w:color w:val="000000"/>
                      <w:kern w:val="2"/>
                      <w:sz w:val="21"/>
                      <w:szCs w:val="21"/>
                      <w:lang w:val="en-US" w:eastAsia="zh-CN" w:bidi="ar-SA"/>
                    </w:rPr>
                  </w:pPr>
                  <w:r>
                    <w:rPr>
                      <w:rFonts w:hint="eastAsia" w:cs="Times New Roman"/>
                      <w:color w:val="auto"/>
                      <w:lang w:val="en-US" w:eastAsia="zh-CN"/>
                    </w:rPr>
                    <w:t>1</w:t>
                  </w:r>
                  <w:r>
                    <w:rPr>
                      <w:rFonts w:hint="default" w:ascii="Times New Roman" w:hAnsi="Times New Roman" w:eastAsia="宋体" w:cs="Times New Roman"/>
                      <w:color w:val="auto"/>
                      <w:lang w:val="en-US" w:eastAsia="zh-CN"/>
                    </w:rPr>
                    <w:t>台</w:t>
                  </w:r>
                </w:p>
              </w:tc>
              <w:tc>
                <w:tcPr>
                  <w:tcW w:w="2879" w:type="dxa"/>
                  <w:tcBorders>
                    <w:tl2br w:val="nil"/>
                    <w:tr2bl w:val="nil"/>
                  </w:tcBorders>
                  <w:shd w:val="clear" w:color="auto" w:fill="auto"/>
                  <w:noWrap w:val="0"/>
                  <w:vAlign w:val="center"/>
                </w:tcPr>
                <w:p w14:paraId="12F0285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103</w:t>
                  </w:r>
                </w:p>
              </w:tc>
            </w:tr>
            <w:tr w14:paraId="2963158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1" w:hRule="atLeast"/>
                <w:jc w:val="center"/>
              </w:trPr>
              <w:tc>
                <w:tcPr>
                  <w:tcW w:w="778" w:type="dxa"/>
                  <w:tcBorders>
                    <w:tl2br w:val="nil"/>
                    <w:tr2bl w:val="nil"/>
                  </w:tcBorders>
                  <w:noWrap w:val="0"/>
                  <w:vAlign w:val="center"/>
                </w:tcPr>
                <w:p w14:paraId="6993ADE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3657" w:type="dxa"/>
                  <w:tcBorders>
                    <w:tl2br w:val="nil"/>
                    <w:tr2bl w:val="nil"/>
                  </w:tcBorders>
                  <w:shd w:val="clear" w:color="auto" w:fill="auto"/>
                  <w:noWrap w:val="0"/>
                  <w:vAlign w:val="center"/>
                </w:tcPr>
                <w:p w14:paraId="06164C0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鄂破机</w:t>
                  </w:r>
                </w:p>
              </w:tc>
              <w:tc>
                <w:tcPr>
                  <w:tcW w:w="688" w:type="dxa"/>
                  <w:tcBorders>
                    <w:tl2br w:val="nil"/>
                    <w:tr2bl w:val="nil"/>
                  </w:tcBorders>
                  <w:shd w:val="clear" w:color="auto" w:fill="auto"/>
                  <w:noWrap w:val="0"/>
                  <w:vAlign w:val="center"/>
                </w:tcPr>
                <w:p w14:paraId="233E3A7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Cs/>
                      <w:color w:val="000000"/>
                      <w:kern w:val="2"/>
                      <w:sz w:val="21"/>
                      <w:szCs w:val="21"/>
                      <w:lang w:val="en-US" w:eastAsia="zh-CN" w:bidi="ar-SA"/>
                    </w:rPr>
                  </w:pPr>
                  <w:r>
                    <w:rPr>
                      <w:rFonts w:hint="eastAsia" w:cs="Times New Roman"/>
                      <w:color w:val="auto"/>
                      <w:lang w:val="en-US" w:eastAsia="zh-CN"/>
                    </w:rPr>
                    <w:t>1</w:t>
                  </w:r>
                  <w:r>
                    <w:rPr>
                      <w:rFonts w:hint="default" w:ascii="Times New Roman" w:hAnsi="Times New Roman" w:eastAsia="宋体" w:cs="Times New Roman"/>
                      <w:color w:val="auto"/>
                      <w:lang w:val="en-US" w:eastAsia="zh-CN"/>
                    </w:rPr>
                    <w:t>台</w:t>
                  </w:r>
                </w:p>
              </w:tc>
              <w:tc>
                <w:tcPr>
                  <w:tcW w:w="2879" w:type="dxa"/>
                  <w:tcBorders>
                    <w:tl2br w:val="nil"/>
                    <w:tr2bl w:val="nil"/>
                  </w:tcBorders>
                  <w:shd w:val="clear" w:color="auto" w:fill="auto"/>
                  <w:noWrap w:val="0"/>
                  <w:vAlign w:val="center"/>
                </w:tcPr>
                <w:p w14:paraId="77C32B2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106</w:t>
                  </w:r>
                </w:p>
              </w:tc>
            </w:tr>
            <w:tr w14:paraId="0011245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1" w:hRule="atLeast"/>
                <w:jc w:val="center"/>
              </w:trPr>
              <w:tc>
                <w:tcPr>
                  <w:tcW w:w="778" w:type="dxa"/>
                  <w:tcBorders>
                    <w:tl2br w:val="nil"/>
                    <w:tr2bl w:val="nil"/>
                  </w:tcBorders>
                  <w:noWrap w:val="0"/>
                  <w:vAlign w:val="center"/>
                </w:tcPr>
                <w:p w14:paraId="1C59410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3657" w:type="dxa"/>
                  <w:tcBorders>
                    <w:tl2br w:val="nil"/>
                    <w:tr2bl w:val="nil"/>
                  </w:tcBorders>
                  <w:shd w:val="clear" w:color="auto" w:fill="auto"/>
                  <w:noWrap w:val="0"/>
                  <w:vAlign w:val="center"/>
                </w:tcPr>
                <w:p w14:paraId="7CF743C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振动筛</w:t>
                  </w:r>
                </w:p>
              </w:tc>
              <w:tc>
                <w:tcPr>
                  <w:tcW w:w="688" w:type="dxa"/>
                  <w:tcBorders>
                    <w:tl2br w:val="nil"/>
                    <w:tr2bl w:val="nil"/>
                  </w:tcBorders>
                  <w:shd w:val="clear" w:color="auto" w:fill="auto"/>
                  <w:noWrap w:val="0"/>
                  <w:vAlign w:val="center"/>
                </w:tcPr>
                <w:p w14:paraId="1746C31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auto"/>
                      <w:lang w:val="en-US" w:eastAsia="zh-CN"/>
                    </w:rPr>
                    <w:t>1</w:t>
                  </w:r>
                  <w:r>
                    <w:rPr>
                      <w:rFonts w:hint="default" w:ascii="Times New Roman" w:hAnsi="Times New Roman" w:eastAsia="宋体" w:cs="Times New Roman"/>
                      <w:color w:val="auto"/>
                      <w:lang w:val="en-US" w:eastAsia="zh-CN"/>
                    </w:rPr>
                    <w:t>台</w:t>
                  </w:r>
                </w:p>
              </w:tc>
              <w:tc>
                <w:tcPr>
                  <w:tcW w:w="2879" w:type="dxa"/>
                  <w:tcBorders>
                    <w:tl2br w:val="nil"/>
                    <w:tr2bl w:val="nil"/>
                  </w:tcBorders>
                  <w:shd w:val="clear" w:color="auto" w:fill="auto"/>
                  <w:noWrap w:val="0"/>
                  <w:vAlign w:val="center"/>
                </w:tcPr>
                <w:p w14:paraId="5E44605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103</w:t>
                  </w:r>
                </w:p>
              </w:tc>
            </w:tr>
            <w:tr w14:paraId="73EDD18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1" w:hRule="atLeast"/>
                <w:jc w:val="center"/>
              </w:trPr>
              <w:tc>
                <w:tcPr>
                  <w:tcW w:w="778" w:type="dxa"/>
                  <w:tcBorders>
                    <w:tl2br w:val="nil"/>
                    <w:tr2bl w:val="nil"/>
                  </w:tcBorders>
                  <w:noWrap w:val="0"/>
                  <w:vAlign w:val="center"/>
                </w:tcPr>
                <w:p w14:paraId="60B9D98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5</w:t>
                  </w:r>
                </w:p>
              </w:tc>
              <w:tc>
                <w:tcPr>
                  <w:tcW w:w="3657" w:type="dxa"/>
                  <w:tcBorders>
                    <w:tl2br w:val="nil"/>
                    <w:tr2bl w:val="nil"/>
                  </w:tcBorders>
                  <w:shd w:val="clear" w:color="auto" w:fill="auto"/>
                  <w:noWrap w:val="0"/>
                  <w:vAlign w:val="center"/>
                </w:tcPr>
                <w:p w14:paraId="38B27F9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kern w:val="2"/>
                      <w:sz w:val="21"/>
                      <w:szCs w:val="21"/>
                      <w:lang w:val="en-US" w:eastAsia="zh-CN" w:bidi="ar-SA"/>
                    </w:rPr>
                  </w:pPr>
                  <w:r>
                    <w:rPr>
                      <w:rFonts w:hint="eastAsia" w:cs="Times New Roman"/>
                      <w:color w:val="000000"/>
                      <w:kern w:val="2"/>
                      <w:sz w:val="21"/>
                      <w:szCs w:val="21"/>
                      <w:lang w:val="en-US" w:eastAsia="zh-CN" w:bidi="ar-SA"/>
                    </w:rPr>
                    <w:t>乳化沥青生产设备</w:t>
                  </w:r>
                </w:p>
              </w:tc>
              <w:tc>
                <w:tcPr>
                  <w:tcW w:w="688" w:type="dxa"/>
                  <w:tcBorders>
                    <w:tl2br w:val="nil"/>
                    <w:tr2bl w:val="nil"/>
                  </w:tcBorders>
                  <w:shd w:val="clear" w:color="auto" w:fill="auto"/>
                  <w:noWrap w:val="0"/>
                  <w:vAlign w:val="center"/>
                </w:tcPr>
                <w:p w14:paraId="79CCD77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kern w:val="2"/>
                      <w:sz w:val="21"/>
                      <w:szCs w:val="21"/>
                      <w:lang w:val="en-US" w:eastAsia="zh-CN" w:bidi="ar-SA"/>
                    </w:rPr>
                  </w:pPr>
                  <w:r>
                    <w:rPr>
                      <w:rFonts w:hint="eastAsia" w:cs="Times New Roman"/>
                      <w:color w:val="auto"/>
                      <w:lang w:val="en-US" w:eastAsia="zh-CN"/>
                    </w:rPr>
                    <w:t>1台</w:t>
                  </w:r>
                </w:p>
              </w:tc>
              <w:tc>
                <w:tcPr>
                  <w:tcW w:w="2879" w:type="dxa"/>
                  <w:tcBorders>
                    <w:tl2br w:val="nil"/>
                    <w:tr2bl w:val="nil"/>
                  </w:tcBorders>
                  <w:shd w:val="clear" w:color="auto" w:fill="auto"/>
                  <w:noWrap w:val="0"/>
                  <w:vAlign w:val="center"/>
                </w:tcPr>
                <w:p w14:paraId="5A067E2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98</w:t>
                  </w:r>
                </w:p>
              </w:tc>
            </w:tr>
            <w:tr w14:paraId="0BD3744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1" w:hRule="atLeast"/>
                <w:jc w:val="center"/>
              </w:trPr>
              <w:tc>
                <w:tcPr>
                  <w:tcW w:w="778" w:type="dxa"/>
                  <w:tcBorders>
                    <w:tl2br w:val="nil"/>
                    <w:tr2bl w:val="nil"/>
                  </w:tcBorders>
                  <w:noWrap w:val="0"/>
                  <w:vAlign w:val="center"/>
                </w:tcPr>
                <w:p w14:paraId="41453E6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6</w:t>
                  </w:r>
                </w:p>
              </w:tc>
              <w:tc>
                <w:tcPr>
                  <w:tcW w:w="3657" w:type="dxa"/>
                  <w:tcBorders>
                    <w:tl2br w:val="nil"/>
                    <w:tr2bl w:val="nil"/>
                  </w:tcBorders>
                  <w:shd w:val="clear" w:color="auto" w:fill="auto"/>
                  <w:noWrap w:val="0"/>
                  <w:vAlign w:val="center"/>
                </w:tcPr>
                <w:p w14:paraId="6029248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000000"/>
                      <w:kern w:val="2"/>
                      <w:sz w:val="21"/>
                      <w:szCs w:val="21"/>
                      <w:lang w:val="en-US" w:eastAsia="zh-CN" w:bidi="ar-SA"/>
                    </w:rPr>
                    <w:t>导热油炉</w:t>
                  </w:r>
                </w:p>
              </w:tc>
              <w:tc>
                <w:tcPr>
                  <w:tcW w:w="688" w:type="dxa"/>
                  <w:tcBorders>
                    <w:tl2br w:val="nil"/>
                    <w:tr2bl w:val="nil"/>
                  </w:tcBorders>
                  <w:shd w:val="clear" w:color="auto" w:fill="auto"/>
                  <w:noWrap w:val="0"/>
                  <w:vAlign w:val="center"/>
                </w:tcPr>
                <w:p w14:paraId="288C3E5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1台</w:t>
                  </w:r>
                </w:p>
              </w:tc>
              <w:tc>
                <w:tcPr>
                  <w:tcW w:w="2879" w:type="dxa"/>
                  <w:tcBorders>
                    <w:tl2br w:val="nil"/>
                    <w:tr2bl w:val="nil"/>
                  </w:tcBorders>
                  <w:shd w:val="clear" w:color="auto" w:fill="auto"/>
                  <w:noWrap w:val="0"/>
                  <w:vAlign w:val="center"/>
                </w:tcPr>
                <w:p w14:paraId="7015795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98</w:t>
                  </w:r>
                </w:p>
              </w:tc>
            </w:tr>
            <w:tr w14:paraId="5067B9D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1" w:hRule="atLeast"/>
                <w:jc w:val="center"/>
              </w:trPr>
              <w:tc>
                <w:tcPr>
                  <w:tcW w:w="778" w:type="dxa"/>
                  <w:tcBorders>
                    <w:tl2br w:val="nil"/>
                    <w:tr2bl w:val="nil"/>
                  </w:tcBorders>
                  <w:noWrap w:val="0"/>
                  <w:vAlign w:val="center"/>
                </w:tcPr>
                <w:p w14:paraId="4649094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7</w:t>
                  </w:r>
                </w:p>
              </w:tc>
              <w:tc>
                <w:tcPr>
                  <w:tcW w:w="3657" w:type="dxa"/>
                  <w:tcBorders>
                    <w:tl2br w:val="nil"/>
                    <w:tr2bl w:val="nil"/>
                  </w:tcBorders>
                  <w:shd w:val="clear" w:color="auto" w:fill="auto"/>
                  <w:noWrap w:val="0"/>
                  <w:vAlign w:val="center"/>
                </w:tcPr>
                <w:p w14:paraId="690BC511">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color w:val="auto"/>
                      <w:lang w:val="en-US" w:eastAsia="zh-CN"/>
                    </w:rPr>
                  </w:pPr>
                  <w:r>
                    <w:rPr>
                      <w:rFonts w:hint="eastAsia" w:cs="Times New Roman"/>
                      <w:color w:val="000000"/>
                      <w:kern w:val="2"/>
                      <w:sz w:val="21"/>
                      <w:szCs w:val="21"/>
                      <w:lang w:val="en-US" w:eastAsia="zh-CN" w:bidi="ar-SA"/>
                    </w:rPr>
                    <w:t>天然气热风炉</w:t>
                  </w:r>
                </w:p>
              </w:tc>
              <w:tc>
                <w:tcPr>
                  <w:tcW w:w="688" w:type="dxa"/>
                  <w:tcBorders>
                    <w:tl2br w:val="nil"/>
                    <w:tr2bl w:val="nil"/>
                  </w:tcBorders>
                  <w:shd w:val="clear" w:color="auto" w:fill="auto"/>
                  <w:noWrap w:val="0"/>
                  <w:vAlign w:val="center"/>
                </w:tcPr>
                <w:p w14:paraId="5194F3B7">
                  <w:pPr>
                    <w:keepNext w:val="0"/>
                    <w:keepLines w:val="0"/>
                    <w:pageBreakBefore w:val="0"/>
                    <w:kinsoku/>
                    <w:wordWrap/>
                    <w:overflowPunct/>
                    <w:topLinePunct w:val="0"/>
                    <w:autoSpaceDE/>
                    <w:autoSpaceDN/>
                    <w:bidi w:val="0"/>
                    <w:adjustRightInd/>
                    <w:snapToGrid/>
                    <w:spacing w:line="240" w:lineRule="exact"/>
                    <w:jc w:val="center"/>
                    <w:rPr>
                      <w:rFonts w:hint="eastAsia" w:cs="Times New Roman"/>
                      <w:color w:val="auto"/>
                      <w:lang w:val="en-US" w:eastAsia="zh-CN"/>
                    </w:rPr>
                  </w:pPr>
                  <w:r>
                    <w:rPr>
                      <w:rFonts w:hint="eastAsia" w:cs="Times New Roman"/>
                      <w:color w:val="auto"/>
                      <w:lang w:val="en-US" w:eastAsia="zh-CN"/>
                    </w:rPr>
                    <w:t>1台</w:t>
                  </w:r>
                </w:p>
              </w:tc>
              <w:tc>
                <w:tcPr>
                  <w:tcW w:w="2879" w:type="dxa"/>
                  <w:tcBorders>
                    <w:tl2br w:val="nil"/>
                    <w:tr2bl w:val="nil"/>
                  </w:tcBorders>
                  <w:shd w:val="clear" w:color="auto" w:fill="auto"/>
                  <w:noWrap w:val="0"/>
                  <w:vAlign w:val="center"/>
                </w:tcPr>
                <w:p w14:paraId="059CD06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98</w:t>
                  </w:r>
                </w:p>
              </w:tc>
            </w:tr>
            <w:tr w14:paraId="690AFED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1" w:hRule="atLeast"/>
                <w:jc w:val="center"/>
              </w:trPr>
              <w:tc>
                <w:tcPr>
                  <w:tcW w:w="778" w:type="dxa"/>
                  <w:tcBorders>
                    <w:tl2br w:val="nil"/>
                    <w:tr2bl w:val="nil"/>
                  </w:tcBorders>
                  <w:noWrap w:val="0"/>
                  <w:vAlign w:val="center"/>
                </w:tcPr>
                <w:p w14:paraId="70F1A88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8</w:t>
                  </w:r>
                </w:p>
              </w:tc>
              <w:tc>
                <w:tcPr>
                  <w:tcW w:w="3657" w:type="dxa"/>
                  <w:tcBorders>
                    <w:tl2br w:val="nil"/>
                    <w:tr2bl w:val="nil"/>
                  </w:tcBorders>
                  <w:shd w:val="clear" w:color="auto" w:fill="auto"/>
                  <w:noWrap w:val="0"/>
                  <w:vAlign w:val="center"/>
                </w:tcPr>
                <w:p w14:paraId="2A8ADD8E">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空压机</w:t>
                  </w:r>
                </w:p>
              </w:tc>
              <w:tc>
                <w:tcPr>
                  <w:tcW w:w="688" w:type="dxa"/>
                  <w:tcBorders>
                    <w:tl2br w:val="nil"/>
                    <w:tr2bl w:val="nil"/>
                  </w:tcBorders>
                  <w:shd w:val="clear" w:color="auto" w:fill="auto"/>
                  <w:noWrap w:val="0"/>
                  <w:vAlign w:val="center"/>
                </w:tcPr>
                <w:p w14:paraId="26A6DDE7">
                  <w:pPr>
                    <w:keepNext w:val="0"/>
                    <w:keepLines w:val="0"/>
                    <w:pageBreakBefore w:val="0"/>
                    <w:kinsoku/>
                    <w:wordWrap/>
                    <w:overflowPunct/>
                    <w:topLinePunct w:val="0"/>
                    <w:autoSpaceDE/>
                    <w:autoSpaceDN/>
                    <w:bidi w:val="0"/>
                    <w:adjustRightInd/>
                    <w:snapToGrid/>
                    <w:spacing w:line="240" w:lineRule="exact"/>
                    <w:jc w:val="center"/>
                    <w:rPr>
                      <w:rFonts w:hint="eastAsia" w:cs="Times New Roman"/>
                      <w:color w:val="auto"/>
                      <w:lang w:val="en-US" w:eastAsia="zh-CN"/>
                    </w:rPr>
                  </w:pPr>
                  <w:r>
                    <w:rPr>
                      <w:rFonts w:hint="eastAsia" w:cs="Times New Roman"/>
                      <w:color w:val="auto"/>
                      <w:lang w:val="en-US" w:eastAsia="zh-CN"/>
                    </w:rPr>
                    <w:t>1</w:t>
                  </w:r>
                  <w:r>
                    <w:rPr>
                      <w:rFonts w:hint="eastAsia" w:ascii="Times New Roman" w:hAnsi="Times New Roman" w:eastAsia="宋体" w:cs="Times New Roman"/>
                      <w:color w:val="auto"/>
                      <w:lang w:val="en-US" w:eastAsia="zh-CN"/>
                    </w:rPr>
                    <w:t>台</w:t>
                  </w:r>
                </w:p>
              </w:tc>
              <w:tc>
                <w:tcPr>
                  <w:tcW w:w="2879" w:type="dxa"/>
                  <w:tcBorders>
                    <w:tl2br w:val="nil"/>
                    <w:tr2bl w:val="nil"/>
                  </w:tcBorders>
                  <w:shd w:val="clear" w:color="auto" w:fill="auto"/>
                  <w:noWrap w:val="0"/>
                  <w:vAlign w:val="center"/>
                </w:tcPr>
                <w:p w14:paraId="327EE1C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87</w:t>
                  </w:r>
                  <w:r>
                    <w:rPr>
                      <w:rFonts w:hint="default" w:ascii="Times New Roman" w:hAnsi="Times New Roman" w:eastAsia="宋体" w:cs="Times New Roman"/>
                      <w:sz w:val="21"/>
                      <w:szCs w:val="21"/>
                      <w:lang w:val="en-US" w:eastAsia="zh-CN"/>
                    </w:rPr>
                    <w:t>.5</w:t>
                  </w:r>
                </w:p>
              </w:tc>
            </w:tr>
            <w:tr w14:paraId="4E9B5E2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1" w:hRule="atLeast"/>
                <w:jc w:val="center"/>
              </w:trPr>
              <w:tc>
                <w:tcPr>
                  <w:tcW w:w="778" w:type="dxa"/>
                  <w:tcBorders>
                    <w:tl2br w:val="nil"/>
                    <w:tr2bl w:val="nil"/>
                  </w:tcBorders>
                  <w:noWrap w:val="0"/>
                  <w:vAlign w:val="center"/>
                </w:tcPr>
                <w:p w14:paraId="3D29019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9</w:t>
                  </w:r>
                </w:p>
              </w:tc>
              <w:tc>
                <w:tcPr>
                  <w:tcW w:w="3657" w:type="dxa"/>
                  <w:tcBorders>
                    <w:tl2br w:val="nil"/>
                    <w:tr2bl w:val="nil"/>
                  </w:tcBorders>
                  <w:shd w:val="clear" w:color="auto" w:fill="auto"/>
                  <w:noWrap w:val="0"/>
                  <w:vAlign w:val="center"/>
                </w:tcPr>
                <w:p w14:paraId="10DE11D3">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风机</w:t>
                  </w:r>
                </w:p>
              </w:tc>
              <w:tc>
                <w:tcPr>
                  <w:tcW w:w="688" w:type="dxa"/>
                  <w:tcBorders>
                    <w:tl2br w:val="nil"/>
                    <w:tr2bl w:val="nil"/>
                  </w:tcBorders>
                  <w:shd w:val="clear" w:color="auto" w:fill="auto"/>
                  <w:noWrap w:val="0"/>
                  <w:vAlign w:val="center"/>
                </w:tcPr>
                <w:p w14:paraId="03902D8D">
                  <w:pPr>
                    <w:keepNext w:val="0"/>
                    <w:keepLines w:val="0"/>
                    <w:pageBreakBefore w:val="0"/>
                    <w:kinsoku/>
                    <w:wordWrap/>
                    <w:overflowPunct/>
                    <w:topLinePunct w:val="0"/>
                    <w:autoSpaceDE/>
                    <w:autoSpaceDN/>
                    <w:bidi w:val="0"/>
                    <w:adjustRightInd/>
                    <w:snapToGrid/>
                    <w:spacing w:line="240" w:lineRule="exact"/>
                    <w:jc w:val="center"/>
                    <w:rPr>
                      <w:rFonts w:hint="eastAsia" w:cs="Times New Roman"/>
                      <w:color w:val="auto"/>
                      <w:lang w:val="en-US" w:eastAsia="zh-CN"/>
                    </w:rPr>
                  </w:pPr>
                  <w:r>
                    <w:rPr>
                      <w:rFonts w:hint="eastAsia" w:cs="Times New Roman"/>
                      <w:color w:val="auto"/>
                      <w:lang w:val="en-US" w:eastAsia="zh-CN"/>
                    </w:rPr>
                    <w:t>5</w:t>
                  </w:r>
                  <w:r>
                    <w:rPr>
                      <w:rFonts w:hint="eastAsia" w:ascii="Times New Roman" w:hAnsi="Times New Roman" w:eastAsia="宋体" w:cs="Times New Roman"/>
                      <w:color w:val="auto"/>
                      <w:lang w:val="en-US" w:eastAsia="zh-CN"/>
                    </w:rPr>
                    <w:t>台</w:t>
                  </w:r>
                </w:p>
              </w:tc>
              <w:tc>
                <w:tcPr>
                  <w:tcW w:w="2879" w:type="dxa"/>
                  <w:tcBorders>
                    <w:tl2br w:val="nil"/>
                    <w:tr2bl w:val="nil"/>
                  </w:tcBorders>
                  <w:shd w:val="clear" w:color="auto" w:fill="auto"/>
                  <w:noWrap w:val="0"/>
                  <w:vAlign w:val="center"/>
                </w:tcPr>
                <w:p w14:paraId="17784B9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87</w:t>
                  </w:r>
                  <w:r>
                    <w:rPr>
                      <w:rFonts w:hint="default" w:ascii="Times New Roman" w:hAnsi="Times New Roman" w:eastAsia="宋体" w:cs="Times New Roman"/>
                      <w:sz w:val="21"/>
                      <w:szCs w:val="21"/>
                      <w:lang w:val="en-US" w:eastAsia="zh-CN"/>
                    </w:rPr>
                    <w:t>.5</w:t>
                  </w:r>
                </w:p>
              </w:tc>
            </w:tr>
          </w:tbl>
          <w:p w14:paraId="27E8C7EC">
            <w:pPr>
              <w:spacing w:line="240" w:lineRule="auto"/>
              <w:ind w:firstLine="0" w:firstLineChars="0"/>
              <w:jc w:val="center"/>
              <w:rPr>
                <w:rFonts w:hint="eastAsia"/>
                <w:b w:val="0"/>
                <w:bCs w:val="0"/>
                <w:sz w:val="21"/>
                <w:szCs w:val="21"/>
                <w:lang w:eastAsia="zh-CN"/>
              </w:rPr>
            </w:pPr>
          </w:p>
          <w:p w14:paraId="573E97E8">
            <w:pPr>
              <w:wordWrap w:val="0"/>
              <w:spacing w:line="360" w:lineRule="auto"/>
              <w:ind w:firstLine="482" w:firstLineChars="200"/>
              <w:rPr>
                <w:rFonts w:hint="eastAsia" w:eastAsia="宋体"/>
                <w:b/>
                <w:bCs/>
                <w:sz w:val="24"/>
                <w:lang w:eastAsia="zh-CN"/>
              </w:rPr>
            </w:pPr>
            <w:r>
              <w:rPr>
                <w:rFonts w:hint="eastAsia" w:eastAsia="宋体"/>
                <w:b/>
                <w:bCs/>
                <w:sz w:val="24"/>
                <w:lang w:eastAsia="zh-CN"/>
              </w:rPr>
              <w:t>（</w:t>
            </w:r>
            <w:r>
              <w:rPr>
                <w:rFonts w:hint="eastAsia" w:eastAsia="宋体"/>
                <w:b/>
                <w:bCs/>
                <w:sz w:val="24"/>
                <w:lang w:val="en-US" w:eastAsia="zh-CN"/>
              </w:rPr>
              <w:t>2</w:t>
            </w:r>
            <w:r>
              <w:rPr>
                <w:rFonts w:hint="eastAsia" w:eastAsia="宋体"/>
                <w:b/>
                <w:bCs/>
                <w:sz w:val="24"/>
                <w:lang w:eastAsia="zh-CN"/>
              </w:rPr>
              <w:t>）噪声源强调查清单参数（</w:t>
            </w:r>
            <w:r>
              <w:rPr>
                <w:rFonts w:hint="eastAsia" w:eastAsia="宋体"/>
                <w:b/>
                <w:bCs/>
                <w:sz w:val="24"/>
                <w:lang w:val="en-US" w:eastAsia="zh-CN"/>
              </w:rPr>
              <w:t>室内声源</w:t>
            </w:r>
            <w:r>
              <w:rPr>
                <w:rFonts w:hint="eastAsia" w:eastAsia="宋体"/>
                <w:b/>
                <w:bCs/>
                <w:sz w:val="24"/>
                <w:lang w:eastAsia="zh-CN"/>
              </w:rPr>
              <w:t>）</w:t>
            </w:r>
          </w:p>
          <w:p w14:paraId="1DD4B27F">
            <w:pPr>
              <w:wordWrap w:val="0"/>
              <w:spacing w:line="360" w:lineRule="auto"/>
              <w:ind w:firstLine="480" w:firstLineChars="200"/>
              <w:rPr>
                <w:rFonts w:hint="eastAsia" w:eastAsia="宋体"/>
                <w:sz w:val="24"/>
                <w:lang w:eastAsia="zh-CN"/>
              </w:rPr>
            </w:pPr>
            <w:r>
              <w:rPr>
                <w:rFonts w:hint="eastAsia" w:eastAsia="宋体"/>
                <w:sz w:val="24"/>
                <w:lang w:eastAsia="zh-CN"/>
              </w:rPr>
              <w:t>根据《环境影响评价技术导则 声环境》（HJ2.4-2021）附录B的公式计算设备噪声的室内边界及室外建筑噪声。</w:t>
            </w:r>
          </w:p>
          <w:p w14:paraId="71C4B342">
            <w:pPr>
              <w:pStyle w:val="50"/>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①</w:t>
            </w:r>
            <w:r>
              <w:rPr>
                <w:rFonts w:hint="default" w:ascii="Times New Roman" w:hAnsi="Times New Roman" w:eastAsia="宋体" w:cs="Times New Roman"/>
                <w:b/>
                <w:bCs/>
                <w:color w:val="auto"/>
                <w:sz w:val="24"/>
                <w:szCs w:val="24"/>
                <w:highlight w:val="none"/>
                <w:lang w:val="en-US" w:eastAsia="zh-CN"/>
              </w:rPr>
              <w:t>室内边界声级</w:t>
            </w:r>
            <w:r>
              <w:rPr>
                <w:rFonts w:hint="eastAsia" w:ascii="Times New Roman" w:hAnsi="Times New Roman" w:cs="Times New Roman"/>
                <w:b/>
                <w:bCs/>
                <w:color w:val="auto"/>
                <w:sz w:val="24"/>
                <w:szCs w:val="24"/>
                <w:highlight w:val="none"/>
                <w:lang w:val="en-US" w:eastAsia="zh-CN"/>
              </w:rPr>
              <w:t>计算公式</w:t>
            </w:r>
          </w:p>
          <w:p w14:paraId="2C252726">
            <w:pPr>
              <w:pStyle w:val="50"/>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auto"/>
                <w:spacing w:val="0"/>
                <w:kern w:val="21"/>
                <w:sz w:val="24"/>
                <w:szCs w:val="24"/>
                <w:highlight w:val="none"/>
                <w:u w:val="none"/>
                <w:lang w:val="en-US" w:eastAsia="zh-CN"/>
              </w:rPr>
            </w:pPr>
            <w:r>
              <w:rPr>
                <w:rFonts w:hint="eastAsia" w:ascii="Times New Roman" w:hAnsi="Times New Roman" w:eastAsia="宋体" w:cs="Times New Roman"/>
                <w:color w:val="auto"/>
                <w:spacing w:val="0"/>
                <w:kern w:val="21"/>
                <w:sz w:val="24"/>
                <w:szCs w:val="24"/>
                <w:highlight w:val="none"/>
                <w:u w:val="none"/>
                <w:lang w:val="en-US" w:eastAsia="zh-CN"/>
              </w:rPr>
              <w:t>计算某一室内声源靠近围护结构处产生的倍频带声压级或</w:t>
            </w:r>
            <w:r>
              <w:rPr>
                <w:rFonts w:hint="default" w:ascii="Times New Roman" w:hAnsi="Times New Roman" w:eastAsia="宋体" w:cs="Times New Roman"/>
                <w:color w:val="auto"/>
                <w:spacing w:val="0"/>
                <w:kern w:val="21"/>
                <w:sz w:val="24"/>
                <w:szCs w:val="24"/>
                <w:highlight w:val="none"/>
                <w:u w:val="none"/>
                <w:lang w:val="en-US" w:eastAsia="zh-CN"/>
              </w:rPr>
              <w:t>A</w:t>
            </w:r>
            <w:r>
              <w:rPr>
                <w:rFonts w:hint="eastAsia" w:ascii="Times New Roman" w:hAnsi="Times New Roman" w:eastAsia="宋体" w:cs="Times New Roman"/>
                <w:color w:val="auto"/>
                <w:spacing w:val="0"/>
                <w:kern w:val="21"/>
                <w:sz w:val="24"/>
                <w:szCs w:val="24"/>
                <w:highlight w:val="none"/>
                <w:u w:val="none"/>
                <w:lang w:val="en-US" w:eastAsia="zh-CN"/>
              </w:rPr>
              <w:t>声级</w:t>
            </w:r>
            <w:r>
              <w:rPr>
                <w:rFonts w:hint="eastAsia" w:ascii="Times New Roman" w:hAnsi="Times New Roman" w:cs="Times New Roman"/>
                <w:color w:val="auto"/>
                <w:spacing w:val="0"/>
                <w:kern w:val="21"/>
                <w:sz w:val="24"/>
                <w:szCs w:val="24"/>
                <w:highlight w:val="none"/>
                <w:u w:val="none"/>
                <w:lang w:val="en-US" w:eastAsia="zh-CN"/>
              </w:rPr>
              <w:t>的公式如下</w:t>
            </w:r>
            <w:r>
              <w:rPr>
                <w:rFonts w:hint="eastAsia" w:ascii="Times New Roman" w:hAnsi="Times New Roman" w:eastAsia="宋体" w:cs="Times New Roman"/>
                <w:color w:val="auto"/>
                <w:spacing w:val="0"/>
                <w:kern w:val="21"/>
                <w:sz w:val="24"/>
                <w:szCs w:val="24"/>
                <w:highlight w:val="none"/>
                <w:u w:val="none"/>
                <w:lang w:val="en-US" w:eastAsia="zh-CN"/>
              </w:rPr>
              <w:t>：</w:t>
            </w:r>
          </w:p>
          <w:p w14:paraId="79C016C3">
            <w:pPr>
              <w:pStyle w:val="50"/>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eastAsia" w:cs="Times New Roman"/>
                <w:color w:val="auto"/>
                <w:highlight w:val="none"/>
                <w:lang w:eastAsia="zh-CN"/>
              </w:rPr>
            </w:pPr>
            <w:r>
              <w:rPr>
                <w:color w:val="auto"/>
                <w:highlight w:val="none"/>
              </w:rPr>
              <w:drawing>
                <wp:inline distT="0" distB="0" distL="114300" distR="114300">
                  <wp:extent cx="1535430" cy="398145"/>
                  <wp:effectExtent l="0" t="0" r="3810" b="13335"/>
                  <wp:docPr id="235"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33"/>
                          <pic:cNvPicPr>
                            <a:picLocks noChangeAspect="1"/>
                          </pic:cNvPicPr>
                        </pic:nvPicPr>
                        <pic:blipFill>
                          <a:blip r:embed="rId20"/>
                          <a:stretch>
                            <a:fillRect/>
                          </a:stretch>
                        </pic:blipFill>
                        <pic:spPr>
                          <a:xfrm>
                            <a:off x="0" y="0"/>
                            <a:ext cx="1535430" cy="398145"/>
                          </a:xfrm>
                          <a:prstGeom prst="rect">
                            <a:avLst/>
                          </a:prstGeom>
                          <a:noFill/>
                          <a:ln>
                            <a:noFill/>
                          </a:ln>
                        </pic:spPr>
                      </pic:pic>
                    </a:graphicData>
                  </a:graphic>
                </wp:inline>
              </w:drawing>
            </w:r>
          </w:p>
          <w:p w14:paraId="0A693036">
            <w:pPr>
              <w:pStyle w:val="2"/>
              <w:keepNext w:val="0"/>
              <w:keepLines w:val="0"/>
              <w:pageBreakBefore w:val="0"/>
              <w:kinsoku/>
              <w:wordWrap/>
              <w:overflowPunct/>
              <w:topLinePunct w:val="0"/>
              <w:autoSpaceDE/>
              <w:autoSpaceDN/>
              <w:bidi w:val="0"/>
              <w:adjustRightInd/>
              <w:snapToGrid/>
              <w:spacing w:before="0" w:after="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式中：L</w:t>
            </w:r>
            <w:r>
              <w:rPr>
                <w:rFonts w:hint="default" w:ascii="Times New Roman" w:hAnsi="Times New Roman" w:eastAsia="宋体" w:cs="Times New Roman"/>
                <w:color w:val="auto"/>
                <w:kern w:val="2"/>
                <w:sz w:val="24"/>
                <w:szCs w:val="24"/>
                <w:highlight w:val="none"/>
                <w:vertAlign w:val="subscript"/>
                <w:lang w:val="en-US" w:eastAsia="zh-CN" w:bidi="ar-SA"/>
              </w:rPr>
              <w:t>p1</w:t>
            </w:r>
            <w:r>
              <w:rPr>
                <w:rFonts w:hint="default" w:ascii="Times New Roman" w:hAnsi="Times New Roman" w:eastAsia="宋体" w:cs="Times New Roman"/>
                <w:color w:val="auto"/>
                <w:kern w:val="2"/>
                <w:sz w:val="24"/>
                <w:szCs w:val="24"/>
                <w:highlight w:val="none"/>
                <w:lang w:val="en-US" w:eastAsia="zh-CN" w:bidi="ar-SA"/>
              </w:rPr>
              <w:t>——靠近开口处（或窗户）室内某倍频带的声压级或A声级，dB；</w:t>
            </w:r>
          </w:p>
          <w:p w14:paraId="2AADDC7B">
            <w:pPr>
              <w:pStyle w:val="2"/>
              <w:keepNext w:val="0"/>
              <w:keepLines w:val="0"/>
              <w:pageBreakBefore w:val="0"/>
              <w:kinsoku/>
              <w:wordWrap/>
              <w:overflowPunct/>
              <w:topLinePunct w:val="0"/>
              <w:autoSpaceDE/>
              <w:autoSpaceDN/>
              <w:bidi w:val="0"/>
              <w:adjustRightInd/>
              <w:snapToGrid/>
              <w:spacing w:before="0" w:after="0" w:line="360" w:lineRule="auto"/>
              <w:ind w:left="0" w:right="0" w:firstLine="1200" w:firstLineChars="5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Q——指向性因数；通常对无指向性声源，当声源放在房间中心时，Q=1；当放在一面墙的中心时，Q=2；当放在两面墙夹角处时，Q=4；当放在三面墙夹角处时，Q=8；</w:t>
            </w:r>
          </w:p>
          <w:p w14:paraId="06EBA4DB">
            <w:pPr>
              <w:keepNext w:val="0"/>
              <w:keepLines w:val="0"/>
              <w:pageBreakBefore w:val="0"/>
              <w:kinsoku/>
              <w:wordWrap/>
              <w:overflowPunct/>
              <w:topLinePunct w:val="0"/>
              <w:autoSpaceDE/>
              <w:autoSpaceDN/>
              <w:bidi w:val="0"/>
              <w:adjustRightInd/>
              <w:snapToGrid/>
              <w:spacing w:line="360" w:lineRule="auto"/>
              <w:ind w:left="0" w:right="0" w:firstLine="1200" w:firstLineChars="5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R——房间常数；R=Sa/（1-a），S为房间内表面面积，m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；α为平均吸声系数；</w:t>
            </w:r>
          </w:p>
          <w:p w14:paraId="795E0E83">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r——声源到靠近围护结构某点处的距离，m。</w:t>
            </w:r>
          </w:p>
          <w:p w14:paraId="44551B7D">
            <w:pPr>
              <w:pStyle w:val="50"/>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pacing w:val="0"/>
                <w:kern w:val="21"/>
                <w:sz w:val="24"/>
                <w:szCs w:val="24"/>
                <w:highlight w:val="none"/>
                <w:u w:val="none"/>
                <w:lang w:val="en-US" w:eastAsia="zh-CN"/>
              </w:rPr>
            </w:pPr>
            <w:r>
              <w:rPr>
                <w:rFonts w:hint="default" w:ascii="Times New Roman" w:hAnsi="Times New Roman" w:eastAsia="宋体" w:cs="Times New Roman"/>
                <w:sz w:val="24"/>
                <w:lang w:eastAsia="zh-CN"/>
              </w:rPr>
              <w:t>Lw——点声源声功率级（A计权或倍频带），dB；</w:t>
            </w:r>
          </w:p>
          <w:p w14:paraId="5F0AC9EE">
            <w:pPr>
              <w:pStyle w:val="5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pacing w:val="0"/>
                <w:kern w:val="21"/>
                <w:sz w:val="24"/>
                <w:szCs w:val="24"/>
                <w:highlight w:val="none"/>
                <w:u w:val="none"/>
                <w:lang w:val="en-US" w:eastAsia="zh-CN"/>
              </w:rPr>
            </w:pPr>
            <w:r>
              <w:rPr>
                <w:rFonts w:hint="default" w:ascii="Times New Roman" w:hAnsi="Times New Roman" w:eastAsia="宋体" w:cs="Times New Roman"/>
                <w:color w:val="auto"/>
                <w:spacing w:val="0"/>
                <w:kern w:val="21"/>
                <w:sz w:val="24"/>
                <w:szCs w:val="24"/>
                <w:highlight w:val="none"/>
                <w:u w:val="none"/>
                <w:lang w:val="en-US" w:eastAsia="zh-CN"/>
              </w:rPr>
              <w:t>本项目生产车间厂房</w:t>
            </w:r>
            <w:r>
              <w:rPr>
                <w:rFonts w:hint="eastAsia" w:ascii="Times New Roman" w:hAnsi="Times New Roman" w:eastAsia="宋体" w:cs="Times New Roman"/>
                <w:color w:val="auto"/>
                <w:spacing w:val="0"/>
                <w:kern w:val="21"/>
                <w:sz w:val="24"/>
                <w:szCs w:val="24"/>
                <w:highlight w:val="none"/>
                <w:u w:val="none"/>
                <w:lang w:val="en-US" w:eastAsia="zh-CN"/>
              </w:rPr>
              <w:t>采用</w:t>
            </w:r>
            <w:r>
              <w:rPr>
                <w:rFonts w:hint="default" w:ascii="Times New Roman" w:hAnsi="Times New Roman" w:eastAsia="宋体" w:cs="Times New Roman"/>
                <w:color w:val="auto"/>
                <w:spacing w:val="0"/>
                <w:kern w:val="21"/>
                <w:sz w:val="24"/>
                <w:szCs w:val="24"/>
                <w:highlight w:val="none"/>
                <w:u w:val="none"/>
                <w:lang w:val="en-US" w:eastAsia="zh-CN"/>
              </w:rPr>
              <w:t>2mm镀锌铝板，参考《环境工程手册 环境噪声控制卷》（2000年）中表4-1常用建筑材料类的吸声系数，无铝板的吸声系数取值，本项目吸声系数取低值0.01；地面为混凝土刷漆，其参数取值见下表：</w:t>
            </w:r>
          </w:p>
          <w:p w14:paraId="730299A9">
            <w:pPr>
              <w:numPr>
                <w:ilvl w:val="0"/>
                <w:numId w:val="6"/>
              </w:numPr>
              <w:adjustRightInd/>
              <w:snapToGrid/>
              <w:ind w:left="420" w:hanging="420"/>
              <w:jc w:val="center"/>
              <w:rPr>
                <w:rFonts w:hint="eastAsia" w:ascii="Times New Roman" w:hAnsi="Times New Roman" w:eastAsia="宋体" w:cs="Times New Roman"/>
                <w:b/>
                <w:bCs/>
                <w:spacing w:val="0"/>
                <w:sz w:val="21"/>
                <w:szCs w:val="21"/>
                <w:lang w:val="en-US" w:eastAsia="zh-CN"/>
              </w:rPr>
            </w:pPr>
            <w:r>
              <w:rPr>
                <w:rFonts w:hint="eastAsia" w:ascii="Times New Roman" w:hAnsi="Times New Roman" w:eastAsia="宋体" w:cs="Times New Roman"/>
                <w:b/>
                <w:bCs/>
                <w:spacing w:val="0"/>
                <w:sz w:val="21"/>
                <w:szCs w:val="21"/>
                <w:lang w:val="en-US" w:eastAsia="zh-CN"/>
              </w:rPr>
              <w:t>本项目噪声计算参数</w:t>
            </w:r>
          </w:p>
          <w:tbl>
            <w:tblPr>
              <w:tblStyle w:val="26"/>
              <w:tblW w:w="794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77"/>
              <w:gridCol w:w="599"/>
              <w:gridCol w:w="2496"/>
              <w:gridCol w:w="1443"/>
              <w:gridCol w:w="1544"/>
              <w:gridCol w:w="1087"/>
            </w:tblGrid>
            <w:tr w14:paraId="7E4CCA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376" w:type="dxa"/>
                  <w:gridSpan w:val="2"/>
                  <w:tcBorders>
                    <w:tl2br w:val="nil"/>
                    <w:tr2bl w:val="nil"/>
                  </w:tcBorders>
                  <w:noWrap/>
                  <w:vAlign w:val="center"/>
                </w:tcPr>
                <w:p w14:paraId="4E3A703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bCs w:val="0"/>
                      <w:i w:val="0"/>
                      <w:iCs w:val="0"/>
                      <w:color w:val="auto"/>
                      <w:sz w:val="21"/>
                      <w:szCs w:val="21"/>
                      <w:highlight w:val="none"/>
                      <w:u w:val="none"/>
                    </w:rPr>
                  </w:pPr>
                  <w:r>
                    <w:rPr>
                      <w:rFonts w:hint="default" w:ascii="Times New Roman" w:hAnsi="Times New Roman" w:eastAsia="宋体" w:cs="Times New Roman"/>
                      <w:b/>
                      <w:bCs w:val="0"/>
                      <w:i w:val="0"/>
                      <w:iCs w:val="0"/>
                      <w:color w:val="auto"/>
                      <w:kern w:val="0"/>
                      <w:sz w:val="21"/>
                      <w:szCs w:val="21"/>
                      <w:highlight w:val="none"/>
                      <w:u w:val="none"/>
                      <w:lang w:val="en-US" w:eastAsia="zh-CN" w:bidi="ar"/>
                    </w:rPr>
                    <w:t>a吸声系数</w:t>
                  </w:r>
                </w:p>
              </w:tc>
              <w:tc>
                <w:tcPr>
                  <w:tcW w:w="3939" w:type="dxa"/>
                  <w:gridSpan w:val="2"/>
                  <w:tcBorders>
                    <w:tl2br w:val="nil"/>
                    <w:tr2bl w:val="nil"/>
                  </w:tcBorders>
                  <w:noWrap/>
                  <w:vAlign w:val="center"/>
                </w:tcPr>
                <w:p w14:paraId="3A1D2E6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val="0"/>
                      <w:i w:val="0"/>
                      <w:iCs w:val="0"/>
                      <w:color w:val="auto"/>
                      <w:sz w:val="21"/>
                      <w:szCs w:val="21"/>
                      <w:highlight w:val="none"/>
                      <w:u w:val="none"/>
                    </w:rPr>
                  </w:pPr>
                  <w:r>
                    <w:rPr>
                      <w:rFonts w:hint="default" w:ascii="Times New Roman" w:hAnsi="Times New Roman" w:eastAsia="宋体" w:cs="Times New Roman"/>
                      <w:b/>
                      <w:bCs w:val="0"/>
                      <w:i w:val="0"/>
                      <w:iCs w:val="0"/>
                      <w:color w:val="auto"/>
                      <w:kern w:val="0"/>
                      <w:sz w:val="21"/>
                      <w:szCs w:val="21"/>
                      <w:highlight w:val="none"/>
                      <w:u w:val="none"/>
                      <w:lang w:val="en-US" w:eastAsia="zh-CN" w:bidi="ar"/>
                    </w:rPr>
                    <w:t>S房间表面积</w:t>
                  </w:r>
                </w:p>
              </w:tc>
              <w:tc>
                <w:tcPr>
                  <w:tcW w:w="1544" w:type="dxa"/>
                  <w:tcBorders>
                    <w:tl2br w:val="nil"/>
                    <w:tr2bl w:val="nil"/>
                  </w:tcBorders>
                  <w:noWrap/>
                  <w:vAlign w:val="center"/>
                </w:tcPr>
                <w:p w14:paraId="6135F84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val="0"/>
                      <w:i w:val="0"/>
                      <w:iCs w:val="0"/>
                      <w:color w:val="auto"/>
                      <w:sz w:val="21"/>
                      <w:szCs w:val="21"/>
                      <w:highlight w:val="none"/>
                      <w:u w:val="none"/>
                      <w:lang w:val="en-US" w:eastAsia="zh-CN"/>
                    </w:rPr>
                  </w:pPr>
                  <w:r>
                    <w:rPr>
                      <w:rFonts w:hint="default" w:ascii="Times New Roman" w:hAnsi="Times New Roman" w:eastAsia="宋体" w:cs="Times New Roman"/>
                      <w:b/>
                      <w:bCs w:val="0"/>
                      <w:i w:val="0"/>
                      <w:iCs w:val="0"/>
                      <w:color w:val="auto"/>
                      <w:sz w:val="21"/>
                      <w:szCs w:val="21"/>
                      <w:highlight w:val="none"/>
                      <w:u w:val="none"/>
                      <w:lang w:val="en-US" w:eastAsia="zh-CN"/>
                    </w:rPr>
                    <w:t>平均吸声系数</w:t>
                  </w:r>
                </w:p>
              </w:tc>
              <w:tc>
                <w:tcPr>
                  <w:tcW w:w="1087" w:type="dxa"/>
                  <w:tcBorders>
                    <w:tl2br w:val="nil"/>
                    <w:tr2bl w:val="nil"/>
                  </w:tcBorders>
                  <w:noWrap/>
                  <w:vAlign w:val="center"/>
                </w:tcPr>
                <w:p w14:paraId="6CCB230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val="0"/>
                      <w:i w:val="0"/>
                      <w:iCs w:val="0"/>
                      <w:color w:val="auto"/>
                      <w:sz w:val="21"/>
                      <w:szCs w:val="21"/>
                      <w:highlight w:val="none"/>
                      <w:u w:val="none"/>
                    </w:rPr>
                  </w:pPr>
                  <w:r>
                    <w:rPr>
                      <w:rFonts w:hint="default" w:ascii="Times New Roman" w:hAnsi="Times New Roman" w:eastAsia="宋体" w:cs="Times New Roman"/>
                      <w:b/>
                      <w:bCs w:val="0"/>
                      <w:i w:val="0"/>
                      <w:iCs w:val="0"/>
                      <w:color w:val="auto"/>
                      <w:kern w:val="0"/>
                      <w:sz w:val="21"/>
                      <w:szCs w:val="21"/>
                      <w:highlight w:val="none"/>
                      <w:u w:val="none"/>
                      <w:lang w:val="en-US" w:eastAsia="zh-CN" w:bidi="ar"/>
                    </w:rPr>
                    <w:t>房间常数</w:t>
                  </w:r>
                </w:p>
              </w:tc>
            </w:tr>
            <w:tr w14:paraId="6DAEA5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946" w:type="dxa"/>
                  <w:gridSpan w:val="6"/>
                  <w:tcBorders>
                    <w:tl2br w:val="nil"/>
                    <w:tr2bl w:val="nil"/>
                  </w:tcBorders>
                  <w:noWrap/>
                  <w:vAlign w:val="center"/>
                </w:tcPr>
                <w:p w14:paraId="6CC6BAF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煤粉生产车间</w:t>
                  </w:r>
                </w:p>
              </w:tc>
            </w:tr>
            <w:tr w14:paraId="080E92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77" w:type="dxa"/>
                  <w:tcBorders>
                    <w:tl2br w:val="nil"/>
                    <w:tr2bl w:val="nil"/>
                  </w:tcBorders>
                  <w:noWrap/>
                  <w:vAlign w:val="center"/>
                </w:tcPr>
                <w:p w14:paraId="1601EE0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顶面</w:t>
                  </w:r>
                </w:p>
              </w:tc>
              <w:tc>
                <w:tcPr>
                  <w:tcW w:w="599" w:type="dxa"/>
                  <w:tcBorders>
                    <w:tl2br w:val="nil"/>
                    <w:tr2bl w:val="nil"/>
                  </w:tcBorders>
                  <w:noWrap/>
                  <w:vAlign w:val="center"/>
                </w:tcPr>
                <w:p w14:paraId="405E025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1</w:t>
                  </w:r>
                </w:p>
              </w:tc>
              <w:tc>
                <w:tcPr>
                  <w:tcW w:w="2496" w:type="dxa"/>
                  <w:tcBorders>
                    <w:tl2br w:val="nil"/>
                    <w:tr2bl w:val="nil"/>
                  </w:tcBorders>
                  <w:noWrap/>
                  <w:vAlign w:val="center"/>
                </w:tcPr>
                <w:p w14:paraId="0A413BC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顶面</w:t>
                  </w:r>
                </w:p>
              </w:tc>
              <w:tc>
                <w:tcPr>
                  <w:tcW w:w="1443" w:type="dxa"/>
                  <w:tcBorders>
                    <w:tl2br w:val="nil"/>
                    <w:tr2bl w:val="nil"/>
                  </w:tcBorders>
                  <w:noWrap/>
                  <w:vAlign w:val="center"/>
                </w:tcPr>
                <w:p w14:paraId="0DC44DB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3000</w:t>
                  </w:r>
                </w:p>
              </w:tc>
              <w:tc>
                <w:tcPr>
                  <w:tcW w:w="1544" w:type="dxa"/>
                  <w:vMerge w:val="restart"/>
                  <w:tcBorders>
                    <w:tl2br w:val="nil"/>
                    <w:tr2bl w:val="nil"/>
                  </w:tcBorders>
                  <w:noWrap/>
                  <w:vAlign w:val="center"/>
                </w:tcPr>
                <w:p w14:paraId="5EEFC88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0.031</w:t>
                  </w:r>
                </w:p>
              </w:tc>
              <w:tc>
                <w:tcPr>
                  <w:tcW w:w="1087" w:type="dxa"/>
                  <w:vMerge w:val="restart"/>
                  <w:tcBorders>
                    <w:tl2br w:val="nil"/>
                    <w:tr2bl w:val="nil"/>
                  </w:tcBorders>
                  <w:noWrap/>
                  <w:vAlign w:val="center"/>
                </w:tcPr>
                <w:p w14:paraId="200F934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276.41</w:t>
                  </w:r>
                </w:p>
              </w:tc>
            </w:tr>
            <w:tr w14:paraId="7C5861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77" w:type="dxa"/>
                  <w:tcBorders>
                    <w:tl2br w:val="nil"/>
                    <w:tr2bl w:val="nil"/>
                  </w:tcBorders>
                  <w:noWrap/>
                  <w:vAlign w:val="center"/>
                </w:tcPr>
                <w:p w14:paraId="45268F6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墙面</w:t>
                  </w:r>
                </w:p>
              </w:tc>
              <w:tc>
                <w:tcPr>
                  <w:tcW w:w="599" w:type="dxa"/>
                  <w:tcBorders>
                    <w:tl2br w:val="nil"/>
                    <w:tr2bl w:val="nil"/>
                  </w:tcBorders>
                  <w:noWrap/>
                  <w:vAlign w:val="center"/>
                </w:tcPr>
                <w:p w14:paraId="17ADCCD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2496" w:type="dxa"/>
                  <w:tcBorders>
                    <w:tl2br w:val="nil"/>
                    <w:tr2bl w:val="nil"/>
                  </w:tcBorders>
                  <w:noWrap/>
                  <w:vAlign w:val="center"/>
                </w:tcPr>
                <w:p w14:paraId="3AF50E8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墙面（含东、南、西、北四个墙面）</w:t>
                  </w:r>
                </w:p>
              </w:tc>
              <w:tc>
                <w:tcPr>
                  <w:tcW w:w="1443" w:type="dxa"/>
                  <w:tcBorders>
                    <w:tl2br w:val="nil"/>
                    <w:tr2bl w:val="nil"/>
                  </w:tcBorders>
                  <w:noWrap/>
                  <w:vAlign w:val="center"/>
                </w:tcPr>
                <w:p w14:paraId="110A68C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2640</w:t>
                  </w:r>
                </w:p>
              </w:tc>
              <w:tc>
                <w:tcPr>
                  <w:tcW w:w="1544" w:type="dxa"/>
                  <w:vMerge w:val="continue"/>
                  <w:tcBorders>
                    <w:tl2br w:val="nil"/>
                    <w:tr2bl w:val="nil"/>
                  </w:tcBorders>
                  <w:noWrap/>
                  <w:vAlign w:val="center"/>
                </w:tcPr>
                <w:p w14:paraId="422FED6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rPr>
                  </w:pPr>
                </w:p>
              </w:tc>
              <w:tc>
                <w:tcPr>
                  <w:tcW w:w="1087" w:type="dxa"/>
                  <w:vMerge w:val="continue"/>
                  <w:tcBorders>
                    <w:tl2br w:val="nil"/>
                    <w:tr2bl w:val="nil"/>
                  </w:tcBorders>
                  <w:noWrap/>
                  <w:vAlign w:val="center"/>
                </w:tcPr>
                <w:p w14:paraId="206CEF0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rPr>
                  </w:pPr>
                </w:p>
              </w:tc>
            </w:tr>
            <w:tr w14:paraId="4F35B5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77" w:type="dxa"/>
                  <w:tcBorders>
                    <w:tl2br w:val="nil"/>
                    <w:tr2bl w:val="nil"/>
                  </w:tcBorders>
                  <w:noWrap/>
                  <w:vAlign w:val="center"/>
                </w:tcPr>
                <w:p w14:paraId="296D4B4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地面</w:t>
                  </w:r>
                </w:p>
              </w:tc>
              <w:tc>
                <w:tcPr>
                  <w:tcW w:w="599" w:type="dxa"/>
                  <w:tcBorders>
                    <w:tl2br w:val="nil"/>
                    <w:tr2bl w:val="nil"/>
                  </w:tcBorders>
                  <w:noWrap/>
                  <w:vAlign w:val="center"/>
                </w:tcPr>
                <w:p w14:paraId="6D6D55D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c>
                <w:tcPr>
                  <w:tcW w:w="2496" w:type="dxa"/>
                  <w:tcBorders>
                    <w:tl2br w:val="nil"/>
                    <w:tr2bl w:val="nil"/>
                  </w:tcBorders>
                  <w:noWrap/>
                  <w:vAlign w:val="center"/>
                </w:tcPr>
                <w:p w14:paraId="3497518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地面</w:t>
                  </w:r>
                </w:p>
              </w:tc>
              <w:tc>
                <w:tcPr>
                  <w:tcW w:w="1443" w:type="dxa"/>
                  <w:tcBorders>
                    <w:tl2br w:val="nil"/>
                    <w:tr2bl w:val="nil"/>
                  </w:tcBorders>
                  <w:noWrap/>
                  <w:vAlign w:val="center"/>
                </w:tcPr>
                <w:p w14:paraId="2663C95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3000</w:t>
                  </w:r>
                </w:p>
              </w:tc>
              <w:tc>
                <w:tcPr>
                  <w:tcW w:w="1544" w:type="dxa"/>
                  <w:vMerge w:val="continue"/>
                  <w:tcBorders>
                    <w:tl2br w:val="nil"/>
                    <w:tr2bl w:val="nil"/>
                  </w:tcBorders>
                  <w:noWrap/>
                  <w:vAlign w:val="center"/>
                </w:tcPr>
                <w:p w14:paraId="423B1E3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rPr>
                  </w:pPr>
                </w:p>
              </w:tc>
              <w:tc>
                <w:tcPr>
                  <w:tcW w:w="1087" w:type="dxa"/>
                  <w:vMerge w:val="continue"/>
                  <w:tcBorders>
                    <w:tl2br w:val="nil"/>
                    <w:tr2bl w:val="nil"/>
                  </w:tcBorders>
                  <w:noWrap/>
                  <w:vAlign w:val="center"/>
                </w:tcPr>
                <w:p w14:paraId="00FF5C6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rPr>
                  </w:pPr>
                </w:p>
              </w:tc>
            </w:tr>
            <w:tr w14:paraId="597AD3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946" w:type="dxa"/>
                  <w:gridSpan w:val="6"/>
                  <w:tcBorders>
                    <w:tl2br w:val="nil"/>
                    <w:tr2bl w:val="nil"/>
                  </w:tcBorders>
                  <w:noWrap/>
                  <w:vAlign w:val="center"/>
                </w:tcPr>
                <w:p w14:paraId="7A02EE1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沥青混凝土搅拌楼</w:t>
                  </w:r>
                </w:p>
              </w:tc>
            </w:tr>
            <w:tr w14:paraId="671AC2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8" w:hRule="atLeast"/>
                <w:jc w:val="center"/>
              </w:trPr>
              <w:tc>
                <w:tcPr>
                  <w:tcW w:w="777" w:type="dxa"/>
                  <w:tcBorders>
                    <w:tl2br w:val="nil"/>
                    <w:tr2bl w:val="nil"/>
                  </w:tcBorders>
                  <w:noWrap/>
                  <w:vAlign w:val="center"/>
                </w:tcPr>
                <w:p w14:paraId="5BDAB69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顶面</w:t>
                  </w:r>
                </w:p>
              </w:tc>
              <w:tc>
                <w:tcPr>
                  <w:tcW w:w="599" w:type="dxa"/>
                  <w:tcBorders>
                    <w:tl2br w:val="nil"/>
                    <w:tr2bl w:val="nil"/>
                  </w:tcBorders>
                  <w:noWrap/>
                  <w:vAlign w:val="center"/>
                </w:tcPr>
                <w:p w14:paraId="4E9D54F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0.01</w:t>
                  </w:r>
                </w:p>
              </w:tc>
              <w:tc>
                <w:tcPr>
                  <w:tcW w:w="2496" w:type="dxa"/>
                  <w:tcBorders>
                    <w:tl2br w:val="nil"/>
                    <w:tr2bl w:val="nil"/>
                  </w:tcBorders>
                  <w:noWrap/>
                  <w:vAlign w:val="center"/>
                </w:tcPr>
                <w:p w14:paraId="549C73E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顶棚</w:t>
                  </w:r>
                </w:p>
              </w:tc>
              <w:tc>
                <w:tcPr>
                  <w:tcW w:w="1443" w:type="dxa"/>
                  <w:tcBorders>
                    <w:tl2br w:val="nil"/>
                    <w:tr2bl w:val="nil"/>
                  </w:tcBorders>
                  <w:noWrap/>
                  <w:vAlign w:val="center"/>
                </w:tcPr>
                <w:p w14:paraId="3BBBECC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kern w:val="2"/>
                      <w:sz w:val="21"/>
                      <w:szCs w:val="21"/>
                      <w:highlight w:val="none"/>
                      <w:u w:val="none"/>
                      <w:lang w:val="en-US" w:eastAsia="zh-CN" w:bidi="ar-SA"/>
                    </w:rPr>
                    <w:t>2410</w:t>
                  </w:r>
                </w:p>
              </w:tc>
              <w:tc>
                <w:tcPr>
                  <w:tcW w:w="1544" w:type="dxa"/>
                  <w:vMerge w:val="restart"/>
                  <w:tcBorders>
                    <w:tl2br w:val="nil"/>
                    <w:tr2bl w:val="nil"/>
                  </w:tcBorders>
                  <w:noWrap/>
                  <w:vAlign w:val="center"/>
                </w:tcPr>
                <w:p w14:paraId="37DDAED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0.025</w:t>
                  </w:r>
                </w:p>
              </w:tc>
              <w:tc>
                <w:tcPr>
                  <w:tcW w:w="1087" w:type="dxa"/>
                  <w:vMerge w:val="restart"/>
                  <w:tcBorders>
                    <w:tl2br w:val="nil"/>
                    <w:tr2bl w:val="nil"/>
                  </w:tcBorders>
                  <w:noWrap/>
                  <w:vAlign w:val="center"/>
                </w:tcPr>
                <w:p w14:paraId="3696E98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252.12</w:t>
                  </w:r>
                </w:p>
              </w:tc>
            </w:tr>
            <w:tr w14:paraId="6B11F9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77" w:type="dxa"/>
                  <w:tcBorders>
                    <w:tl2br w:val="nil"/>
                    <w:tr2bl w:val="nil"/>
                  </w:tcBorders>
                  <w:noWrap/>
                  <w:vAlign w:val="center"/>
                </w:tcPr>
                <w:p w14:paraId="44333B5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墙面</w:t>
                  </w:r>
                </w:p>
              </w:tc>
              <w:tc>
                <w:tcPr>
                  <w:tcW w:w="599" w:type="dxa"/>
                  <w:tcBorders>
                    <w:tl2br w:val="nil"/>
                    <w:tr2bl w:val="nil"/>
                  </w:tcBorders>
                  <w:noWrap/>
                  <w:vAlign w:val="center"/>
                </w:tcPr>
                <w:p w14:paraId="56979C3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0.01</w:t>
                  </w:r>
                </w:p>
              </w:tc>
              <w:tc>
                <w:tcPr>
                  <w:tcW w:w="2496" w:type="dxa"/>
                  <w:tcBorders>
                    <w:tl2br w:val="nil"/>
                    <w:tr2bl w:val="nil"/>
                  </w:tcBorders>
                  <w:noWrap/>
                  <w:vAlign w:val="center"/>
                </w:tcPr>
                <w:p w14:paraId="156C357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墙面（含东、南、西、北四个墙面）</w:t>
                  </w:r>
                </w:p>
              </w:tc>
              <w:tc>
                <w:tcPr>
                  <w:tcW w:w="1443" w:type="dxa"/>
                  <w:tcBorders>
                    <w:tl2br w:val="nil"/>
                    <w:tr2bl w:val="nil"/>
                  </w:tcBorders>
                  <w:noWrap/>
                  <w:vAlign w:val="center"/>
                </w:tcPr>
                <w:p w14:paraId="030E282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kern w:val="2"/>
                      <w:sz w:val="21"/>
                      <w:szCs w:val="21"/>
                      <w:highlight w:val="none"/>
                      <w:u w:val="none"/>
                      <w:lang w:val="en-US" w:eastAsia="zh-CN" w:bidi="ar-SA"/>
                    </w:rPr>
                    <w:t>5012.5</w:t>
                  </w:r>
                </w:p>
              </w:tc>
              <w:tc>
                <w:tcPr>
                  <w:tcW w:w="1544" w:type="dxa"/>
                  <w:vMerge w:val="continue"/>
                  <w:tcBorders>
                    <w:tl2br w:val="nil"/>
                    <w:tr2bl w:val="nil"/>
                  </w:tcBorders>
                  <w:noWrap/>
                  <w:vAlign w:val="center"/>
                </w:tcPr>
                <w:p w14:paraId="31A9905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rPr>
                  </w:pPr>
                </w:p>
              </w:tc>
              <w:tc>
                <w:tcPr>
                  <w:tcW w:w="1087" w:type="dxa"/>
                  <w:vMerge w:val="continue"/>
                  <w:tcBorders>
                    <w:tl2br w:val="nil"/>
                    <w:tr2bl w:val="nil"/>
                  </w:tcBorders>
                  <w:noWrap/>
                  <w:vAlign w:val="center"/>
                </w:tcPr>
                <w:p w14:paraId="0A1C773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rPr>
                  </w:pPr>
                </w:p>
              </w:tc>
            </w:tr>
            <w:tr w14:paraId="55201B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77" w:type="dxa"/>
                  <w:tcBorders>
                    <w:tl2br w:val="nil"/>
                    <w:tr2bl w:val="nil"/>
                  </w:tcBorders>
                  <w:noWrap/>
                  <w:vAlign w:val="center"/>
                </w:tcPr>
                <w:p w14:paraId="306A018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地面</w:t>
                  </w:r>
                </w:p>
              </w:tc>
              <w:tc>
                <w:tcPr>
                  <w:tcW w:w="599" w:type="dxa"/>
                  <w:tcBorders>
                    <w:tl2br w:val="nil"/>
                    <w:tr2bl w:val="nil"/>
                  </w:tcBorders>
                  <w:noWrap/>
                  <w:vAlign w:val="center"/>
                </w:tcPr>
                <w:p w14:paraId="23A6180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0.07</w:t>
                  </w:r>
                </w:p>
              </w:tc>
              <w:tc>
                <w:tcPr>
                  <w:tcW w:w="2496" w:type="dxa"/>
                  <w:tcBorders>
                    <w:tl2br w:val="nil"/>
                    <w:tr2bl w:val="nil"/>
                  </w:tcBorders>
                  <w:noWrap/>
                  <w:vAlign w:val="center"/>
                </w:tcPr>
                <w:p w14:paraId="32072EC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地面</w:t>
                  </w:r>
                </w:p>
              </w:tc>
              <w:tc>
                <w:tcPr>
                  <w:tcW w:w="1443" w:type="dxa"/>
                  <w:tcBorders>
                    <w:tl2br w:val="nil"/>
                    <w:tr2bl w:val="nil"/>
                  </w:tcBorders>
                  <w:noWrap/>
                  <w:vAlign w:val="center"/>
                </w:tcPr>
                <w:p w14:paraId="4E488F8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kern w:val="2"/>
                      <w:sz w:val="21"/>
                      <w:szCs w:val="21"/>
                      <w:highlight w:val="none"/>
                      <w:u w:val="none"/>
                      <w:lang w:val="en-US" w:eastAsia="zh-CN" w:bidi="ar-SA"/>
                    </w:rPr>
                    <w:t>2410</w:t>
                  </w:r>
                </w:p>
              </w:tc>
              <w:tc>
                <w:tcPr>
                  <w:tcW w:w="1544" w:type="dxa"/>
                  <w:vMerge w:val="continue"/>
                  <w:tcBorders>
                    <w:tl2br w:val="nil"/>
                    <w:tr2bl w:val="nil"/>
                  </w:tcBorders>
                  <w:noWrap/>
                  <w:vAlign w:val="center"/>
                </w:tcPr>
                <w:p w14:paraId="00D51BB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rPr>
                  </w:pPr>
                </w:p>
              </w:tc>
              <w:tc>
                <w:tcPr>
                  <w:tcW w:w="1087" w:type="dxa"/>
                  <w:vMerge w:val="continue"/>
                  <w:tcBorders>
                    <w:tl2br w:val="nil"/>
                    <w:tr2bl w:val="nil"/>
                  </w:tcBorders>
                  <w:noWrap/>
                  <w:vAlign w:val="center"/>
                </w:tcPr>
                <w:p w14:paraId="0C95D11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rPr>
                  </w:pPr>
                </w:p>
              </w:tc>
            </w:tr>
            <w:tr w14:paraId="1C702E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946" w:type="dxa"/>
                  <w:gridSpan w:val="6"/>
                  <w:tcBorders>
                    <w:tl2br w:val="nil"/>
                    <w:tr2bl w:val="nil"/>
                  </w:tcBorders>
                  <w:noWrap/>
                  <w:vAlign w:val="center"/>
                </w:tcPr>
                <w:p w14:paraId="20992D4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再生料预处理车间</w:t>
                  </w:r>
                </w:p>
              </w:tc>
            </w:tr>
            <w:tr w14:paraId="2D092F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77" w:type="dxa"/>
                  <w:tcBorders>
                    <w:tl2br w:val="nil"/>
                    <w:tr2bl w:val="nil"/>
                  </w:tcBorders>
                  <w:shd w:val="clear" w:color="auto" w:fill="auto"/>
                  <w:noWrap/>
                  <w:vAlign w:val="center"/>
                </w:tcPr>
                <w:p w14:paraId="2C317EA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顶面</w:t>
                  </w:r>
                </w:p>
              </w:tc>
              <w:tc>
                <w:tcPr>
                  <w:tcW w:w="599" w:type="dxa"/>
                  <w:tcBorders>
                    <w:tl2br w:val="nil"/>
                    <w:tr2bl w:val="nil"/>
                  </w:tcBorders>
                  <w:shd w:val="clear" w:color="auto" w:fill="auto"/>
                  <w:noWrap/>
                  <w:vAlign w:val="center"/>
                </w:tcPr>
                <w:p w14:paraId="7F96F3E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0.01</w:t>
                  </w:r>
                </w:p>
              </w:tc>
              <w:tc>
                <w:tcPr>
                  <w:tcW w:w="2496" w:type="dxa"/>
                  <w:tcBorders>
                    <w:tl2br w:val="nil"/>
                    <w:tr2bl w:val="nil"/>
                  </w:tcBorders>
                  <w:shd w:val="clear" w:color="auto" w:fill="auto"/>
                  <w:noWrap/>
                  <w:vAlign w:val="center"/>
                </w:tcPr>
                <w:p w14:paraId="6EAF2B0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顶棚</w:t>
                  </w:r>
                </w:p>
              </w:tc>
              <w:tc>
                <w:tcPr>
                  <w:tcW w:w="1443" w:type="dxa"/>
                  <w:tcBorders>
                    <w:tl2br w:val="nil"/>
                    <w:tr2bl w:val="nil"/>
                  </w:tcBorders>
                  <w:shd w:val="clear" w:color="auto" w:fill="auto"/>
                  <w:noWrap/>
                  <w:vAlign w:val="center"/>
                </w:tcPr>
                <w:p w14:paraId="6976EDC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2"/>
                      <w:sz w:val="21"/>
                      <w:szCs w:val="21"/>
                      <w:highlight w:val="none"/>
                      <w:u w:val="none"/>
                      <w:lang w:val="en-US" w:eastAsia="zh-CN" w:bidi="ar-SA"/>
                    </w:rPr>
                    <w:t>1800</w:t>
                  </w:r>
                </w:p>
              </w:tc>
              <w:tc>
                <w:tcPr>
                  <w:tcW w:w="1544" w:type="dxa"/>
                  <w:vMerge w:val="restart"/>
                  <w:tcBorders>
                    <w:tl2br w:val="nil"/>
                    <w:tr2bl w:val="nil"/>
                  </w:tcBorders>
                  <w:noWrap/>
                  <w:vAlign w:val="center"/>
                </w:tcPr>
                <w:p w14:paraId="6DBCD0E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0.029</w:t>
                  </w:r>
                </w:p>
              </w:tc>
              <w:tc>
                <w:tcPr>
                  <w:tcW w:w="1087" w:type="dxa"/>
                  <w:vMerge w:val="restart"/>
                  <w:tcBorders>
                    <w:tl2br w:val="nil"/>
                    <w:tr2bl w:val="nil"/>
                  </w:tcBorders>
                  <w:noWrap/>
                  <w:vAlign w:val="center"/>
                </w:tcPr>
                <w:p w14:paraId="2A0C460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172.03</w:t>
                  </w:r>
                </w:p>
              </w:tc>
            </w:tr>
            <w:tr w14:paraId="0BD6DE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77" w:type="dxa"/>
                  <w:tcBorders>
                    <w:tl2br w:val="nil"/>
                    <w:tr2bl w:val="nil"/>
                  </w:tcBorders>
                  <w:shd w:val="clear" w:color="auto" w:fill="auto"/>
                  <w:noWrap/>
                  <w:vAlign w:val="center"/>
                </w:tcPr>
                <w:p w14:paraId="0C59FF8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墙面</w:t>
                  </w:r>
                </w:p>
              </w:tc>
              <w:tc>
                <w:tcPr>
                  <w:tcW w:w="599" w:type="dxa"/>
                  <w:tcBorders>
                    <w:tl2br w:val="nil"/>
                    <w:tr2bl w:val="nil"/>
                  </w:tcBorders>
                  <w:shd w:val="clear" w:color="auto" w:fill="auto"/>
                  <w:noWrap/>
                  <w:vAlign w:val="center"/>
                </w:tcPr>
                <w:p w14:paraId="3045D14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0.01</w:t>
                  </w:r>
                </w:p>
              </w:tc>
              <w:tc>
                <w:tcPr>
                  <w:tcW w:w="2496" w:type="dxa"/>
                  <w:tcBorders>
                    <w:tl2br w:val="nil"/>
                    <w:tr2bl w:val="nil"/>
                  </w:tcBorders>
                  <w:shd w:val="clear" w:color="auto" w:fill="auto"/>
                  <w:noWrap/>
                  <w:vAlign w:val="center"/>
                </w:tcPr>
                <w:p w14:paraId="68BACCC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墙面（含东、南、西、北四个墙面）</w:t>
                  </w:r>
                </w:p>
              </w:tc>
              <w:tc>
                <w:tcPr>
                  <w:tcW w:w="1443" w:type="dxa"/>
                  <w:tcBorders>
                    <w:tl2br w:val="nil"/>
                    <w:tr2bl w:val="nil"/>
                  </w:tcBorders>
                  <w:shd w:val="clear" w:color="auto" w:fill="auto"/>
                  <w:noWrap/>
                  <w:vAlign w:val="center"/>
                </w:tcPr>
                <w:p w14:paraId="38772F6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2"/>
                      <w:sz w:val="21"/>
                      <w:szCs w:val="21"/>
                      <w:highlight w:val="none"/>
                      <w:u w:val="none"/>
                      <w:lang w:val="en-US" w:eastAsia="zh-CN" w:bidi="ar-SA"/>
                    </w:rPr>
                    <w:t>2160</w:t>
                  </w:r>
                </w:p>
              </w:tc>
              <w:tc>
                <w:tcPr>
                  <w:tcW w:w="1544" w:type="dxa"/>
                  <w:vMerge w:val="continue"/>
                  <w:tcBorders>
                    <w:tl2br w:val="nil"/>
                    <w:tr2bl w:val="nil"/>
                  </w:tcBorders>
                  <w:noWrap/>
                  <w:vAlign w:val="center"/>
                </w:tcPr>
                <w:p w14:paraId="560BD10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rPr>
                  </w:pPr>
                </w:p>
              </w:tc>
              <w:tc>
                <w:tcPr>
                  <w:tcW w:w="1087" w:type="dxa"/>
                  <w:vMerge w:val="continue"/>
                  <w:tcBorders>
                    <w:tl2br w:val="nil"/>
                    <w:tr2bl w:val="nil"/>
                  </w:tcBorders>
                  <w:noWrap/>
                  <w:vAlign w:val="center"/>
                </w:tcPr>
                <w:p w14:paraId="31A0A2B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rPr>
                  </w:pPr>
                </w:p>
              </w:tc>
            </w:tr>
            <w:tr w14:paraId="209D2D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77" w:type="dxa"/>
                  <w:tcBorders>
                    <w:tl2br w:val="nil"/>
                    <w:tr2bl w:val="nil"/>
                  </w:tcBorders>
                  <w:shd w:val="clear" w:color="auto" w:fill="auto"/>
                  <w:noWrap/>
                  <w:vAlign w:val="center"/>
                </w:tcPr>
                <w:p w14:paraId="5CA9AFA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地面</w:t>
                  </w:r>
                </w:p>
              </w:tc>
              <w:tc>
                <w:tcPr>
                  <w:tcW w:w="599" w:type="dxa"/>
                  <w:tcBorders>
                    <w:tl2br w:val="nil"/>
                    <w:tr2bl w:val="nil"/>
                  </w:tcBorders>
                  <w:shd w:val="clear" w:color="auto" w:fill="auto"/>
                  <w:noWrap/>
                  <w:vAlign w:val="center"/>
                </w:tcPr>
                <w:p w14:paraId="5E7FD1B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0.07</w:t>
                  </w:r>
                </w:p>
              </w:tc>
              <w:tc>
                <w:tcPr>
                  <w:tcW w:w="2496" w:type="dxa"/>
                  <w:tcBorders>
                    <w:tl2br w:val="nil"/>
                    <w:tr2bl w:val="nil"/>
                  </w:tcBorders>
                  <w:shd w:val="clear" w:color="auto" w:fill="auto"/>
                  <w:noWrap/>
                  <w:vAlign w:val="center"/>
                </w:tcPr>
                <w:p w14:paraId="6D791C4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地面</w:t>
                  </w:r>
                </w:p>
              </w:tc>
              <w:tc>
                <w:tcPr>
                  <w:tcW w:w="1443" w:type="dxa"/>
                  <w:tcBorders>
                    <w:tl2br w:val="nil"/>
                    <w:tr2bl w:val="nil"/>
                  </w:tcBorders>
                  <w:shd w:val="clear" w:color="auto" w:fill="auto"/>
                  <w:noWrap/>
                  <w:vAlign w:val="center"/>
                </w:tcPr>
                <w:p w14:paraId="34823DB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2"/>
                      <w:sz w:val="21"/>
                      <w:szCs w:val="21"/>
                      <w:highlight w:val="none"/>
                      <w:u w:val="none"/>
                      <w:lang w:val="en-US" w:eastAsia="zh-CN" w:bidi="ar-SA"/>
                    </w:rPr>
                    <w:t>1800</w:t>
                  </w:r>
                </w:p>
              </w:tc>
              <w:tc>
                <w:tcPr>
                  <w:tcW w:w="1544" w:type="dxa"/>
                  <w:vMerge w:val="continue"/>
                  <w:tcBorders>
                    <w:tl2br w:val="nil"/>
                    <w:tr2bl w:val="nil"/>
                  </w:tcBorders>
                  <w:noWrap/>
                  <w:vAlign w:val="center"/>
                </w:tcPr>
                <w:p w14:paraId="1C84002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rPr>
                  </w:pPr>
                </w:p>
              </w:tc>
              <w:tc>
                <w:tcPr>
                  <w:tcW w:w="1087" w:type="dxa"/>
                  <w:vMerge w:val="continue"/>
                  <w:tcBorders>
                    <w:tl2br w:val="nil"/>
                    <w:tr2bl w:val="nil"/>
                  </w:tcBorders>
                  <w:noWrap/>
                  <w:vAlign w:val="center"/>
                </w:tcPr>
                <w:p w14:paraId="5DDED90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21"/>
                      <w:szCs w:val="21"/>
                      <w:highlight w:val="none"/>
                      <w:u w:val="none"/>
                    </w:rPr>
                  </w:pPr>
                </w:p>
              </w:tc>
            </w:tr>
          </w:tbl>
          <w:p w14:paraId="24857FFA">
            <w:pPr>
              <w:pStyle w:val="24"/>
              <w:snapToGrid/>
              <w:spacing w:before="0" w:after="0" w:line="240" w:lineRule="auto"/>
              <w:ind w:right="0" w:firstLine="0" w:firstLineChars="0"/>
              <w:jc w:val="center"/>
              <w:rPr>
                <w:rFonts w:hint="eastAsia"/>
                <w:lang w:eastAsia="zh-CN"/>
              </w:rPr>
            </w:pPr>
          </w:p>
          <w:p w14:paraId="3C8CB16A">
            <w:pPr>
              <w:spacing w:line="360" w:lineRule="auto"/>
              <w:ind w:firstLine="480" w:firstLineChars="200"/>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声源处于半自由声场，按如下公式计算：</w:t>
            </w:r>
          </w:p>
          <w:p w14:paraId="2CD9B7CD">
            <w:pPr>
              <w:spacing w:line="360" w:lineRule="auto"/>
              <w:ind w:firstLine="0" w:firstLineChars="0"/>
              <w:jc w:val="center"/>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L</w:t>
            </w:r>
            <w:r>
              <w:rPr>
                <w:rFonts w:hint="default" w:ascii="Times New Roman" w:hAnsi="Times New Roman" w:eastAsia="宋体" w:cs="Times New Roman"/>
                <w:sz w:val="24"/>
                <w:vertAlign w:val="subscript"/>
                <w:lang w:eastAsia="zh-CN"/>
              </w:rPr>
              <w:t>A</w:t>
            </w:r>
            <w:r>
              <w:rPr>
                <w:rFonts w:hint="eastAsia" w:ascii="Times New Roman" w:hAnsi="Times New Roman" w:eastAsia="宋体" w:cs="Times New Roman"/>
                <w:sz w:val="24"/>
                <w:lang w:eastAsia="zh-CN"/>
              </w:rPr>
              <w:t>（</w:t>
            </w:r>
            <w:r>
              <w:rPr>
                <w:rFonts w:hint="default" w:ascii="Times New Roman" w:hAnsi="Times New Roman" w:eastAsia="宋体" w:cs="Times New Roman"/>
                <w:sz w:val="24"/>
                <w:lang w:eastAsia="zh-CN"/>
              </w:rPr>
              <w:t>r</w:t>
            </w:r>
            <w:r>
              <w:rPr>
                <w:rFonts w:hint="eastAsia" w:ascii="Times New Roman" w:hAnsi="Times New Roman" w:eastAsia="宋体" w:cs="Times New Roman"/>
                <w:sz w:val="24"/>
                <w:lang w:eastAsia="zh-CN"/>
              </w:rPr>
              <w:t>）=</w:t>
            </w:r>
            <w:r>
              <w:rPr>
                <w:rFonts w:hint="default" w:ascii="Times New Roman" w:hAnsi="Times New Roman" w:eastAsia="宋体" w:cs="Times New Roman"/>
                <w:sz w:val="24"/>
                <w:lang w:eastAsia="zh-CN"/>
              </w:rPr>
              <w:t>L</w:t>
            </w:r>
            <w:r>
              <w:rPr>
                <w:rFonts w:hint="default" w:ascii="Times New Roman" w:hAnsi="Times New Roman" w:eastAsia="宋体" w:cs="Times New Roman"/>
                <w:sz w:val="24"/>
                <w:vertAlign w:val="subscript"/>
                <w:lang w:eastAsia="zh-CN"/>
              </w:rPr>
              <w:t>Aw</w:t>
            </w:r>
            <w:r>
              <w:rPr>
                <w:rFonts w:hint="eastAsia" w:ascii="Times New Roman" w:hAnsi="Times New Roman" w:eastAsia="宋体" w:cs="Times New Roman"/>
                <w:sz w:val="24"/>
                <w:lang w:eastAsia="zh-CN"/>
              </w:rPr>
              <w:t>-</w:t>
            </w:r>
            <w:r>
              <w:rPr>
                <w:rFonts w:hint="default" w:ascii="Times New Roman" w:hAnsi="Times New Roman" w:eastAsia="宋体" w:cs="Times New Roman"/>
                <w:sz w:val="24"/>
                <w:lang w:eastAsia="zh-CN"/>
              </w:rPr>
              <w:t>20lgr</w:t>
            </w:r>
            <w:r>
              <w:rPr>
                <w:rFonts w:hint="eastAsia" w:ascii="Times New Roman" w:hAnsi="Times New Roman" w:eastAsia="宋体" w:cs="Times New Roman"/>
                <w:sz w:val="24"/>
                <w:lang w:eastAsia="zh-CN"/>
              </w:rPr>
              <w:t>-</w:t>
            </w:r>
            <w:r>
              <w:rPr>
                <w:rFonts w:hint="default" w:ascii="Times New Roman" w:hAnsi="Times New Roman" w:eastAsia="宋体" w:cs="Times New Roman"/>
                <w:sz w:val="24"/>
                <w:lang w:eastAsia="zh-CN"/>
              </w:rPr>
              <w:t>8</w:t>
            </w:r>
          </w:p>
          <w:p w14:paraId="1AB97313">
            <w:pPr>
              <w:spacing w:line="360" w:lineRule="auto"/>
              <w:ind w:firstLine="480" w:firstLineChars="200"/>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式中：L</w:t>
            </w:r>
            <w:r>
              <w:rPr>
                <w:rFonts w:hint="default" w:ascii="Times New Roman" w:hAnsi="Times New Roman" w:eastAsia="宋体" w:cs="Times New Roman"/>
                <w:sz w:val="24"/>
                <w:vertAlign w:val="subscript"/>
                <w:lang w:eastAsia="zh-CN"/>
              </w:rPr>
              <w:t>A</w:t>
            </w:r>
            <w:r>
              <w:rPr>
                <w:rFonts w:hint="default" w:ascii="Times New Roman" w:hAnsi="Times New Roman" w:eastAsia="宋体" w:cs="Times New Roman"/>
                <w:sz w:val="24"/>
                <w:lang w:eastAsia="zh-CN"/>
              </w:rPr>
              <w:t>(r)——距声源r处的A声级，dB(A)；</w:t>
            </w:r>
          </w:p>
          <w:p w14:paraId="562B0E3A">
            <w:pPr>
              <w:spacing w:line="360" w:lineRule="auto"/>
              <w:ind w:firstLine="1200" w:firstLineChars="500"/>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L</w:t>
            </w:r>
            <w:r>
              <w:rPr>
                <w:rFonts w:hint="default" w:ascii="Times New Roman" w:hAnsi="Times New Roman" w:eastAsia="宋体" w:cs="Times New Roman"/>
                <w:sz w:val="24"/>
                <w:vertAlign w:val="subscript"/>
                <w:lang w:eastAsia="zh-CN"/>
              </w:rPr>
              <w:t>Aw</w:t>
            </w:r>
            <w:r>
              <w:rPr>
                <w:rFonts w:hint="default" w:ascii="Times New Roman" w:hAnsi="Times New Roman" w:eastAsia="宋体" w:cs="Times New Roman"/>
                <w:sz w:val="24"/>
                <w:lang w:eastAsia="zh-CN"/>
              </w:rPr>
              <w:t>——点声源A计权声功率级，dB；</w:t>
            </w:r>
          </w:p>
          <w:p w14:paraId="5264288E">
            <w:pPr>
              <w:spacing w:line="360" w:lineRule="auto"/>
              <w:ind w:firstLine="1200" w:firstLineChars="500"/>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r——预测点距声源的距离。（对声源取1）</w:t>
            </w:r>
          </w:p>
          <w:p w14:paraId="3BD71C53">
            <w:pPr>
              <w:spacing w:line="360" w:lineRule="auto"/>
              <w:ind w:firstLine="482" w:firstLineChars="200"/>
              <w:rPr>
                <w:rFonts w:hint="default" w:ascii="Times New Roman" w:hAnsi="Times New Roman" w:eastAsia="宋体" w:cs="Times New Roman"/>
                <w:b/>
                <w:bCs/>
                <w:sz w:val="24"/>
                <w:lang w:eastAsia="zh-CN"/>
              </w:rPr>
            </w:pPr>
            <w:r>
              <w:rPr>
                <w:rFonts w:hint="default" w:ascii="Times New Roman" w:hAnsi="Times New Roman" w:eastAsia="宋体" w:cs="Times New Roman"/>
                <w:b/>
                <w:bCs/>
                <w:sz w:val="24"/>
                <w:lang w:eastAsia="zh-CN"/>
              </w:rPr>
              <w:t>②建筑物隔声量</w:t>
            </w:r>
          </w:p>
          <w:p w14:paraId="0D6882AF">
            <w:pPr>
              <w:spacing w:line="360" w:lineRule="auto"/>
              <w:ind w:firstLine="480" w:firstLineChars="200"/>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本项目生产厂房建筑材料为2mm镀锌铝板，根据《环境工程手册 环境噪声控制卷》（2000年）中表4-14可知，2mm镀锌铝板，隔声量平均值为25.2dB；厂房大门为钢板门，门缝无措施，隔声量为24.8dB；</w:t>
            </w:r>
            <w:r>
              <w:rPr>
                <w:rFonts w:hint="eastAsia" w:ascii="Times New Roman" w:hAnsi="Times New Roman" w:eastAsia="宋体" w:cs="Times New Roman"/>
                <w:sz w:val="24"/>
                <w:lang w:val="en-US" w:eastAsia="zh-CN"/>
              </w:rPr>
              <w:t>本项目为全封闭式生产</w:t>
            </w:r>
            <w:r>
              <w:rPr>
                <w:rFonts w:hint="default" w:ascii="Times New Roman" w:hAnsi="Times New Roman" w:eastAsia="宋体" w:cs="Times New Roman"/>
                <w:sz w:val="24"/>
                <w:lang w:eastAsia="zh-CN"/>
              </w:rPr>
              <w:t>厂房无窗户。因此，本项目厂房的隔声量TL取25.2dB，门隔声量取24.8dB。</w:t>
            </w:r>
          </w:p>
          <w:p w14:paraId="709C287F">
            <w:pPr>
              <w:spacing w:line="360" w:lineRule="auto"/>
              <w:ind w:firstLine="482" w:firstLineChars="200"/>
              <w:rPr>
                <w:rFonts w:hint="default" w:ascii="Times New Roman" w:hAnsi="Times New Roman" w:eastAsia="宋体" w:cs="Times New Roman"/>
                <w:sz w:val="24"/>
                <w:lang w:eastAsia="zh-CN"/>
              </w:rPr>
            </w:pPr>
            <w:r>
              <w:rPr>
                <w:rFonts w:hint="default" w:ascii="Times New Roman" w:hAnsi="Times New Roman" w:eastAsia="宋体" w:cs="Times New Roman"/>
                <w:b/>
                <w:bCs/>
                <w:sz w:val="24"/>
                <w:lang w:eastAsia="zh-CN"/>
              </w:rPr>
              <w:t>③建筑物外噪声</w:t>
            </w:r>
          </w:p>
          <w:p w14:paraId="5820AD54">
            <w:pPr>
              <w:spacing w:line="360" w:lineRule="auto"/>
              <w:ind w:firstLine="480" w:firstLineChars="200"/>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根据《环境影响评价技术导则 声环境》（HJ2.4-2021）附录B.1.3室内声源等效室外声源声功率级计算方法，</w:t>
            </w:r>
            <w:r>
              <w:rPr>
                <w:rFonts w:hint="eastAsia" w:cs="Times New Roman"/>
                <w:sz w:val="24"/>
                <w:lang w:eastAsia="zh-CN"/>
              </w:rPr>
              <w:t>公式</w:t>
            </w:r>
            <w:r>
              <w:rPr>
                <w:rFonts w:hint="default" w:ascii="Times New Roman" w:hAnsi="Times New Roman" w:eastAsia="宋体" w:cs="Times New Roman"/>
                <w:sz w:val="24"/>
                <w:lang w:eastAsia="zh-CN"/>
              </w:rPr>
              <w:t>如下：</w:t>
            </w:r>
          </w:p>
          <w:p w14:paraId="638960BE">
            <w:pPr>
              <w:spacing w:line="360" w:lineRule="auto"/>
              <w:ind w:firstLine="0" w:firstLineChars="0"/>
              <w:jc w:val="center"/>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L</w:t>
            </w:r>
            <w:r>
              <w:rPr>
                <w:rFonts w:hint="default" w:ascii="Times New Roman" w:hAnsi="Times New Roman" w:eastAsia="宋体" w:cs="Times New Roman"/>
                <w:sz w:val="24"/>
                <w:vertAlign w:val="subscript"/>
                <w:lang w:eastAsia="zh-CN"/>
              </w:rPr>
              <w:t>p2</w:t>
            </w:r>
            <w:r>
              <w:rPr>
                <w:rFonts w:hint="default" w:ascii="Times New Roman" w:hAnsi="Times New Roman" w:eastAsia="宋体" w:cs="Times New Roman"/>
                <w:sz w:val="24"/>
                <w:lang w:eastAsia="zh-CN"/>
              </w:rPr>
              <w:t>=L</w:t>
            </w:r>
            <w:r>
              <w:rPr>
                <w:rFonts w:hint="default" w:ascii="Times New Roman" w:hAnsi="Times New Roman" w:eastAsia="宋体" w:cs="Times New Roman"/>
                <w:sz w:val="24"/>
                <w:vertAlign w:val="subscript"/>
                <w:lang w:eastAsia="zh-CN"/>
              </w:rPr>
              <w:t>p1</w:t>
            </w:r>
            <w:r>
              <w:rPr>
                <w:rFonts w:hint="default" w:ascii="Times New Roman" w:hAnsi="Times New Roman" w:eastAsia="宋体" w:cs="Times New Roman"/>
                <w:sz w:val="24"/>
                <w:lang w:eastAsia="zh-CN"/>
              </w:rPr>
              <w:t>-（TL+6）</w:t>
            </w:r>
          </w:p>
          <w:p w14:paraId="048205C7">
            <w:pPr>
              <w:spacing w:line="360" w:lineRule="auto"/>
              <w:ind w:firstLine="480" w:firstLineChars="200"/>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式中：L</w:t>
            </w:r>
            <w:r>
              <w:rPr>
                <w:rFonts w:hint="default" w:ascii="Times New Roman" w:hAnsi="Times New Roman" w:eastAsia="宋体" w:cs="Times New Roman"/>
                <w:sz w:val="24"/>
                <w:vertAlign w:val="subscript"/>
                <w:lang w:eastAsia="zh-CN"/>
              </w:rPr>
              <w:t>p1</w:t>
            </w:r>
            <w:r>
              <w:rPr>
                <w:rFonts w:hint="default" w:ascii="Times New Roman" w:hAnsi="Times New Roman" w:eastAsia="宋体" w:cs="Times New Roman"/>
                <w:sz w:val="24"/>
                <w:lang w:eastAsia="zh-CN"/>
              </w:rPr>
              <w:t>——靠近开口处（或窗户）室内某倍频带的声压级或A声级，dB；</w:t>
            </w:r>
          </w:p>
          <w:p w14:paraId="3235B9B0">
            <w:pPr>
              <w:spacing w:line="360" w:lineRule="auto"/>
              <w:ind w:firstLine="1200" w:firstLineChars="500"/>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L</w:t>
            </w:r>
            <w:r>
              <w:rPr>
                <w:rFonts w:hint="default" w:ascii="Times New Roman" w:hAnsi="Times New Roman" w:eastAsia="宋体" w:cs="Times New Roman"/>
                <w:sz w:val="24"/>
                <w:vertAlign w:val="subscript"/>
                <w:lang w:eastAsia="zh-CN"/>
              </w:rPr>
              <w:t>p2</w:t>
            </w:r>
            <w:r>
              <w:rPr>
                <w:rFonts w:hint="default" w:ascii="Times New Roman" w:hAnsi="Times New Roman" w:eastAsia="宋体" w:cs="Times New Roman"/>
                <w:sz w:val="24"/>
                <w:lang w:eastAsia="zh-CN"/>
              </w:rPr>
              <w:t>——靠近开口处（或窗户）室外某倍频带的声压级或A声级，dB；</w:t>
            </w:r>
          </w:p>
          <w:p w14:paraId="556E7229">
            <w:pPr>
              <w:spacing w:line="360" w:lineRule="auto"/>
              <w:ind w:firstLine="1200" w:firstLineChars="500"/>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TL——隔墙（或窗户）倍频带或A声级的隔声量，dB。</w:t>
            </w:r>
          </w:p>
          <w:p w14:paraId="1616DAA1">
            <w:pPr>
              <w:wordWrap w:val="0"/>
              <w:spacing w:line="360" w:lineRule="auto"/>
              <w:ind w:firstLine="480" w:firstLineChars="200"/>
              <w:rPr>
                <w:rFonts w:hint="eastAsia" w:eastAsia="宋体"/>
                <w:lang w:eastAsia="zh-CN"/>
              </w:rPr>
            </w:pPr>
            <w:r>
              <w:rPr>
                <w:rFonts w:hint="default" w:ascii="Times New Roman" w:hAnsi="Times New Roman" w:eastAsia="宋体" w:cs="Times New Roman"/>
                <w:sz w:val="24"/>
                <w:lang w:eastAsia="zh-CN"/>
              </w:rPr>
              <w:t>根据以上公式计算，本项目噪声源强调查清单见下表：</w:t>
            </w:r>
          </w:p>
        </w:tc>
      </w:tr>
    </w:tbl>
    <w:p w14:paraId="5E1BD387">
      <w:pPr>
        <w:pStyle w:val="2"/>
        <w:wordWrap w:val="0"/>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7"/>
        <w:tblW w:w="13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
        <w:gridCol w:w="13300"/>
      </w:tblGrid>
      <w:tr w14:paraId="629A9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dxa"/>
            <w:noWrap w:val="0"/>
            <w:vAlign w:val="top"/>
          </w:tcPr>
          <w:p w14:paraId="73721F38">
            <w:pPr>
              <w:adjustRightInd w:val="0"/>
              <w:snapToGrid w:val="0"/>
              <w:jc w:val="both"/>
              <w:rPr>
                <w:vertAlign w:val="baseline"/>
              </w:rPr>
            </w:pPr>
            <w:r>
              <w:rPr>
                <w:rFonts w:hint="eastAsia"/>
                <w:b/>
                <w:bCs w:val="0"/>
                <w:color w:val="auto"/>
                <w:sz w:val="24"/>
                <w:szCs w:val="21"/>
                <w:lang w:val="en-US" w:eastAsia="zh-CN"/>
              </w:rPr>
              <w:t>运</w:t>
            </w:r>
            <w:r>
              <w:rPr>
                <w:b/>
                <w:bCs w:val="0"/>
                <w:color w:val="auto"/>
                <w:sz w:val="24"/>
                <w:szCs w:val="21"/>
              </w:rPr>
              <w:t>营期环境影响和保护措施</w:t>
            </w:r>
          </w:p>
        </w:tc>
        <w:tc>
          <w:tcPr>
            <w:tcW w:w="13300" w:type="dxa"/>
            <w:noWrap w:val="0"/>
            <w:vAlign w:val="top"/>
          </w:tcPr>
          <w:p w14:paraId="55313BCA">
            <w:pPr>
              <w:numPr>
                <w:ilvl w:val="0"/>
                <w:numId w:val="6"/>
              </w:numPr>
              <w:ind w:left="420" w:leftChars="0" w:hanging="420" w:firstLineChars="0"/>
              <w:jc w:val="center"/>
              <w:rPr>
                <w:rFonts w:hint="eastAsia" w:ascii="Times New Roman" w:hAnsi="Times New Roman" w:eastAsia="宋体" w:cs="Times New Roman"/>
                <w:b/>
                <w:bCs/>
                <w:szCs w:val="21"/>
                <w:highlight w:val="none"/>
                <w:lang w:val="en-US" w:eastAsia="zh-CN"/>
              </w:rPr>
            </w:pPr>
            <w:r>
              <w:rPr>
                <w:rFonts w:hint="eastAsia" w:ascii="Times New Roman" w:hAnsi="Times New Roman" w:eastAsia="宋体" w:cs="Times New Roman"/>
                <w:b/>
                <w:bCs/>
                <w:szCs w:val="21"/>
                <w:highlight w:val="none"/>
                <w:lang w:val="en-US" w:eastAsia="zh-CN"/>
              </w:rPr>
              <w:t>工业企业噪声源强调查清单（室内声源）</w:t>
            </w:r>
          </w:p>
          <w:tbl>
            <w:tblPr>
              <w:tblStyle w:val="26"/>
              <w:tblW w:w="13191"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549"/>
              <w:gridCol w:w="999"/>
              <w:gridCol w:w="285"/>
              <w:gridCol w:w="690"/>
              <w:gridCol w:w="1374"/>
              <w:gridCol w:w="440"/>
              <w:gridCol w:w="386"/>
              <w:gridCol w:w="440"/>
              <w:gridCol w:w="387"/>
              <w:gridCol w:w="467"/>
              <w:gridCol w:w="440"/>
              <w:gridCol w:w="386"/>
              <w:gridCol w:w="413"/>
              <w:gridCol w:w="440"/>
              <w:gridCol w:w="440"/>
              <w:gridCol w:w="507"/>
              <w:gridCol w:w="440"/>
              <w:gridCol w:w="440"/>
              <w:gridCol w:w="426"/>
              <w:gridCol w:w="440"/>
              <w:gridCol w:w="452"/>
              <w:gridCol w:w="482"/>
              <w:gridCol w:w="453"/>
              <w:gridCol w:w="453"/>
              <w:gridCol w:w="465"/>
              <w:gridCol w:w="497"/>
            </w:tblGrid>
            <w:tr w14:paraId="58579E6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49" w:type="dxa"/>
                  <w:vMerge w:val="restart"/>
                  <w:tcBorders>
                    <w:tl2br w:val="nil"/>
                    <w:tr2bl w:val="nil"/>
                  </w:tcBorders>
                  <w:noWrap w:val="0"/>
                  <w:vAlign w:val="center"/>
                </w:tcPr>
                <w:p w14:paraId="18D282BA">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建筑物名称</w:t>
                  </w:r>
                </w:p>
              </w:tc>
              <w:tc>
                <w:tcPr>
                  <w:tcW w:w="999" w:type="dxa"/>
                  <w:vMerge w:val="restart"/>
                  <w:tcBorders>
                    <w:tl2br w:val="nil"/>
                    <w:tr2bl w:val="nil"/>
                  </w:tcBorders>
                  <w:noWrap w:val="0"/>
                  <w:vAlign w:val="center"/>
                </w:tcPr>
                <w:p w14:paraId="3759BB07">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声源名称</w:t>
                  </w:r>
                </w:p>
              </w:tc>
              <w:tc>
                <w:tcPr>
                  <w:tcW w:w="285" w:type="dxa"/>
                  <w:vMerge w:val="restart"/>
                  <w:tcBorders>
                    <w:tl2br w:val="nil"/>
                    <w:tr2bl w:val="nil"/>
                  </w:tcBorders>
                  <w:noWrap w:val="0"/>
                  <w:vAlign w:val="center"/>
                </w:tcPr>
                <w:p w14:paraId="30355105">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型号</w:t>
                  </w:r>
                </w:p>
              </w:tc>
              <w:tc>
                <w:tcPr>
                  <w:tcW w:w="690" w:type="dxa"/>
                  <w:vMerge w:val="restart"/>
                  <w:tcBorders>
                    <w:tl2br w:val="nil"/>
                    <w:tr2bl w:val="nil"/>
                  </w:tcBorders>
                  <w:noWrap w:val="0"/>
                  <w:vAlign w:val="center"/>
                </w:tcPr>
                <w:p w14:paraId="1162CD4B">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声功率级源强</w:t>
                  </w:r>
                  <w:r>
                    <w:rPr>
                      <w:rFonts w:hint="default" w:ascii="Times New Roman" w:hAnsi="Times New Roman" w:eastAsia="宋体" w:cs="Times New Roman"/>
                      <w:color w:val="auto"/>
                      <w:sz w:val="21"/>
                      <w:szCs w:val="21"/>
                    </w:rPr>
                    <w:t>dB(A)</w:t>
                  </w:r>
                </w:p>
              </w:tc>
              <w:tc>
                <w:tcPr>
                  <w:tcW w:w="1374" w:type="dxa"/>
                  <w:vMerge w:val="restart"/>
                  <w:tcBorders>
                    <w:tl2br w:val="nil"/>
                    <w:tr2bl w:val="nil"/>
                  </w:tcBorders>
                  <w:noWrap w:val="0"/>
                  <w:vAlign w:val="center"/>
                </w:tcPr>
                <w:p w14:paraId="1C5623F0">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声源控制措施</w:t>
                  </w:r>
                </w:p>
              </w:tc>
              <w:tc>
                <w:tcPr>
                  <w:tcW w:w="1266" w:type="dxa"/>
                  <w:gridSpan w:val="3"/>
                  <w:tcBorders>
                    <w:tl2br w:val="nil"/>
                    <w:tr2bl w:val="nil"/>
                  </w:tcBorders>
                  <w:noWrap w:val="0"/>
                  <w:vAlign w:val="center"/>
                </w:tcPr>
                <w:p w14:paraId="2BBFB163">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空间相对位置/m</w:t>
                  </w:r>
                </w:p>
              </w:tc>
              <w:tc>
                <w:tcPr>
                  <w:tcW w:w="1680" w:type="dxa"/>
                  <w:gridSpan w:val="4"/>
                  <w:tcBorders>
                    <w:tl2br w:val="nil"/>
                    <w:tr2bl w:val="nil"/>
                  </w:tcBorders>
                  <w:noWrap w:val="0"/>
                  <w:vAlign w:val="center"/>
                </w:tcPr>
                <w:p w14:paraId="42B25B24">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距室内边界距离/m</w:t>
                  </w:r>
                </w:p>
              </w:tc>
              <w:tc>
                <w:tcPr>
                  <w:tcW w:w="1800" w:type="dxa"/>
                  <w:gridSpan w:val="4"/>
                  <w:tcBorders>
                    <w:tl2br w:val="nil"/>
                    <w:tr2bl w:val="nil"/>
                  </w:tcBorders>
                  <w:noWrap w:val="0"/>
                  <w:vAlign w:val="center"/>
                </w:tcPr>
                <w:p w14:paraId="472BCEAA">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室内边界</w:t>
                  </w:r>
                  <w:r>
                    <w:rPr>
                      <w:rFonts w:hint="default" w:ascii="Times New Roman" w:hAnsi="Times New Roman" w:eastAsia="宋体" w:cs="Times New Roman"/>
                      <w:color w:val="auto"/>
                      <w:sz w:val="21"/>
                      <w:szCs w:val="21"/>
                    </w:rPr>
                    <w:t>声级/dB(A)</w:t>
                  </w:r>
                </w:p>
              </w:tc>
              <w:tc>
                <w:tcPr>
                  <w:tcW w:w="440" w:type="dxa"/>
                  <w:vMerge w:val="restart"/>
                  <w:tcBorders>
                    <w:tl2br w:val="nil"/>
                    <w:tr2bl w:val="nil"/>
                  </w:tcBorders>
                  <w:noWrap w:val="0"/>
                  <w:vAlign w:val="center"/>
                </w:tcPr>
                <w:p w14:paraId="4430DC68">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运行时段</w:t>
                  </w:r>
                  <w:r>
                    <w:rPr>
                      <w:rFonts w:hint="default" w:ascii="Times New Roman" w:hAnsi="Times New Roman" w:eastAsia="宋体" w:cs="Times New Roman"/>
                      <w:color w:val="auto"/>
                      <w:sz w:val="21"/>
                      <w:szCs w:val="21"/>
                      <w:lang w:eastAsia="zh-CN"/>
                    </w:rPr>
                    <w:t>（h）</w:t>
                  </w:r>
                </w:p>
              </w:tc>
              <w:tc>
                <w:tcPr>
                  <w:tcW w:w="1758" w:type="dxa"/>
                  <w:gridSpan w:val="4"/>
                  <w:tcBorders>
                    <w:tl2br w:val="nil"/>
                    <w:tr2bl w:val="nil"/>
                  </w:tcBorders>
                  <w:noWrap w:val="0"/>
                  <w:vAlign w:val="center"/>
                </w:tcPr>
                <w:p w14:paraId="2BD94A44">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建筑物插入损失/dB(A)</w:t>
                  </w:r>
                </w:p>
              </w:tc>
              <w:tc>
                <w:tcPr>
                  <w:tcW w:w="2350" w:type="dxa"/>
                  <w:gridSpan w:val="5"/>
                  <w:tcBorders>
                    <w:tl2br w:val="nil"/>
                    <w:tr2bl w:val="nil"/>
                  </w:tcBorders>
                  <w:noWrap w:val="0"/>
                  <w:vAlign w:val="center"/>
                </w:tcPr>
                <w:p w14:paraId="4F922455">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建筑物外噪声</w:t>
                  </w:r>
                </w:p>
              </w:tc>
            </w:tr>
            <w:tr w14:paraId="7802495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1" w:hRule="atLeast"/>
                <w:jc w:val="center"/>
              </w:trPr>
              <w:tc>
                <w:tcPr>
                  <w:tcW w:w="549" w:type="dxa"/>
                  <w:vMerge w:val="continue"/>
                  <w:tcBorders>
                    <w:tl2br w:val="nil"/>
                    <w:tr2bl w:val="nil"/>
                  </w:tcBorders>
                  <w:noWrap w:val="0"/>
                  <w:vAlign w:val="center"/>
                </w:tcPr>
                <w:p w14:paraId="0EF78E98">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p>
              </w:tc>
              <w:tc>
                <w:tcPr>
                  <w:tcW w:w="999" w:type="dxa"/>
                  <w:vMerge w:val="continue"/>
                  <w:tcBorders>
                    <w:tl2br w:val="nil"/>
                    <w:tr2bl w:val="nil"/>
                  </w:tcBorders>
                  <w:noWrap w:val="0"/>
                  <w:vAlign w:val="center"/>
                </w:tcPr>
                <w:p w14:paraId="4DA5441F">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p>
              </w:tc>
              <w:tc>
                <w:tcPr>
                  <w:tcW w:w="285" w:type="dxa"/>
                  <w:vMerge w:val="continue"/>
                  <w:tcBorders>
                    <w:tl2br w:val="nil"/>
                    <w:tr2bl w:val="nil"/>
                  </w:tcBorders>
                  <w:noWrap w:val="0"/>
                  <w:vAlign w:val="center"/>
                </w:tcPr>
                <w:p w14:paraId="6F8BEAD0">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p>
              </w:tc>
              <w:tc>
                <w:tcPr>
                  <w:tcW w:w="690" w:type="dxa"/>
                  <w:vMerge w:val="continue"/>
                  <w:tcBorders>
                    <w:tl2br w:val="nil"/>
                    <w:tr2bl w:val="nil"/>
                  </w:tcBorders>
                  <w:noWrap w:val="0"/>
                  <w:vAlign w:val="center"/>
                </w:tcPr>
                <w:p w14:paraId="3A6D551E">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p>
              </w:tc>
              <w:tc>
                <w:tcPr>
                  <w:tcW w:w="1374" w:type="dxa"/>
                  <w:vMerge w:val="continue"/>
                  <w:tcBorders>
                    <w:tl2br w:val="nil"/>
                    <w:tr2bl w:val="nil"/>
                  </w:tcBorders>
                  <w:noWrap w:val="0"/>
                  <w:vAlign w:val="center"/>
                </w:tcPr>
                <w:p w14:paraId="353B65D5">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p>
              </w:tc>
              <w:tc>
                <w:tcPr>
                  <w:tcW w:w="440" w:type="dxa"/>
                  <w:vMerge w:val="restart"/>
                  <w:tcBorders>
                    <w:tl2br w:val="nil"/>
                    <w:tr2bl w:val="nil"/>
                  </w:tcBorders>
                  <w:noWrap w:val="0"/>
                  <w:vAlign w:val="center"/>
                </w:tcPr>
                <w:p w14:paraId="52750669">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X</w:t>
                  </w:r>
                </w:p>
              </w:tc>
              <w:tc>
                <w:tcPr>
                  <w:tcW w:w="386" w:type="dxa"/>
                  <w:vMerge w:val="restart"/>
                  <w:tcBorders>
                    <w:tl2br w:val="nil"/>
                    <w:tr2bl w:val="nil"/>
                  </w:tcBorders>
                  <w:noWrap w:val="0"/>
                  <w:vAlign w:val="center"/>
                </w:tcPr>
                <w:p w14:paraId="7511C585">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Y</w:t>
                  </w:r>
                </w:p>
              </w:tc>
              <w:tc>
                <w:tcPr>
                  <w:tcW w:w="440" w:type="dxa"/>
                  <w:vMerge w:val="restart"/>
                  <w:tcBorders>
                    <w:tl2br w:val="nil"/>
                    <w:tr2bl w:val="nil"/>
                  </w:tcBorders>
                  <w:noWrap w:val="0"/>
                  <w:vAlign w:val="center"/>
                </w:tcPr>
                <w:p w14:paraId="6D14DC06">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Z</w:t>
                  </w:r>
                </w:p>
              </w:tc>
              <w:tc>
                <w:tcPr>
                  <w:tcW w:w="387" w:type="dxa"/>
                  <w:vMerge w:val="restart"/>
                  <w:tcBorders>
                    <w:tl2br w:val="nil"/>
                    <w:tr2bl w:val="nil"/>
                  </w:tcBorders>
                  <w:noWrap w:val="0"/>
                  <w:vAlign w:val="center"/>
                </w:tcPr>
                <w:p w14:paraId="555F0AFE">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w:t>
                  </w:r>
                </w:p>
              </w:tc>
              <w:tc>
                <w:tcPr>
                  <w:tcW w:w="467" w:type="dxa"/>
                  <w:vMerge w:val="restart"/>
                  <w:tcBorders>
                    <w:tl2br w:val="nil"/>
                    <w:tr2bl w:val="nil"/>
                  </w:tcBorders>
                  <w:noWrap w:val="0"/>
                  <w:vAlign w:val="center"/>
                </w:tcPr>
                <w:p w14:paraId="691F2A57">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w:t>
                  </w:r>
                </w:p>
              </w:tc>
              <w:tc>
                <w:tcPr>
                  <w:tcW w:w="440" w:type="dxa"/>
                  <w:vMerge w:val="restart"/>
                  <w:tcBorders>
                    <w:tl2br w:val="nil"/>
                    <w:tr2bl w:val="nil"/>
                  </w:tcBorders>
                  <w:noWrap w:val="0"/>
                  <w:vAlign w:val="center"/>
                </w:tcPr>
                <w:p w14:paraId="65AED79F">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w:t>
                  </w:r>
                </w:p>
              </w:tc>
              <w:tc>
                <w:tcPr>
                  <w:tcW w:w="386" w:type="dxa"/>
                  <w:vMerge w:val="restart"/>
                  <w:tcBorders>
                    <w:tl2br w:val="nil"/>
                    <w:tr2bl w:val="nil"/>
                  </w:tcBorders>
                  <w:noWrap w:val="0"/>
                  <w:vAlign w:val="center"/>
                </w:tcPr>
                <w:p w14:paraId="5B6D80DF">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w:t>
                  </w:r>
                </w:p>
              </w:tc>
              <w:tc>
                <w:tcPr>
                  <w:tcW w:w="413" w:type="dxa"/>
                  <w:vMerge w:val="restart"/>
                  <w:tcBorders>
                    <w:tl2br w:val="nil"/>
                    <w:tr2bl w:val="nil"/>
                  </w:tcBorders>
                  <w:noWrap w:val="0"/>
                  <w:vAlign w:val="center"/>
                </w:tcPr>
                <w:p w14:paraId="5CBC7B8C">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w:t>
                  </w:r>
                </w:p>
              </w:tc>
              <w:tc>
                <w:tcPr>
                  <w:tcW w:w="440" w:type="dxa"/>
                  <w:vMerge w:val="restart"/>
                  <w:tcBorders>
                    <w:tl2br w:val="nil"/>
                    <w:tr2bl w:val="nil"/>
                  </w:tcBorders>
                  <w:noWrap w:val="0"/>
                  <w:vAlign w:val="center"/>
                </w:tcPr>
                <w:p w14:paraId="30A4346C">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w:t>
                  </w:r>
                </w:p>
              </w:tc>
              <w:tc>
                <w:tcPr>
                  <w:tcW w:w="440" w:type="dxa"/>
                  <w:vMerge w:val="restart"/>
                  <w:tcBorders>
                    <w:tl2br w:val="nil"/>
                    <w:tr2bl w:val="nil"/>
                  </w:tcBorders>
                  <w:noWrap w:val="0"/>
                  <w:vAlign w:val="center"/>
                </w:tcPr>
                <w:p w14:paraId="0CDEE3F0">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w:t>
                  </w:r>
                </w:p>
              </w:tc>
              <w:tc>
                <w:tcPr>
                  <w:tcW w:w="507" w:type="dxa"/>
                  <w:vMerge w:val="restart"/>
                  <w:tcBorders>
                    <w:tl2br w:val="nil"/>
                    <w:tr2bl w:val="nil"/>
                  </w:tcBorders>
                  <w:noWrap w:val="0"/>
                  <w:vAlign w:val="center"/>
                </w:tcPr>
                <w:p w14:paraId="364BB2F5">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w:t>
                  </w:r>
                </w:p>
              </w:tc>
              <w:tc>
                <w:tcPr>
                  <w:tcW w:w="440" w:type="dxa"/>
                  <w:vMerge w:val="continue"/>
                  <w:tcBorders>
                    <w:tl2br w:val="nil"/>
                    <w:tr2bl w:val="nil"/>
                  </w:tcBorders>
                  <w:noWrap w:val="0"/>
                  <w:vAlign w:val="center"/>
                </w:tcPr>
                <w:p w14:paraId="0A3C0CD5">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p>
              </w:tc>
              <w:tc>
                <w:tcPr>
                  <w:tcW w:w="440" w:type="dxa"/>
                  <w:vMerge w:val="restart"/>
                  <w:tcBorders>
                    <w:tl2br w:val="nil"/>
                    <w:tr2bl w:val="nil"/>
                  </w:tcBorders>
                  <w:noWrap w:val="0"/>
                  <w:vAlign w:val="center"/>
                </w:tcPr>
                <w:p w14:paraId="6E818B3F">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w:t>
                  </w:r>
                </w:p>
              </w:tc>
              <w:tc>
                <w:tcPr>
                  <w:tcW w:w="426" w:type="dxa"/>
                  <w:vMerge w:val="restart"/>
                  <w:tcBorders>
                    <w:tl2br w:val="nil"/>
                    <w:tr2bl w:val="nil"/>
                  </w:tcBorders>
                  <w:noWrap w:val="0"/>
                  <w:vAlign w:val="center"/>
                </w:tcPr>
                <w:p w14:paraId="6F55CCE5">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w:t>
                  </w:r>
                </w:p>
              </w:tc>
              <w:tc>
                <w:tcPr>
                  <w:tcW w:w="440" w:type="dxa"/>
                  <w:vMerge w:val="restart"/>
                  <w:tcBorders>
                    <w:tl2br w:val="nil"/>
                    <w:tr2bl w:val="nil"/>
                  </w:tcBorders>
                  <w:noWrap w:val="0"/>
                  <w:vAlign w:val="center"/>
                </w:tcPr>
                <w:p w14:paraId="15CBDBF2">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w:t>
                  </w:r>
                </w:p>
              </w:tc>
              <w:tc>
                <w:tcPr>
                  <w:tcW w:w="452" w:type="dxa"/>
                  <w:vMerge w:val="restart"/>
                  <w:tcBorders>
                    <w:tl2br w:val="nil"/>
                    <w:tr2bl w:val="nil"/>
                  </w:tcBorders>
                  <w:noWrap w:val="0"/>
                  <w:vAlign w:val="center"/>
                </w:tcPr>
                <w:p w14:paraId="20A99457">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w:t>
                  </w:r>
                </w:p>
              </w:tc>
              <w:tc>
                <w:tcPr>
                  <w:tcW w:w="1853" w:type="dxa"/>
                  <w:gridSpan w:val="4"/>
                  <w:tcBorders>
                    <w:tl2br w:val="nil"/>
                    <w:tr2bl w:val="nil"/>
                  </w:tcBorders>
                  <w:noWrap w:val="0"/>
                  <w:vAlign w:val="center"/>
                </w:tcPr>
                <w:p w14:paraId="08DC6E19">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声压级/dB(A)</w:t>
                  </w:r>
                </w:p>
              </w:tc>
              <w:tc>
                <w:tcPr>
                  <w:tcW w:w="497" w:type="dxa"/>
                  <w:vMerge w:val="restart"/>
                  <w:tcBorders>
                    <w:tl2br w:val="nil"/>
                    <w:tr2bl w:val="nil"/>
                  </w:tcBorders>
                  <w:noWrap w:val="0"/>
                  <w:vAlign w:val="center"/>
                </w:tcPr>
                <w:p w14:paraId="13F7A105">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建筑物外距离</w:t>
                  </w:r>
                </w:p>
              </w:tc>
            </w:tr>
            <w:tr w14:paraId="254A01F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49" w:type="dxa"/>
                  <w:vMerge w:val="continue"/>
                  <w:tcBorders>
                    <w:tl2br w:val="nil"/>
                    <w:tr2bl w:val="nil"/>
                  </w:tcBorders>
                  <w:noWrap w:val="0"/>
                  <w:vAlign w:val="center"/>
                </w:tcPr>
                <w:p w14:paraId="2335BE1E">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p>
              </w:tc>
              <w:tc>
                <w:tcPr>
                  <w:tcW w:w="999" w:type="dxa"/>
                  <w:vMerge w:val="continue"/>
                  <w:tcBorders>
                    <w:tl2br w:val="nil"/>
                    <w:tr2bl w:val="nil"/>
                  </w:tcBorders>
                  <w:noWrap w:val="0"/>
                  <w:vAlign w:val="center"/>
                </w:tcPr>
                <w:p w14:paraId="446E26D7">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p>
              </w:tc>
              <w:tc>
                <w:tcPr>
                  <w:tcW w:w="285" w:type="dxa"/>
                  <w:vMerge w:val="continue"/>
                  <w:tcBorders>
                    <w:tl2br w:val="nil"/>
                    <w:tr2bl w:val="nil"/>
                  </w:tcBorders>
                  <w:noWrap w:val="0"/>
                  <w:vAlign w:val="center"/>
                </w:tcPr>
                <w:p w14:paraId="3B97472A">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p>
              </w:tc>
              <w:tc>
                <w:tcPr>
                  <w:tcW w:w="690" w:type="dxa"/>
                  <w:vMerge w:val="continue"/>
                  <w:tcBorders>
                    <w:tl2br w:val="nil"/>
                    <w:tr2bl w:val="nil"/>
                  </w:tcBorders>
                  <w:noWrap w:val="0"/>
                  <w:vAlign w:val="center"/>
                </w:tcPr>
                <w:p w14:paraId="1B9FF9E4">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p>
              </w:tc>
              <w:tc>
                <w:tcPr>
                  <w:tcW w:w="1374" w:type="dxa"/>
                  <w:vMerge w:val="continue"/>
                  <w:tcBorders>
                    <w:tl2br w:val="nil"/>
                    <w:tr2bl w:val="nil"/>
                  </w:tcBorders>
                  <w:noWrap w:val="0"/>
                  <w:vAlign w:val="center"/>
                </w:tcPr>
                <w:p w14:paraId="5BAB7A4D">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p>
              </w:tc>
              <w:tc>
                <w:tcPr>
                  <w:tcW w:w="440" w:type="dxa"/>
                  <w:vMerge w:val="continue"/>
                  <w:tcBorders>
                    <w:tl2br w:val="nil"/>
                    <w:tr2bl w:val="nil"/>
                  </w:tcBorders>
                  <w:noWrap w:val="0"/>
                  <w:vAlign w:val="center"/>
                </w:tcPr>
                <w:p w14:paraId="78406F54">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i/>
                      <w:color w:val="auto"/>
                      <w:sz w:val="21"/>
                      <w:szCs w:val="21"/>
                    </w:rPr>
                  </w:pPr>
                </w:p>
              </w:tc>
              <w:tc>
                <w:tcPr>
                  <w:tcW w:w="386" w:type="dxa"/>
                  <w:vMerge w:val="continue"/>
                  <w:tcBorders>
                    <w:tl2br w:val="nil"/>
                    <w:tr2bl w:val="nil"/>
                  </w:tcBorders>
                  <w:noWrap w:val="0"/>
                  <w:vAlign w:val="center"/>
                </w:tcPr>
                <w:p w14:paraId="4D3330CB">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i/>
                      <w:color w:val="auto"/>
                      <w:sz w:val="21"/>
                      <w:szCs w:val="21"/>
                    </w:rPr>
                  </w:pPr>
                </w:p>
              </w:tc>
              <w:tc>
                <w:tcPr>
                  <w:tcW w:w="440" w:type="dxa"/>
                  <w:vMerge w:val="continue"/>
                  <w:tcBorders>
                    <w:tl2br w:val="nil"/>
                    <w:tr2bl w:val="nil"/>
                  </w:tcBorders>
                  <w:noWrap w:val="0"/>
                  <w:vAlign w:val="center"/>
                </w:tcPr>
                <w:p w14:paraId="3FD37F40">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i/>
                      <w:color w:val="auto"/>
                      <w:sz w:val="21"/>
                      <w:szCs w:val="21"/>
                    </w:rPr>
                  </w:pPr>
                </w:p>
              </w:tc>
              <w:tc>
                <w:tcPr>
                  <w:tcW w:w="387" w:type="dxa"/>
                  <w:vMerge w:val="continue"/>
                  <w:tcBorders>
                    <w:tl2br w:val="nil"/>
                    <w:tr2bl w:val="nil"/>
                  </w:tcBorders>
                  <w:noWrap w:val="0"/>
                  <w:vAlign w:val="center"/>
                </w:tcPr>
                <w:p w14:paraId="6CA5D4D9">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p>
              </w:tc>
              <w:tc>
                <w:tcPr>
                  <w:tcW w:w="467" w:type="dxa"/>
                  <w:vMerge w:val="continue"/>
                  <w:tcBorders>
                    <w:tl2br w:val="nil"/>
                    <w:tr2bl w:val="nil"/>
                  </w:tcBorders>
                  <w:noWrap w:val="0"/>
                  <w:vAlign w:val="center"/>
                </w:tcPr>
                <w:p w14:paraId="42A42A57">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p>
              </w:tc>
              <w:tc>
                <w:tcPr>
                  <w:tcW w:w="440" w:type="dxa"/>
                  <w:vMerge w:val="continue"/>
                  <w:tcBorders>
                    <w:tl2br w:val="nil"/>
                    <w:tr2bl w:val="nil"/>
                  </w:tcBorders>
                  <w:noWrap w:val="0"/>
                  <w:vAlign w:val="center"/>
                </w:tcPr>
                <w:p w14:paraId="335CD7DB">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p>
              </w:tc>
              <w:tc>
                <w:tcPr>
                  <w:tcW w:w="386" w:type="dxa"/>
                  <w:vMerge w:val="continue"/>
                  <w:tcBorders>
                    <w:tl2br w:val="nil"/>
                    <w:tr2bl w:val="nil"/>
                  </w:tcBorders>
                  <w:noWrap w:val="0"/>
                  <w:vAlign w:val="center"/>
                </w:tcPr>
                <w:p w14:paraId="59159038">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p>
              </w:tc>
              <w:tc>
                <w:tcPr>
                  <w:tcW w:w="413" w:type="dxa"/>
                  <w:vMerge w:val="continue"/>
                  <w:tcBorders>
                    <w:tl2br w:val="nil"/>
                    <w:tr2bl w:val="nil"/>
                  </w:tcBorders>
                  <w:noWrap w:val="0"/>
                  <w:vAlign w:val="center"/>
                </w:tcPr>
                <w:p w14:paraId="2E677982">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p>
              </w:tc>
              <w:tc>
                <w:tcPr>
                  <w:tcW w:w="440" w:type="dxa"/>
                  <w:vMerge w:val="continue"/>
                  <w:tcBorders>
                    <w:tl2br w:val="nil"/>
                    <w:tr2bl w:val="nil"/>
                  </w:tcBorders>
                  <w:noWrap w:val="0"/>
                  <w:vAlign w:val="center"/>
                </w:tcPr>
                <w:p w14:paraId="484F316F">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p>
              </w:tc>
              <w:tc>
                <w:tcPr>
                  <w:tcW w:w="440" w:type="dxa"/>
                  <w:vMerge w:val="continue"/>
                  <w:tcBorders>
                    <w:tl2br w:val="nil"/>
                    <w:tr2bl w:val="nil"/>
                  </w:tcBorders>
                  <w:noWrap w:val="0"/>
                  <w:vAlign w:val="center"/>
                </w:tcPr>
                <w:p w14:paraId="439AA171">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p>
              </w:tc>
              <w:tc>
                <w:tcPr>
                  <w:tcW w:w="507" w:type="dxa"/>
                  <w:vMerge w:val="continue"/>
                  <w:tcBorders>
                    <w:tl2br w:val="nil"/>
                    <w:tr2bl w:val="nil"/>
                  </w:tcBorders>
                  <w:noWrap w:val="0"/>
                  <w:vAlign w:val="center"/>
                </w:tcPr>
                <w:p w14:paraId="40A90907">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p>
              </w:tc>
              <w:tc>
                <w:tcPr>
                  <w:tcW w:w="440" w:type="dxa"/>
                  <w:vMerge w:val="continue"/>
                  <w:tcBorders>
                    <w:tl2br w:val="nil"/>
                    <w:tr2bl w:val="nil"/>
                  </w:tcBorders>
                  <w:noWrap w:val="0"/>
                  <w:vAlign w:val="center"/>
                </w:tcPr>
                <w:p w14:paraId="5BBB04A6">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p>
              </w:tc>
              <w:tc>
                <w:tcPr>
                  <w:tcW w:w="440" w:type="dxa"/>
                  <w:vMerge w:val="continue"/>
                  <w:tcBorders>
                    <w:tl2br w:val="nil"/>
                    <w:tr2bl w:val="nil"/>
                  </w:tcBorders>
                  <w:noWrap w:val="0"/>
                  <w:vAlign w:val="center"/>
                </w:tcPr>
                <w:p w14:paraId="757C626B">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p>
              </w:tc>
              <w:tc>
                <w:tcPr>
                  <w:tcW w:w="426" w:type="dxa"/>
                  <w:vMerge w:val="continue"/>
                  <w:tcBorders>
                    <w:tl2br w:val="nil"/>
                    <w:tr2bl w:val="nil"/>
                  </w:tcBorders>
                  <w:noWrap w:val="0"/>
                  <w:vAlign w:val="center"/>
                </w:tcPr>
                <w:p w14:paraId="48362115">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p>
              </w:tc>
              <w:tc>
                <w:tcPr>
                  <w:tcW w:w="440" w:type="dxa"/>
                  <w:vMerge w:val="continue"/>
                  <w:tcBorders>
                    <w:tl2br w:val="nil"/>
                    <w:tr2bl w:val="nil"/>
                  </w:tcBorders>
                  <w:noWrap w:val="0"/>
                  <w:vAlign w:val="center"/>
                </w:tcPr>
                <w:p w14:paraId="034DC76D">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p>
              </w:tc>
              <w:tc>
                <w:tcPr>
                  <w:tcW w:w="452" w:type="dxa"/>
                  <w:vMerge w:val="continue"/>
                  <w:tcBorders>
                    <w:tl2br w:val="nil"/>
                    <w:tr2bl w:val="nil"/>
                  </w:tcBorders>
                  <w:noWrap w:val="0"/>
                  <w:vAlign w:val="center"/>
                </w:tcPr>
                <w:p w14:paraId="7C1E02D3">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p>
              </w:tc>
              <w:tc>
                <w:tcPr>
                  <w:tcW w:w="482" w:type="dxa"/>
                  <w:tcBorders>
                    <w:tl2br w:val="nil"/>
                    <w:tr2bl w:val="nil"/>
                  </w:tcBorders>
                  <w:noWrap w:val="0"/>
                  <w:vAlign w:val="center"/>
                </w:tcPr>
                <w:p w14:paraId="1A5FAE91">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w:t>
                  </w:r>
                </w:p>
              </w:tc>
              <w:tc>
                <w:tcPr>
                  <w:tcW w:w="453" w:type="dxa"/>
                  <w:tcBorders>
                    <w:tl2br w:val="nil"/>
                    <w:tr2bl w:val="nil"/>
                  </w:tcBorders>
                  <w:noWrap w:val="0"/>
                  <w:vAlign w:val="center"/>
                </w:tcPr>
                <w:p w14:paraId="51EBDA47">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w:t>
                  </w:r>
                </w:p>
              </w:tc>
              <w:tc>
                <w:tcPr>
                  <w:tcW w:w="453" w:type="dxa"/>
                  <w:tcBorders>
                    <w:tl2br w:val="nil"/>
                    <w:tr2bl w:val="nil"/>
                  </w:tcBorders>
                  <w:noWrap w:val="0"/>
                  <w:vAlign w:val="center"/>
                </w:tcPr>
                <w:p w14:paraId="3D7764DE">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w:t>
                  </w:r>
                </w:p>
              </w:tc>
              <w:tc>
                <w:tcPr>
                  <w:tcW w:w="465" w:type="dxa"/>
                  <w:tcBorders>
                    <w:tl2br w:val="nil"/>
                    <w:tr2bl w:val="nil"/>
                  </w:tcBorders>
                  <w:noWrap w:val="0"/>
                  <w:vAlign w:val="center"/>
                </w:tcPr>
                <w:p w14:paraId="3F99003C">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w:t>
                  </w:r>
                </w:p>
              </w:tc>
              <w:tc>
                <w:tcPr>
                  <w:tcW w:w="497" w:type="dxa"/>
                  <w:vMerge w:val="continue"/>
                  <w:tcBorders>
                    <w:tl2br w:val="nil"/>
                    <w:tr2bl w:val="nil"/>
                  </w:tcBorders>
                  <w:noWrap w:val="0"/>
                  <w:vAlign w:val="center"/>
                </w:tcPr>
                <w:p w14:paraId="0D61EDD6">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p>
              </w:tc>
            </w:tr>
            <w:tr w14:paraId="43895E1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49" w:type="dxa"/>
                  <w:vMerge w:val="restart"/>
                  <w:tcBorders>
                    <w:tl2br w:val="nil"/>
                    <w:tr2bl w:val="nil"/>
                  </w:tcBorders>
                  <w:noWrap w:val="0"/>
                  <w:vAlign w:val="center"/>
                </w:tcPr>
                <w:p w14:paraId="4BAF68C7">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煤粉生产车间</w:t>
                  </w:r>
                </w:p>
              </w:tc>
              <w:tc>
                <w:tcPr>
                  <w:tcW w:w="999" w:type="dxa"/>
                  <w:tcBorders>
                    <w:tl2br w:val="nil"/>
                    <w:tr2bl w:val="nil"/>
                  </w:tcBorders>
                  <w:noWrap w:val="0"/>
                  <w:vAlign w:val="center"/>
                </w:tcPr>
                <w:p w14:paraId="35450DF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煤粉生产设备</w:t>
                  </w:r>
                </w:p>
              </w:tc>
              <w:tc>
                <w:tcPr>
                  <w:tcW w:w="285" w:type="dxa"/>
                  <w:vMerge w:val="restart"/>
                  <w:tcBorders>
                    <w:tl2br w:val="nil"/>
                    <w:tr2bl w:val="nil"/>
                  </w:tcBorders>
                  <w:noWrap w:val="0"/>
                  <w:vAlign w:val="center"/>
                </w:tcPr>
                <w:p w14:paraId="2054A277">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90" w:type="dxa"/>
                  <w:tcBorders>
                    <w:tl2br w:val="nil"/>
                    <w:tr2bl w:val="nil"/>
                  </w:tcBorders>
                  <w:noWrap w:val="0"/>
                  <w:vAlign w:val="center"/>
                </w:tcPr>
                <w:p w14:paraId="013E21F0">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106</w:t>
                  </w:r>
                </w:p>
              </w:tc>
              <w:tc>
                <w:tcPr>
                  <w:tcW w:w="1374" w:type="dxa"/>
                  <w:vMerge w:val="restart"/>
                  <w:tcBorders>
                    <w:tl2br w:val="nil"/>
                    <w:tr2bl w:val="nil"/>
                  </w:tcBorders>
                  <w:noWrap w:val="0"/>
                  <w:vAlign w:val="center"/>
                </w:tcPr>
                <w:p w14:paraId="41D96B04">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Cs/>
                      <w:color w:val="auto"/>
                      <w:sz w:val="21"/>
                      <w:szCs w:val="21"/>
                      <w:lang w:eastAsia="zh-CN"/>
                    </w:rPr>
                    <w:t>采用低噪设备，基础减震，车间封闭，厂房隔声，加强设备维护保养，合理布置厂区平面，距离衰减；加强管理，文明操作，避免因野蛮操作产生的突发性噪声等</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eastAsia="zh-CN"/>
                    </w:rPr>
                    <w:t>进/排气口加装消声器，进/排气管采用柔性接头</w:t>
                  </w:r>
                </w:p>
              </w:tc>
              <w:tc>
                <w:tcPr>
                  <w:tcW w:w="440" w:type="dxa"/>
                  <w:tcBorders>
                    <w:tl2br w:val="nil"/>
                    <w:tr2bl w:val="nil"/>
                  </w:tcBorders>
                  <w:noWrap w:val="0"/>
                  <w:vAlign w:val="center"/>
                </w:tcPr>
                <w:p w14:paraId="6095B1DD">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36</w:t>
                  </w:r>
                </w:p>
              </w:tc>
              <w:tc>
                <w:tcPr>
                  <w:tcW w:w="386" w:type="dxa"/>
                  <w:tcBorders>
                    <w:tl2br w:val="nil"/>
                    <w:tr2bl w:val="nil"/>
                  </w:tcBorders>
                  <w:noWrap w:val="0"/>
                  <w:vAlign w:val="center"/>
                </w:tcPr>
                <w:p w14:paraId="1A75ED27">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143</w:t>
                  </w:r>
                </w:p>
              </w:tc>
              <w:tc>
                <w:tcPr>
                  <w:tcW w:w="440" w:type="dxa"/>
                  <w:tcBorders>
                    <w:tl2br w:val="nil"/>
                    <w:tr2bl w:val="nil"/>
                  </w:tcBorders>
                  <w:noWrap w:val="0"/>
                  <w:vAlign w:val="center"/>
                </w:tcPr>
                <w:p w14:paraId="092C3B2F">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c>
              <w:tc>
                <w:tcPr>
                  <w:tcW w:w="387" w:type="dxa"/>
                  <w:tcBorders>
                    <w:tl2br w:val="nil"/>
                    <w:tr2bl w:val="nil"/>
                  </w:tcBorders>
                  <w:noWrap w:val="0"/>
                  <w:vAlign w:val="center"/>
                </w:tcPr>
                <w:p w14:paraId="4EFF4226">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w:t>
                  </w:r>
                </w:p>
              </w:tc>
              <w:tc>
                <w:tcPr>
                  <w:tcW w:w="467" w:type="dxa"/>
                  <w:tcBorders>
                    <w:tl2br w:val="nil"/>
                    <w:tr2bl w:val="nil"/>
                  </w:tcBorders>
                  <w:noWrap w:val="0"/>
                  <w:vAlign w:val="center"/>
                </w:tcPr>
                <w:p w14:paraId="388CD05D">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w:t>
                  </w:r>
                </w:p>
              </w:tc>
              <w:tc>
                <w:tcPr>
                  <w:tcW w:w="440" w:type="dxa"/>
                  <w:tcBorders>
                    <w:tl2br w:val="nil"/>
                    <w:tr2bl w:val="nil"/>
                  </w:tcBorders>
                  <w:noWrap w:val="0"/>
                  <w:vAlign w:val="center"/>
                </w:tcPr>
                <w:p w14:paraId="2301EC84">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w:t>
                  </w:r>
                </w:p>
              </w:tc>
              <w:tc>
                <w:tcPr>
                  <w:tcW w:w="386" w:type="dxa"/>
                  <w:tcBorders>
                    <w:tl2br w:val="nil"/>
                    <w:tr2bl w:val="nil"/>
                  </w:tcBorders>
                  <w:noWrap w:val="0"/>
                  <w:vAlign w:val="center"/>
                </w:tcPr>
                <w:p w14:paraId="5AEAE04C">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w:t>
                  </w:r>
                </w:p>
              </w:tc>
              <w:tc>
                <w:tcPr>
                  <w:tcW w:w="413" w:type="dxa"/>
                  <w:tcBorders>
                    <w:tl2br w:val="nil"/>
                    <w:tr2bl w:val="nil"/>
                  </w:tcBorders>
                  <w:noWrap w:val="0"/>
                  <w:vAlign w:val="center"/>
                </w:tcPr>
                <w:p w14:paraId="2270D7A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87.4</w:t>
                  </w:r>
                </w:p>
              </w:tc>
              <w:tc>
                <w:tcPr>
                  <w:tcW w:w="440" w:type="dxa"/>
                  <w:tcBorders>
                    <w:tl2br w:val="nil"/>
                    <w:tr2bl w:val="nil"/>
                  </w:tcBorders>
                  <w:noWrap w:val="0"/>
                  <w:vAlign w:val="center"/>
                </w:tcPr>
                <w:p w14:paraId="2089614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87.4</w:t>
                  </w:r>
                </w:p>
              </w:tc>
              <w:tc>
                <w:tcPr>
                  <w:tcW w:w="440" w:type="dxa"/>
                  <w:tcBorders>
                    <w:tl2br w:val="nil"/>
                    <w:tr2bl w:val="nil"/>
                  </w:tcBorders>
                  <w:noWrap w:val="0"/>
                  <w:vAlign w:val="center"/>
                </w:tcPr>
                <w:p w14:paraId="1AF756B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87.4</w:t>
                  </w:r>
                </w:p>
              </w:tc>
              <w:tc>
                <w:tcPr>
                  <w:tcW w:w="507" w:type="dxa"/>
                  <w:tcBorders>
                    <w:tl2br w:val="nil"/>
                    <w:tr2bl w:val="nil"/>
                  </w:tcBorders>
                  <w:noWrap w:val="0"/>
                  <w:vAlign w:val="center"/>
                </w:tcPr>
                <w:p w14:paraId="4324E74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87.4</w:t>
                  </w:r>
                </w:p>
              </w:tc>
              <w:tc>
                <w:tcPr>
                  <w:tcW w:w="440" w:type="dxa"/>
                  <w:vMerge w:val="restart"/>
                  <w:tcBorders>
                    <w:tl2br w:val="nil"/>
                    <w:tr2bl w:val="nil"/>
                  </w:tcBorders>
                  <w:noWrap w:val="0"/>
                  <w:vAlign w:val="center"/>
                </w:tcPr>
                <w:p w14:paraId="65F9956C">
                  <w:pPr>
                    <w:keepNext w:val="0"/>
                    <w:keepLines w:val="0"/>
                    <w:pageBreakBefore w:val="0"/>
                    <w:kinsoku/>
                    <w:wordWrap/>
                    <w:overflowPunct/>
                    <w:topLinePunct w:val="0"/>
                    <w:bidi w:val="0"/>
                    <w:spacing w:line="240" w:lineRule="exact"/>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10</w:t>
                  </w:r>
                  <w:r>
                    <w:rPr>
                      <w:rFonts w:hint="default" w:ascii="Times New Roman" w:hAnsi="Times New Roman" w:eastAsia="宋体" w:cs="Times New Roman"/>
                      <w:bCs/>
                      <w:color w:val="auto"/>
                      <w:sz w:val="21"/>
                      <w:szCs w:val="21"/>
                    </w:rPr>
                    <w:t>h</w:t>
                  </w:r>
                  <w:r>
                    <w:rPr>
                      <w:rFonts w:hint="default" w:ascii="Times New Roman" w:hAnsi="Times New Roman" w:eastAsia="宋体" w:cs="Times New Roman"/>
                      <w:bCs/>
                      <w:color w:val="auto"/>
                      <w:sz w:val="21"/>
                      <w:szCs w:val="21"/>
                      <w:lang w:val="en-US" w:eastAsia="zh-CN"/>
                    </w:rPr>
                    <w:t>/d</w:t>
                  </w:r>
                </w:p>
              </w:tc>
              <w:tc>
                <w:tcPr>
                  <w:tcW w:w="440" w:type="dxa"/>
                  <w:tcBorders>
                    <w:tl2br w:val="nil"/>
                    <w:tr2bl w:val="nil"/>
                  </w:tcBorders>
                  <w:noWrap w:val="0"/>
                  <w:vAlign w:val="center"/>
                </w:tcPr>
                <w:p w14:paraId="41A3782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426" w:type="dxa"/>
                  <w:tcBorders>
                    <w:tl2br w:val="nil"/>
                    <w:tr2bl w:val="nil"/>
                  </w:tcBorders>
                  <w:noWrap w:val="0"/>
                  <w:vAlign w:val="center"/>
                </w:tcPr>
                <w:p w14:paraId="7FC32FA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30.8</w:t>
                  </w:r>
                </w:p>
              </w:tc>
              <w:tc>
                <w:tcPr>
                  <w:tcW w:w="440" w:type="dxa"/>
                  <w:tcBorders>
                    <w:tl2br w:val="nil"/>
                    <w:tr2bl w:val="nil"/>
                  </w:tcBorders>
                  <w:noWrap w:val="0"/>
                  <w:vAlign w:val="center"/>
                </w:tcPr>
                <w:p w14:paraId="42D55E5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452" w:type="dxa"/>
                  <w:tcBorders>
                    <w:tl2br w:val="nil"/>
                    <w:tr2bl w:val="nil"/>
                  </w:tcBorders>
                  <w:noWrap w:val="0"/>
                  <w:vAlign w:val="center"/>
                </w:tcPr>
                <w:p w14:paraId="6A3DD65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482" w:type="dxa"/>
                  <w:tcBorders>
                    <w:tl2br w:val="nil"/>
                    <w:tr2bl w:val="nil"/>
                  </w:tcBorders>
                  <w:noWrap w:val="0"/>
                  <w:vAlign w:val="center"/>
                </w:tcPr>
                <w:p w14:paraId="77BFAD6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56.2</w:t>
                  </w:r>
                </w:p>
              </w:tc>
              <w:tc>
                <w:tcPr>
                  <w:tcW w:w="453" w:type="dxa"/>
                  <w:tcBorders>
                    <w:tl2br w:val="nil"/>
                    <w:tr2bl w:val="nil"/>
                  </w:tcBorders>
                  <w:noWrap w:val="0"/>
                  <w:vAlign w:val="center"/>
                </w:tcPr>
                <w:p w14:paraId="3A840AC2">
                  <w:pPr>
                    <w:keepNext w:val="0"/>
                    <w:keepLines w:val="0"/>
                    <w:widowControl/>
                    <w:suppressLineNumbers w:val="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56.</w:t>
                  </w:r>
                  <w:r>
                    <w:rPr>
                      <w:rFonts w:hint="eastAsia" w:cs="Times New Roman"/>
                      <w:i w:val="0"/>
                      <w:iCs w:val="0"/>
                      <w:color w:val="000000"/>
                      <w:kern w:val="0"/>
                      <w:sz w:val="21"/>
                      <w:szCs w:val="21"/>
                      <w:u w:val="none"/>
                      <w:lang w:val="en-US" w:eastAsia="zh-CN" w:bidi="ar"/>
                    </w:rPr>
                    <w:t>6</w:t>
                  </w:r>
                </w:p>
              </w:tc>
              <w:tc>
                <w:tcPr>
                  <w:tcW w:w="453" w:type="dxa"/>
                  <w:tcBorders>
                    <w:tl2br w:val="nil"/>
                    <w:tr2bl w:val="nil"/>
                  </w:tcBorders>
                  <w:noWrap w:val="0"/>
                  <w:vAlign w:val="center"/>
                </w:tcPr>
                <w:p w14:paraId="4EE81503">
                  <w:pPr>
                    <w:keepNext w:val="0"/>
                    <w:keepLines w:val="0"/>
                    <w:widowControl/>
                    <w:suppressLineNumbers w:val="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56.</w:t>
                  </w:r>
                  <w:r>
                    <w:rPr>
                      <w:rFonts w:hint="eastAsia" w:cs="Times New Roman"/>
                      <w:i w:val="0"/>
                      <w:iCs w:val="0"/>
                      <w:color w:val="000000"/>
                      <w:kern w:val="0"/>
                      <w:sz w:val="21"/>
                      <w:szCs w:val="21"/>
                      <w:u w:val="none"/>
                      <w:lang w:val="en-US" w:eastAsia="zh-CN" w:bidi="ar"/>
                    </w:rPr>
                    <w:t>2</w:t>
                  </w:r>
                </w:p>
              </w:tc>
              <w:tc>
                <w:tcPr>
                  <w:tcW w:w="465" w:type="dxa"/>
                  <w:tcBorders>
                    <w:tl2br w:val="nil"/>
                    <w:tr2bl w:val="nil"/>
                  </w:tcBorders>
                  <w:noWrap w:val="0"/>
                  <w:vAlign w:val="center"/>
                </w:tcPr>
                <w:p w14:paraId="07F34070">
                  <w:pPr>
                    <w:keepNext w:val="0"/>
                    <w:keepLines w:val="0"/>
                    <w:widowControl/>
                    <w:suppressLineNumbers w:val="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56.2</w:t>
                  </w:r>
                </w:p>
              </w:tc>
              <w:tc>
                <w:tcPr>
                  <w:tcW w:w="497" w:type="dxa"/>
                  <w:tcBorders>
                    <w:tl2br w:val="nil"/>
                    <w:tr2bl w:val="nil"/>
                  </w:tcBorders>
                  <w:noWrap w:val="0"/>
                  <w:vAlign w:val="center"/>
                </w:tcPr>
                <w:p w14:paraId="1B40DE6E">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1m</w:t>
                  </w:r>
                </w:p>
              </w:tc>
            </w:tr>
            <w:tr w14:paraId="7A755CF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49" w:type="dxa"/>
                  <w:vMerge w:val="continue"/>
                  <w:tcBorders>
                    <w:tl2br w:val="nil"/>
                    <w:tr2bl w:val="nil"/>
                  </w:tcBorders>
                  <w:noWrap w:val="0"/>
                  <w:vAlign w:val="center"/>
                </w:tcPr>
                <w:p w14:paraId="76B18D5D">
                  <w:pPr>
                    <w:pStyle w:val="78"/>
                    <w:keepNext w:val="0"/>
                    <w:keepLines w:val="0"/>
                    <w:pageBreakBefore w:val="0"/>
                    <w:widowControl w:val="0"/>
                    <w:kinsoku/>
                    <w:wordWrap/>
                    <w:overflowPunct/>
                    <w:topLinePunct w:val="0"/>
                    <w:bidi w:val="0"/>
                    <w:adjustRightInd w:val="0"/>
                    <w:snapToGrid w:val="0"/>
                    <w:spacing w:line="240" w:lineRule="exact"/>
                    <w:jc w:val="center"/>
                    <w:rPr>
                      <w:rFonts w:hint="eastAsia" w:cs="Times New Roman"/>
                      <w:color w:val="auto"/>
                      <w:sz w:val="21"/>
                      <w:szCs w:val="21"/>
                      <w:lang w:val="en-US" w:eastAsia="zh-CN"/>
                    </w:rPr>
                  </w:pPr>
                </w:p>
              </w:tc>
              <w:tc>
                <w:tcPr>
                  <w:tcW w:w="999" w:type="dxa"/>
                  <w:tcBorders>
                    <w:tl2br w:val="nil"/>
                    <w:tr2bl w:val="nil"/>
                  </w:tcBorders>
                  <w:noWrap w:val="0"/>
                  <w:vAlign w:val="center"/>
                </w:tcPr>
                <w:p w14:paraId="59A1213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天然气热风炉</w:t>
                  </w:r>
                </w:p>
              </w:tc>
              <w:tc>
                <w:tcPr>
                  <w:tcW w:w="285" w:type="dxa"/>
                  <w:vMerge w:val="continue"/>
                  <w:tcBorders>
                    <w:tl2br w:val="nil"/>
                    <w:tr2bl w:val="nil"/>
                  </w:tcBorders>
                  <w:noWrap w:val="0"/>
                  <w:vAlign w:val="center"/>
                </w:tcPr>
                <w:p w14:paraId="45478B08">
                  <w:pPr>
                    <w:pStyle w:val="78"/>
                    <w:keepNext w:val="0"/>
                    <w:keepLines w:val="0"/>
                    <w:pageBreakBefore w:val="0"/>
                    <w:widowControl w:val="0"/>
                    <w:kinsoku/>
                    <w:wordWrap/>
                    <w:overflowPunct/>
                    <w:topLinePunct w:val="0"/>
                    <w:bidi w:val="0"/>
                    <w:adjustRightInd w:val="0"/>
                    <w:snapToGrid w:val="0"/>
                    <w:spacing w:line="240" w:lineRule="exact"/>
                    <w:jc w:val="center"/>
                    <w:rPr>
                      <w:rFonts w:hint="eastAsia" w:cs="Times New Roman"/>
                      <w:color w:val="auto"/>
                      <w:sz w:val="21"/>
                      <w:szCs w:val="21"/>
                      <w:lang w:val="en-US" w:eastAsia="zh-CN"/>
                    </w:rPr>
                  </w:pPr>
                </w:p>
              </w:tc>
              <w:tc>
                <w:tcPr>
                  <w:tcW w:w="690" w:type="dxa"/>
                  <w:tcBorders>
                    <w:tl2br w:val="nil"/>
                    <w:tr2bl w:val="nil"/>
                  </w:tcBorders>
                  <w:noWrap w:val="0"/>
                  <w:vAlign w:val="center"/>
                </w:tcPr>
                <w:p w14:paraId="424DDE65">
                  <w:pPr>
                    <w:keepNext w:val="0"/>
                    <w:keepLines w:val="0"/>
                    <w:pageBreakBefore w:val="0"/>
                    <w:widowControl w:val="0"/>
                    <w:kinsoku/>
                    <w:wordWrap/>
                    <w:overflowPunct/>
                    <w:topLinePunct w:val="0"/>
                    <w:bidi w:val="0"/>
                    <w:adjustRightInd w:val="0"/>
                    <w:snapToGrid w:val="0"/>
                    <w:spacing w:line="240" w:lineRule="exact"/>
                    <w:jc w:val="center"/>
                    <w:rPr>
                      <w:rFonts w:hint="default" w:cs="Times New Roman"/>
                      <w:bCs/>
                      <w:color w:val="auto"/>
                      <w:sz w:val="21"/>
                      <w:szCs w:val="21"/>
                      <w:lang w:val="en-US" w:eastAsia="zh-CN"/>
                    </w:rPr>
                  </w:pPr>
                  <w:r>
                    <w:rPr>
                      <w:rFonts w:hint="eastAsia" w:cs="Times New Roman"/>
                      <w:bCs/>
                      <w:color w:val="auto"/>
                      <w:sz w:val="21"/>
                      <w:szCs w:val="21"/>
                      <w:lang w:val="en-US" w:eastAsia="zh-CN"/>
                    </w:rPr>
                    <w:t>98</w:t>
                  </w:r>
                </w:p>
              </w:tc>
              <w:tc>
                <w:tcPr>
                  <w:tcW w:w="1374" w:type="dxa"/>
                  <w:vMerge w:val="continue"/>
                  <w:tcBorders>
                    <w:tl2br w:val="nil"/>
                    <w:tr2bl w:val="nil"/>
                  </w:tcBorders>
                  <w:noWrap w:val="0"/>
                  <w:vAlign w:val="center"/>
                </w:tcPr>
                <w:p w14:paraId="3CBA8499">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bCs/>
                      <w:color w:val="auto"/>
                      <w:sz w:val="21"/>
                      <w:szCs w:val="21"/>
                      <w:lang w:eastAsia="zh-CN"/>
                    </w:rPr>
                  </w:pPr>
                </w:p>
              </w:tc>
              <w:tc>
                <w:tcPr>
                  <w:tcW w:w="440" w:type="dxa"/>
                  <w:tcBorders>
                    <w:tl2br w:val="nil"/>
                    <w:tr2bl w:val="nil"/>
                  </w:tcBorders>
                  <w:noWrap w:val="0"/>
                  <w:vAlign w:val="center"/>
                </w:tcPr>
                <w:p w14:paraId="76B06342">
                  <w:pPr>
                    <w:pStyle w:val="78"/>
                    <w:keepNext w:val="0"/>
                    <w:keepLines w:val="0"/>
                    <w:pageBreakBefore w:val="0"/>
                    <w:widowControl w:val="0"/>
                    <w:kinsoku/>
                    <w:wordWrap/>
                    <w:overflowPunct/>
                    <w:topLinePunct w:val="0"/>
                    <w:bidi w:val="0"/>
                    <w:adjustRightInd w:val="0"/>
                    <w:snapToGrid w:val="0"/>
                    <w:spacing w:line="24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44</w:t>
                  </w:r>
                </w:p>
              </w:tc>
              <w:tc>
                <w:tcPr>
                  <w:tcW w:w="386" w:type="dxa"/>
                  <w:tcBorders>
                    <w:tl2br w:val="nil"/>
                    <w:tr2bl w:val="nil"/>
                  </w:tcBorders>
                  <w:noWrap w:val="0"/>
                  <w:vAlign w:val="center"/>
                </w:tcPr>
                <w:p w14:paraId="5E584DDC">
                  <w:pPr>
                    <w:pStyle w:val="78"/>
                    <w:keepNext w:val="0"/>
                    <w:keepLines w:val="0"/>
                    <w:pageBreakBefore w:val="0"/>
                    <w:widowControl w:val="0"/>
                    <w:kinsoku/>
                    <w:wordWrap/>
                    <w:overflowPunct/>
                    <w:topLinePunct w:val="0"/>
                    <w:bidi w:val="0"/>
                    <w:adjustRightInd w:val="0"/>
                    <w:snapToGrid w:val="0"/>
                    <w:spacing w:line="24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158</w:t>
                  </w:r>
                </w:p>
              </w:tc>
              <w:tc>
                <w:tcPr>
                  <w:tcW w:w="440" w:type="dxa"/>
                  <w:tcBorders>
                    <w:tl2br w:val="nil"/>
                    <w:tr2bl w:val="nil"/>
                  </w:tcBorders>
                  <w:noWrap w:val="0"/>
                  <w:vAlign w:val="center"/>
                </w:tcPr>
                <w:p w14:paraId="17503D6F">
                  <w:pPr>
                    <w:pStyle w:val="78"/>
                    <w:keepNext w:val="0"/>
                    <w:keepLines w:val="0"/>
                    <w:pageBreakBefore w:val="0"/>
                    <w:widowControl w:val="0"/>
                    <w:kinsoku/>
                    <w:wordWrap/>
                    <w:overflowPunct/>
                    <w:topLinePunct w:val="0"/>
                    <w:bidi w:val="0"/>
                    <w:adjustRightInd w:val="0"/>
                    <w:snapToGrid w:val="0"/>
                    <w:spacing w:line="24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1.2</w:t>
                  </w:r>
                </w:p>
              </w:tc>
              <w:tc>
                <w:tcPr>
                  <w:tcW w:w="387" w:type="dxa"/>
                  <w:tcBorders>
                    <w:tl2br w:val="nil"/>
                    <w:tr2bl w:val="nil"/>
                  </w:tcBorders>
                  <w:noWrap w:val="0"/>
                  <w:vAlign w:val="center"/>
                </w:tcPr>
                <w:p w14:paraId="0C36713F">
                  <w:pPr>
                    <w:pStyle w:val="78"/>
                    <w:keepNext w:val="0"/>
                    <w:keepLines w:val="0"/>
                    <w:pageBreakBefore w:val="0"/>
                    <w:widowControl w:val="0"/>
                    <w:kinsoku/>
                    <w:wordWrap/>
                    <w:overflowPunct/>
                    <w:topLinePunct w:val="0"/>
                    <w:bidi w:val="0"/>
                    <w:adjustRightInd w:val="0"/>
                    <w:snapToGrid w:val="0"/>
                    <w:spacing w:line="24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6</w:t>
                  </w:r>
                </w:p>
              </w:tc>
              <w:tc>
                <w:tcPr>
                  <w:tcW w:w="467" w:type="dxa"/>
                  <w:tcBorders>
                    <w:tl2br w:val="nil"/>
                    <w:tr2bl w:val="nil"/>
                  </w:tcBorders>
                  <w:noWrap w:val="0"/>
                  <w:vAlign w:val="center"/>
                </w:tcPr>
                <w:p w14:paraId="0551D83A">
                  <w:pPr>
                    <w:pStyle w:val="78"/>
                    <w:keepNext w:val="0"/>
                    <w:keepLines w:val="0"/>
                    <w:pageBreakBefore w:val="0"/>
                    <w:widowControl w:val="0"/>
                    <w:kinsoku/>
                    <w:wordWrap/>
                    <w:overflowPunct/>
                    <w:topLinePunct w:val="0"/>
                    <w:bidi w:val="0"/>
                    <w:adjustRightInd w:val="0"/>
                    <w:snapToGrid w:val="0"/>
                    <w:spacing w:line="24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30</w:t>
                  </w:r>
                </w:p>
              </w:tc>
              <w:tc>
                <w:tcPr>
                  <w:tcW w:w="440" w:type="dxa"/>
                  <w:tcBorders>
                    <w:tl2br w:val="nil"/>
                    <w:tr2bl w:val="nil"/>
                  </w:tcBorders>
                  <w:noWrap w:val="0"/>
                  <w:vAlign w:val="center"/>
                </w:tcPr>
                <w:p w14:paraId="07C0DF86">
                  <w:pPr>
                    <w:pStyle w:val="78"/>
                    <w:keepNext w:val="0"/>
                    <w:keepLines w:val="0"/>
                    <w:pageBreakBefore w:val="0"/>
                    <w:widowControl w:val="0"/>
                    <w:kinsoku/>
                    <w:wordWrap/>
                    <w:overflowPunct/>
                    <w:topLinePunct w:val="0"/>
                    <w:bidi w:val="0"/>
                    <w:adjustRightInd w:val="0"/>
                    <w:snapToGrid w:val="0"/>
                    <w:spacing w:line="24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44</w:t>
                  </w:r>
                </w:p>
              </w:tc>
              <w:tc>
                <w:tcPr>
                  <w:tcW w:w="386" w:type="dxa"/>
                  <w:tcBorders>
                    <w:tl2br w:val="nil"/>
                    <w:tr2bl w:val="nil"/>
                  </w:tcBorders>
                  <w:noWrap w:val="0"/>
                  <w:vAlign w:val="center"/>
                </w:tcPr>
                <w:p w14:paraId="6156BC1F">
                  <w:pPr>
                    <w:pStyle w:val="78"/>
                    <w:keepNext w:val="0"/>
                    <w:keepLines w:val="0"/>
                    <w:pageBreakBefore w:val="0"/>
                    <w:widowControl w:val="0"/>
                    <w:kinsoku/>
                    <w:wordWrap/>
                    <w:overflowPunct/>
                    <w:topLinePunct w:val="0"/>
                    <w:bidi w:val="0"/>
                    <w:adjustRightInd w:val="0"/>
                    <w:snapToGrid w:val="0"/>
                    <w:spacing w:line="24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30</w:t>
                  </w:r>
                </w:p>
              </w:tc>
              <w:tc>
                <w:tcPr>
                  <w:tcW w:w="413" w:type="dxa"/>
                  <w:tcBorders>
                    <w:tl2br w:val="nil"/>
                    <w:tr2bl w:val="nil"/>
                  </w:tcBorders>
                  <w:noWrap w:val="0"/>
                  <w:vAlign w:val="center"/>
                </w:tcPr>
                <w:p w14:paraId="39FF670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w:t>
                  </w:r>
                  <w:r>
                    <w:rPr>
                      <w:rFonts w:hint="eastAsia" w:cs="Times New Roman"/>
                      <w:i w:val="0"/>
                      <w:iCs w:val="0"/>
                      <w:color w:val="000000"/>
                      <w:kern w:val="0"/>
                      <w:sz w:val="21"/>
                      <w:szCs w:val="21"/>
                      <w:u w:val="none"/>
                      <w:lang w:val="en-US" w:eastAsia="zh-CN" w:bidi="ar"/>
                    </w:rPr>
                    <w:t>0</w:t>
                  </w:r>
                </w:p>
              </w:tc>
              <w:tc>
                <w:tcPr>
                  <w:tcW w:w="440" w:type="dxa"/>
                  <w:tcBorders>
                    <w:tl2br w:val="nil"/>
                    <w:tr2bl w:val="nil"/>
                  </w:tcBorders>
                  <w:noWrap w:val="0"/>
                  <w:vAlign w:val="center"/>
                </w:tcPr>
                <w:p w14:paraId="397DD27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79.4</w:t>
                  </w:r>
                </w:p>
              </w:tc>
              <w:tc>
                <w:tcPr>
                  <w:tcW w:w="440" w:type="dxa"/>
                  <w:tcBorders>
                    <w:tl2br w:val="nil"/>
                    <w:tr2bl w:val="nil"/>
                  </w:tcBorders>
                  <w:noWrap w:val="0"/>
                  <w:vAlign w:val="center"/>
                </w:tcPr>
                <w:p w14:paraId="0FB96BC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79.</w:t>
                  </w:r>
                  <w:r>
                    <w:rPr>
                      <w:rFonts w:hint="eastAsia" w:cs="Times New Roman"/>
                      <w:i w:val="0"/>
                      <w:iCs w:val="0"/>
                      <w:color w:val="000000"/>
                      <w:kern w:val="0"/>
                      <w:sz w:val="21"/>
                      <w:szCs w:val="21"/>
                      <w:u w:val="none"/>
                      <w:lang w:val="en-US" w:eastAsia="zh-CN" w:bidi="ar"/>
                    </w:rPr>
                    <w:t>4</w:t>
                  </w:r>
                </w:p>
              </w:tc>
              <w:tc>
                <w:tcPr>
                  <w:tcW w:w="507" w:type="dxa"/>
                  <w:tcBorders>
                    <w:tl2br w:val="nil"/>
                    <w:tr2bl w:val="nil"/>
                  </w:tcBorders>
                  <w:noWrap w:val="0"/>
                  <w:vAlign w:val="center"/>
                </w:tcPr>
                <w:p w14:paraId="5263C6C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79.4</w:t>
                  </w:r>
                </w:p>
              </w:tc>
              <w:tc>
                <w:tcPr>
                  <w:tcW w:w="440" w:type="dxa"/>
                  <w:vMerge w:val="continue"/>
                  <w:tcBorders>
                    <w:tl2br w:val="nil"/>
                    <w:tr2bl w:val="nil"/>
                  </w:tcBorders>
                  <w:noWrap w:val="0"/>
                  <w:vAlign w:val="center"/>
                </w:tcPr>
                <w:p w14:paraId="563253B8">
                  <w:pPr>
                    <w:keepNext w:val="0"/>
                    <w:keepLines w:val="0"/>
                    <w:pageBreakBefore w:val="0"/>
                    <w:kinsoku/>
                    <w:wordWrap/>
                    <w:overflowPunct/>
                    <w:topLinePunct w:val="0"/>
                    <w:bidi w:val="0"/>
                    <w:spacing w:line="240" w:lineRule="exact"/>
                    <w:jc w:val="center"/>
                    <w:rPr>
                      <w:rFonts w:hint="eastAsia" w:cs="Times New Roman"/>
                      <w:bCs/>
                      <w:color w:val="auto"/>
                      <w:sz w:val="21"/>
                      <w:szCs w:val="21"/>
                      <w:lang w:val="en-US" w:eastAsia="zh-CN"/>
                    </w:rPr>
                  </w:pPr>
                </w:p>
              </w:tc>
              <w:tc>
                <w:tcPr>
                  <w:tcW w:w="440" w:type="dxa"/>
                  <w:tcBorders>
                    <w:tl2br w:val="nil"/>
                    <w:tr2bl w:val="nil"/>
                  </w:tcBorders>
                  <w:noWrap w:val="0"/>
                  <w:vAlign w:val="center"/>
                </w:tcPr>
                <w:p w14:paraId="5A583DF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426" w:type="dxa"/>
                  <w:tcBorders>
                    <w:tl2br w:val="nil"/>
                    <w:tr2bl w:val="nil"/>
                  </w:tcBorders>
                  <w:noWrap w:val="0"/>
                  <w:vAlign w:val="center"/>
                </w:tcPr>
                <w:p w14:paraId="273E480C">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30.8</w:t>
                  </w:r>
                </w:p>
              </w:tc>
              <w:tc>
                <w:tcPr>
                  <w:tcW w:w="440" w:type="dxa"/>
                  <w:tcBorders>
                    <w:tl2br w:val="nil"/>
                    <w:tr2bl w:val="nil"/>
                  </w:tcBorders>
                  <w:noWrap w:val="0"/>
                  <w:vAlign w:val="center"/>
                </w:tcPr>
                <w:p w14:paraId="263B1B5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452" w:type="dxa"/>
                  <w:tcBorders>
                    <w:tl2br w:val="nil"/>
                    <w:tr2bl w:val="nil"/>
                  </w:tcBorders>
                  <w:noWrap w:val="0"/>
                  <w:vAlign w:val="center"/>
                </w:tcPr>
                <w:p w14:paraId="3E475A0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482" w:type="dxa"/>
                  <w:tcBorders>
                    <w:tl2br w:val="nil"/>
                    <w:tr2bl w:val="nil"/>
                  </w:tcBorders>
                  <w:noWrap w:val="0"/>
                  <w:vAlign w:val="center"/>
                </w:tcPr>
                <w:p w14:paraId="4FA3828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48.8</w:t>
                  </w:r>
                </w:p>
              </w:tc>
              <w:tc>
                <w:tcPr>
                  <w:tcW w:w="453" w:type="dxa"/>
                  <w:tcBorders>
                    <w:tl2br w:val="nil"/>
                    <w:tr2bl w:val="nil"/>
                  </w:tcBorders>
                  <w:noWrap w:val="0"/>
                  <w:vAlign w:val="center"/>
                </w:tcPr>
                <w:p w14:paraId="6911DB2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48.6</w:t>
                  </w:r>
                </w:p>
              </w:tc>
              <w:tc>
                <w:tcPr>
                  <w:tcW w:w="453" w:type="dxa"/>
                  <w:tcBorders>
                    <w:tl2br w:val="nil"/>
                    <w:tr2bl w:val="nil"/>
                  </w:tcBorders>
                  <w:noWrap w:val="0"/>
                  <w:vAlign w:val="center"/>
                </w:tcPr>
                <w:p w14:paraId="6A25B7C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w:t>
                  </w:r>
                  <w:r>
                    <w:rPr>
                      <w:rFonts w:hint="eastAsia" w:cs="Times New Roman"/>
                      <w:i w:val="0"/>
                      <w:iCs w:val="0"/>
                      <w:color w:val="000000"/>
                      <w:kern w:val="0"/>
                      <w:sz w:val="21"/>
                      <w:szCs w:val="21"/>
                      <w:u w:val="none"/>
                      <w:lang w:val="en-US" w:eastAsia="zh-CN" w:bidi="ar"/>
                    </w:rPr>
                    <w:t>2</w:t>
                  </w:r>
                </w:p>
              </w:tc>
              <w:tc>
                <w:tcPr>
                  <w:tcW w:w="465" w:type="dxa"/>
                  <w:tcBorders>
                    <w:tl2br w:val="nil"/>
                    <w:tr2bl w:val="nil"/>
                  </w:tcBorders>
                  <w:noWrap w:val="0"/>
                  <w:vAlign w:val="center"/>
                </w:tcPr>
                <w:p w14:paraId="2F02632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48.2</w:t>
                  </w:r>
                </w:p>
              </w:tc>
              <w:tc>
                <w:tcPr>
                  <w:tcW w:w="497" w:type="dxa"/>
                  <w:tcBorders>
                    <w:tl2br w:val="nil"/>
                    <w:tr2bl w:val="nil"/>
                  </w:tcBorders>
                  <w:noWrap w:val="0"/>
                  <w:vAlign w:val="center"/>
                </w:tcPr>
                <w:p w14:paraId="063CC414">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1m</w:t>
                  </w:r>
                </w:p>
              </w:tc>
            </w:tr>
            <w:tr w14:paraId="1C347FA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49" w:type="dxa"/>
                  <w:vMerge w:val="continue"/>
                  <w:tcBorders>
                    <w:tl2br w:val="nil"/>
                    <w:tr2bl w:val="nil"/>
                  </w:tcBorders>
                  <w:noWrap w:val="0"/>
                  <w:vAlign w:val="center"/>
                </w:tcPr>
                <w:p w14:paraId="2F4423BF">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p>
              </w:tc>
              <w:tc>
                <w:tcPr>
                  <w:tcW w:w="999" w:type="dxa"/>
                  <w:tcBorders>
                    <w:tl2br w:val="nil"/>
                    <w:tr2bl w:val="nil"/>
                  </w:tcBorders>
                  <w:noWrap w:val="0"/>
                  <w:vAlign w:val="center"/>
                </w:tcPr>
                <w:p w14:paraId="07CEB7F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1#风机</w:t>
                  </w:r>
                </w:p>
              </w:tc>
              <w:tc>
                <w:tcPr>
                  <w:tcW w:w="285" w:type="dxa"/>
                  <w:vMerge w:val="continue"/>
                  <w:tcBorders>
                    <w:tl2br w:val="nil"/>
                    <w:tr2bl w:val="nil"/>
                  </w:tcBorders>
                  <w:noWrap w:val="0"/>
                  <w:vAlign w:val="center"/>
                </w:tcPr>
                <w:p w14:paraId="1487DF1E">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p>
              </w:tc>
              <w:tc>
                <w:tcPr>
                  <w:tcW w:w="690" w:type="dxa"/>
                  <w:tcBorders>
                    <w:tl2br w:val="nil"/>
                    <w:tr2bl w:val="nil"/>
                  </w:tcBorders>
                  <w:noWrap w:val="0"/>
                  <w:vAlign w:val="center"/>
                </w:tcPr>
                <w:p w14:paraId="5D17EA35">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87.5</w:t>
                  </w:r>
                </w:p>
              </w:tc>
              <w:tc>
                <w:tcPr>
                  <w:tcW w:w="1374" w:type="dxa"/>
                  <w:vMerge w:val="continue"/>
                  <w:tcBorders>
                    <w:tl2br w:val="nil"/>
                    <w:tr2bl w:val="nil"/>
                  </w:tcBorders>
                  <w:noWrap w:val="0"/>
                  <w:vAlign w:val="center"/>
                </w:tcPr>
                <w:p w14:paraId="77698139">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bCs/>
                      <w:color w:val="auto"/>
                      <w:sz w:val="21"/>
                      <w:szCs w:val="21"/>
                      <w:lang w:eastAsia="zh-CN"/>
                    </w:rPr>
                  </w:pPr>
                </w:p>
              </w:tc>
              <w:tc>
                <w:tcPr>
                  <w:tcW w:w="440" w:type="dxa"/>
                  <w:tcBorders>
                    <w:tl2br w:val="nil"/>
                    <w:tr2bl w:val="nil"/>
                  </w:tcBorders>
                  <w:noWrap w:val="0"/>
                  <w:vAlign w:val="center"/>
                </w:tcPr>
                <w:p w14:paraId="7EE2BB04">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32</w:t>
                  </w:r>
                </w:p>
              </w:tc>
              <w:tc>
                <w:tcPr>
                  <w:tcW w:w="386" w:type="dxa"/>
                  <w:tcBorders>
                    <w:tl2br w:val="nil"/>
                    <w:tr2bl w:val="nil"/>
                  </w:tcBorders>
                  <w:noWrap w:val="0"/>
                  <w:vAlign w:val="center"/>
                </w:tcPr>
                <w:p w14:paraId="68580A47">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167</w:t>
                  </w:r>
                </w:p>
              </w:tc>
              <w:tc>
                <w:tcPr>
                  <w:tcW w:w="440" w:type="dxa"/>
                  <w:tcBorders>
                    <w:tl2br w:val="nil"/>
                    <w:tr2bl w:val="nil"/>
                  </w:tcBorders>
                  <w:noWrap w:val="0"/>
                  <w:vAlign w:val="center"/>
                </w:tcPr>
                <w:p w14:paraId="7E8091BE">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c>
              <w:tc>
                <w:tcPr>
                  <w:tcW w:w="387" w:type="dxa"/>
                  <w:tcBorders>
                    <w:tl2br w:val="nil"/>
                    <w:tr2bl w:val="nil"/>
                  </w:tcBorders>
                  <w:noWrap w:val="0"/>
                  <w:vAlign w:val="center"/>
                </w:tcPr>
                <w:p w14:paraId="5496E3B1">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c>
                <w:tcPr>
                  <w:tcW w:w="467" w:type="dxa"/>
                  <w:tcBorders>
                    <w:tl2br w:val="nil"/>
                    <w:tr2bl w:val="nil"/>
                  </w:tcBorders>
                  <w:noWrap w:val="0"/>
                  <w:vAlign w:val="center"/>
                </w:tcPr>
                <w:p w14:paraId="5358E59A">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w:t>
                  </w:r>
                </w:p>
              </w:tc>
              <w:tc>
                <w:tcPr>
                  <w:tcW w:w="440" w:type="dxa"/>
                  <w:tcBorders>
                    <w:tl2br w:val="nil"/>
                    <w:tr2bl w:val="nil"/>
                  </w:tcBorders>
                  <w:noWrap w:val="0"/>
                  <w:vAlign w:val="center"/>
                </w:tcPr>
                <w:p w14:paraId="78AD2900">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42</w:t>
                  </w:r>
                </w:p>
              </w:tc>
              <w:tc>
                <w:tcPr>
                  <w:tcW w:w="386" w:type="dxa"/>
                  <w:tcBorders>
                    <w:tl2br w:val="nil"/>
                    <w:tr2bl w:val="nil"/>
                  </w:tcBorders>
                  <w:noWrap w:val="0"/>
                  <w:vAlign w:val="center"/>
                </w:tcPr>
                <w:p w14:paraId="5D0E171E">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413" w:type="dxa"/>
                  <w:tcBorders>
                    <w:tl2br w:val="nil"/>
                    <w:tr2bl w:val="nil"/>
                  </w:tcBorders>
                  <w:noWrap w:val="0"/>
                  <w:vAlign w:val="center"/>
                </w:tcPr>
                <w:p w14:paraId="749E912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69.2</w:t>
                  </w:r>
                </w:p>
              </w:tc>
              <w:tc>
                <w:tcPr>
                  <w:tcW w:w="440" w:type="dxa"/>
                  <w:tcBorders>
                    <w:tl2br w:val="nil"/>
                    <w:tr2bl w:val="nil"/>
                  </w:tcBorders>
                  <w:noWrap w:val="0"/>
                  <w:vAlign w:val="center"/>
                </w:tcPr>
                <w:p w14:paraId="2049C59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68.</w:t>
                  </w:r>
                  <w:r>
                    <w:rPr>
                      <w:rFonts w:hint="eastAsia" w:cs="Times New Roman"/>
                      <w:i w:val="0"/>
                      <w:iCs w:val="0"/>
                      <w:color w:val="000000"/>
                      <w:kern w:val="0"/>
                      <w:sz w:val="21"/>
                      <w:szCs w:val="21"/>
                      <w:u w:val="none"/>
                      <w:lang w:val="en-US" w:eastAsia="zh-CN" w:bidi="ar"/>
                    </w:rPr>
                    <w:t>9</w:t>
                  </w:r>
                </w:p>
              </w:tc>
              <w:tc>
                <w:tcPr>
                  <w:tcW w:w="440" w:type="dxa"/>
                  <w:tcBorders>
                    <w:tl2br w:val="nil"/>
                    <w:tr2bl w:val="nil"/>
                  </w:tcBorders>
                  <w:noWrap w:val="0"/>
                  <w:vAlign w:val="center"/>
                </w:tcPr>
                <w:p w14:paraId="08739D0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68.</w:t>
                  </w:r>
                  <w:r>
                    <w:rPr>
                      <w:rFonts w:hint="eastAsia" w:cs="Times New Roman"/>
                      <w:i w:val="0"/>
                      <w:iCs w:val="0"/>
                      <w:color w:val="000000"/>
                      <w:kern w:val="0"/>
                      <w:sz w:val="21"/>
                      <w:szCs w:val="21"/>
                      <w:u w:val="none"/>
                      <w:lang w:val="en-US" w:eastAsia="zh-CN" w:bidi="ar"/>
                    </w:rPr>
                    <w:t>9</w:t>
                  </w:r>
                </w:p>
              </w:tc>
              <w:tc>
                <w:tcPr>
                  <w:tcW w:w="507" w:type="dxa"/>
                  <w:tcBorders>
                    <w:tl2br w:val="nil"/>
                    <w:tr2bl w:val="nil"/>
                  </w:tcBorders>
                  <w:noWrap w:val="0"/>
                  <w:vAlign w:val="center"/>
                </w:tcPr>
                <w:p w14:paraId="63BEB7E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w:t>
                  </w:r>
                  <w:r>
                    <w:rPr>
                      <w:rFonts w:hint="eastAsia" w:cs="Times New Roman"/>
                      <w:i w:val="0"/>
                      <w:iCs w:val="0"/>
                      <w:color w:val="000000"/>
                      <w:kern w:val="0"/>
                      <w:sz w:val="21"/>
                      <w:szCs w:val="21"/>
                      <w:u w:val="none"/>
                      <w:lang w:val="en-US" w:eastAsia="zh-CN" w:bidi="ar"/>
                    </w:rPr>
                    <w:t>9.0</w:t>
                  </w:r>
                </w:p>
              </w:tc>
              <w:tc>
                <w:tcPr>
                  <w:tcW w:w="440" w:type="dxa"/>
                  <w:vMerge w:val="continue"/>
                  <w:tcBorders>
                    <w:tl2br w:val="nil"/>
                    <w:tr2bl w:val="nil"/>
                  </w:tcBorders>
                  <w:noWrap w:val="0"/>
                  <w:vAlign w:val="center"/>
                </w:tcPr>
                <w:p w14:paraId="319ACFD4">
                  <w:pPr>
                    <w:keepNext w:val="0"/>
                    <w:keepLines w:val="0"/>
                    <w:pageBreakBefore w:val="0"/>
                    <w:kinsoku/>
                    <w:wordWrap/>
                    <w:overflowPunct/>
                    <w:topLinePunct w:val="0"/>
                    <w:bidi w:val="0"/>
                    <w:spacing w:line="240" w:lineRule="exact"/>
                    <w:jc w:val="center"/>
                    <w:rPr>
                      <w:rFonts w:hint="default" w:ascii="Times New Roman" w:hAnsi="Times New Roman" w:eastAsia="宋体" w:cs="Times New Roman"/>
                      <w:bCs/>
                      <w:color w:val="auto"/>
                      <w:sz w:val="21"/>
                      <w:szCs w:val="21"/>
                    </w:rPr>
                  </w:pPr>
                </w:p>
              </w:tc>
              <w:tc>
                <w:tcPr>
                  <w:tcW w:w="440" w:type="dxa"/>
                  <w:tcBorders>
                    <w:tl2br w:val="nil"/>
                    <w:tr2bl w:val="nil"/>
                  </w:tcBorders>
                  <w:noWrap w:val="0"/>
                  <w:vAlign w:val="center"/>
                </w:tcPr>
                <w:p w14:paraId="18201E47">
                  <w:pPr>
                    <w:keepNext w:val="0"/>
                    <w:keepLines w:val="0"/>
                    <w:widowControl/>
                    <w:suppressLineNumbers w:val="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426" w:type="dxa"/>
                  <w:tcBorders>
                    <w:tl2br w:val="nil"/>
                    <w:tr2bl w:val="nil"/>
                  </w:tcBorders>
                  <w:noWrap w:val="0"/>
                  <w:vAlign w:val="center"/>
                </w:tcPr>
                <w:p w14:paraId="5D6E7E52">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30.8</w:t>
                  </w:r>
                </w:p>
              </w:tc>
              <w:tc>
                <w:tcPr>
                  <w:tcW w:w="440" w:type="dxa"/>
                  <w:tcBorders>
                    <w:tl2br w:val="nil"/>
                    <w:tr2bl w:val="nil"/>
                  </w:tcBorders>
                  <w:noWrap w:val="0"/>
                  <w:vAlign w:val="center"/>
                </w:tcPr>
                <w:p w14:paraId="59CDA4C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452" w:type="dxa"/>
                  <w:tcBorders>
                    <w:tl2br w:val="nil"/>
                    <w:tr2bl w:val="nil"/>
                  </w:tcBorders>
                  <w:noWrap w:val="0"/>
                  <w:vAlign w:val="center"/>
                </w:tcPr>
                <w:p w14:paraId="5A63DC12">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482" w:type="dxa"/>
                  <w:tcBorders>
                    <w:tl2br w:val="nil"/>
                    <w:tr2bl w:val="nil"/>
                  </w:tcBorders>
                  <w:noWrap w:val="0"/>
                  <w:vAlign w:val="center"/>
                </w:tcPr>
                <w:p w14:paraId="74F30375">
                  <w:pPr>
                    <w:keepNext w:val="0"/>
                    <w:keepLines w:val="0"/>
                    <w:widowControl/>
                    <w:suppressLineNumbers w:val="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38.</w:t>
                  </w:r>
                  <w:r>
                    <w:rPr>
                      <w:rFonts w:hint="eastAsia" w:cs="Times New Roman"/>
                      <w:i w:val="0"/>
                      <w:iCs w:val="0"/>
                      <w:color w:val="000000"/>
                      <w:kern w:val="0"/>
                      <w:sz w:val="21"/>
                      <w:szCs w:val="21"/>
                      <w:u w:val="none"/>
                      <w:lang w:val="en-US" w:eastAsia="zh-CN" w:bidi="ar"/>
                    </w:rPr>
                    <w:t>1</w:t>
                  </w:r>
                </w:p>
              </w:tc>
              <w:tc>
                <w:tcPr>
                  <w:tcW w:w="453" w:type="dxa"/>
                  <w:tcBorders>
                    <w:tl2br w:val="nil"/>
                    <w:tr2bl w:val="nil"/>
                  </w:tcBorders>
                  <w:noWrap w:val="0"/>
                  <w:vAlign w:val="center"/>
                </w:tcPr>
                <w:p w14:paraId="78FFF5A6">
                  <w:pPr>
                    <w:keepNext w:val="0"/>
                    <w:keepLines w:val="0"/>
                    <w:widowControl/>
                    <w:suppressLineNumbers w:val="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38.</w:t>
                  </w:r>
                  <w:r>
                    <w:rPr>
                      <w:rFonts w:hint="eastAsia" w:cs="Times New Roman"/>
                      <w:i w:val="0"/>
                      <w:iCs w:val="0"/>
                      <w:color w:val="000000"/>
                      <w:kern w:val="0"/>
                      <w:sz w:val="21"/>
                      <w:szCs w:val="21"/>
                      <w:u w:val="none"/>
                      <w:lang w:val="en-US" w:eastAsia="zh-CN" w:bidi="ar"/>
                    </w:rPr>
                    <w:t>1</w:t>
                  </w:r>
                </w:p>
              </w:tc>
              <w:tc>
                <w:tcPr>
                  <w:tcW w:w="453" w:type="dxa"/>
                  <w:tcBorders>
                    <w:tl2br w:val="nil"/>
                    <w:tr2bl w:val="nil"/>
                  </w:tcBorders>
                  <w:noWrap w:val="0"/>
                  <w:vAlign w:val="center"/>
                </w:tcPr>
                <w:p w14:paraId="2036DE61">
                  <w:pPr>
                    <w:keepNext w:val="0"/>
                    <w:keepLines w:val="0"/>
                    <w:widowControl/>
                    <w:suppressLineNumbers w:val="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37.7</w:t>
                  </w:r>
                </w:p>
              </w:tc>
              <w:tc>
                <w:tcPr>
                  <w:tcW w:w="465" w:type="dxa"/>
                  <w:tcBorders>
                    <w:tl2br w:val="nil"/>
                    <w:tr2bl w:val="nil"/>
                  </w:tcBorders>
                  <w:noWrap w:val="0"/>
                  <w:vAlign w:val="center"/>
                </w:tcPr>
                <w:p w14:paraId="0B85C43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w:t>
                  </w:r>
                  <w:r>
                    <w:rPr>
                      <w:rFonts w:hint="eastAsia" w:cs="Times New Roman"/>
                      <w:i w:val="0"/>
                      <w:iCs w:val="0"/>
                      <w:color w:val="000000"/>
                      <w:kern w:val="0"/>
                      <w:sz w:val="21"/>
                      <w:szCs w:val="21"/>
                      <w:u w:val="none"/>
                      <w:lang w:val="en-US" w:eastAsia="zh-CN" w:bidi="ar"/>
                    </w:rPr>
                    <w:t>8</w:t>
                  </w:r>
                </w:p>
              </w:tc>
              <w:tc>
                <w:tcPr>
                  <w:tcW w:w="497" w:type="dxa"/>
                  <w:tcBorders>
                    <w:tl2br w:val="nil"/>
                    <w:tr2bl w:val="nil"/>
                  </w:tcBorders>
                  <w:noWrap w:val="0"/>
                  <w:vAlign w:val="center"/>
                </w:tcPr>
                <w:p w14:paraId="2F9990A8">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1m</w:t>
                  </w:r>
                </w:p>
              </w:tc>
            </w:tr>
            <w:tr w14:paraId="018382E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49" w:type="dxa"/>
                  <w:vMerge w:val="restart"/>
                  <w:tcBorders>
                    <w:tl2br w:val="nil"/>
                    <w:tr2bl w:val="nil"/>
                  </w:tcBorders>
                  <w:noWrap w:val="0"/>
                  <w:vAlign w:val="center"/>
                </w:tcPr>
                <w:p w14:paraId="5C27FCA4">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沥青混凝土搅拌楼</w:t>
                  </w:r>
                </w:p>
              </w:tc>
              <w:tc>
                <w:tcPr>
                  <w:tcW w:w="999" w:type="dxa"/>
                  <w:tcBorders>
                    <w:tl2br w:val="nil"/>
                    <w:tr2bl w:val="nil"/>
                  </w:tcBorders>
                  <w:noWrap w:val="0"/>
                  <w:vAlign w:val="center"/>
                </w:tcPr>
                <w:p w14:paraId="6872C08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DGR4000环保型整体式沥青搅拌设备</w:t>
                  </w:r>
                </w:p>
              </w:tc>
              <w:tc>
                <w:tcPr>
                  <w:tcW w:w="285" w:type="dxa"/>
                  <w:vMerge w:val="continue"/>
                  <w:tcBorders>
                    <w:tl2br w:val="nil"/>
                    <w:tr2bl w:val="nil"/>
                  </w:tcBorders>
                  <w:noWrap w:val="0"/>
                  <w:vAlign w:val="center"/>
                </w:tcPr>
                <w:p w14:paraId="38BDF51A">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p>
              </w:tc>
              <w:tc>
                <w:tcPr>
                  <w:tcW w:w="690" w:type="dxa"/>
                  <w:tcBorders>
                    <w:tl2br w:val="nil"/>
                    <w:tr2bl w:val="nil"/>
                  </w:tcBorders>
                  <w:noWrap w:val="0"/>
                  <w:vAlign w:val="center"/>
                </w:tcPr>
                <w:p w14:paraId="54F150C4">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103</w:t>
                  </w:r>
                </w:p>
              </w:tc>
              <w:tc>
                <w:tcPr>
                  <w:tcW w:w="1374" w:type="dxa"/>
                  <w:vMerge w:val="continue"/>
                  <w:tcBorders>
                    <w:tl2br w:val="nil"/>
                    <w:tr2bl w:val="nil"/>
                  </w:tcBorders>
                  <w:noWrap w:val="0"/>
                  <w:vAlign w:val="center"/>
                </w:tcPr>
                <w:p w14:paraId="16F9E8AB">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p>
              </w:tc>
              <w:tc>
                <w:tcPr>
                  <w:tcW w:w="440" w:type="dxa"/>
                  <w:tcBorders>
                    <w:tl2br w:val="nil"/>
                    <w:tr2bl w:val="nil"/>
                  </w:tcBorders>
                  <w:noWrap w:val="0"/>
                  <w:vAlign w:val="center"/>
                </w:tcPr>
                <w:p w14:paraId="205C774B">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38</w:t>
                  </w:r>
                </w:p>
              </w:tc>
              <w:tc>
                <w:tcPr>
                  <w:tcW w:w="386" w:type="dxa"/>
                  <w:tcBorders>
                    <w:tl2br w:val="nil"/>
                    <w:tr2bl w:val="nil"/>
                  </w:tcBorders>
                  <w:noWrap w:val="0"/>
                  <w:vAlign w:val="center"/>
                </w:tcPr>
                <w:p w14:paraId="6DC56A88">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70</w:t>
                  </w:r>
                </w:p>
              </w:tc>
              <w:tc>
                <w:tcPr>
                  <w:tcW w:w="440" w:type="dxa"/>
                  <w:tcBorders>
                    <w:tl2br w:val="nil"/>
                    <w:tr2bl w:val="nil"/>
                  </w:tcBorders>
                  <w:noWrap w:val="0"/>
                  <w:vAlign w:val="center"/>
                </w:tcPr>
                <w:p w14:paraId="59D1BD54">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c>
              <w:tc>
                <w:tcPr>
                  <w:tcW w:w="387" w:type="dxa"/>
                  <w:tcBorders>
                    <w:tl2br w:val="nil"/>
                    <w:tr2bl w:val="nil"/>
                  </w:tcBorders>
                  <w:noWrap w:val="0"/>
                  <w:vAlign w:val="center"/>
                </w:tcPr>
                <w:p w14:paraId="3BF22BFD">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467" w:type="dxa"/>
                  <w:tcBorders>
                    <w:tl2br w:val="nil"/>
                    <w:tr2bl w:val="nil"/>
                  </w:tcBorders>
                  <w:noWrap w:val="0"/>
                  <w:vAlign w:val="center"/>
                </w:tcPr>
                <w:p w14:paraId="2E2B57D6">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w:t>
                  </w:r>
                </w:p>
              </w:tc>
              <w:tc>
                <w:tcPr>
                  <w:tcW w:w="440" w:type="dxa"/>
                  <w:tcBorders>
                    <w:tl2br w:val="nil"/>
                    <w:tr2bl w:val="nil"/>
                  </w:tcBorders>
                  <w:noWrap w:val="0"/>
                  <w:vAlign w:val="center"/>
                </w:tcPr>
                <w:p w14:paraId="091DA142">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33</w:t>
                  </w:r>
                </w:p>
              </w:tc>
              <w:tc>
                <w:tcPr>
                  <w:tcW w:w="386" w:type="dxa"/>
                  <w:tcBorders>
                    <w:tl2br w:val="nil"/>
                    <w:tr2bl w:val="nil"/>
                  </w:tcBorders>
                  <w:noWrap w:val="0"/>
                  <w:vAlign w:val="center"/>
                </w:tcPr>
                <w:p w14:paraId="168FBD36">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413" w:type="dxa"/>
                  <w:tcBorders>
                    <w:tl2br w:val="nil"/>
                    <w:tr2bl w:val="nil"/>
                  </w:tcBorders>
                  <w:noWrap w:val="0"/>
                  <w:vAlign w:val="center"/>
                </w:tcPr>
                <w:p w14:paraId="395424C7">
                  <w:pPr>
                    <w:keepNext w:val="0"/>
                    <w:keepLines w:val="0"/>
                    <w:widowControl/>
                    <w:suppressLineNumbers w:val="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84.</w:t>
                  </w:r>
                  <w:r>
                    <w:rPr>
                      <w:rFonts w:hint="eastAsia" w:cs="Times New Roman"/>
                      <w:i w:val="0"/>
                      <w:iCs w:val="0"/>
                      <w:color w:val="000000"/>
                      <w:kern w:val="0"/>
                      <w:sz w:val="21"/>
                      <w:szCs w:val="21"/>
                      <w:u w:val="none"/>
                      <w:lang w:val="en-US" w:eastAsia="zh-CN" w:bidi="ar"/>
                    </w:rPr>
                    <w:t>5</w:t>
                  </w:r>
                </w:p>
              </w:tc>
              <w:tc>
                <w:tcPr>
                  <w:tcW w:w="440" w:type="dxa"/>
                  <w:tcBorders>
                    <w:tl2br w:val="nil"/>
                    <w:tr2bl w:val="nil"/>
                  </w:tcBorders>
                  <w:noWrap w:val="0"/>
                  <w:vAlign w:val="center"/>
                </w:tcPr>
                <w:p w14:paraId="08C414E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84.</w:t>
                  </w:r>
                  <w:r>
                    <w:rPr>
                      <w:rFonts w:hint="eastAsia" w:cs="Times New Roman"/>
                      <w:i w:val="0"/>
                      <w:iCs w:val="0"/>
                      <w:color w:val="000000"/>
                      <w:kern w:val="0"/>
                      <w:sz w:val="21"/>
                      <w:szCs w:val="21"/>
                      <w:u w:val="none"/>
                      <w:lang w:val="en-US" w:eastAsia="zh-CN" w:bidi="ar"/>
                    </w:rPr>
                    <w:t>4</w:t>
                  </w:r>
                </w:p>
              </w:tc>
              <w:tc>
                <w:tcPr>
                  <w:tcW w:w="440" w:type="dxa"/>
                  <w:tcBorders>
                    <w:tl2br w:val="nil"/>
                    <w:tr2bl w:val="nil"/>
                  </w:tcBorders>
                  <w:noWrap w:val="0"/>
                  <w:vAlign w:val="center"/>
                </w:tcPr>
                <w:p w14:paraId="01058A7B">
                  <w:pPr>
                    <w:keepNext w:val="0"/>
                    <w:keepLines w:val="0"/>
                    <w:widowControl/>
                    <w:suppressLineNumbers w:val="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84.</w:t>
                  </w:r>
                  <w:r>
                    <w:rPr>
                      <w:rFonts w:hint="eastAsia" w:cs="Times New Roman"/>
                      <w:i w:val="0"/>
                      <w:iCs w:val="0"/>
                      <w:color w:val="000000"/>
                      <w:kern w:val="0"/>
                      <w:sz w:val="21"/>
                      <w:szCs w:val="21"/>
                      <w:u w:val="none"/>
                      <w:lang w:val="en-US" w:eastAsia="zh-CN" w:bidi="ar"/>
                    </w:rPr>
                    <w:t>4</w:t>
                  </w:r>
                </w:p>
              </w:tc>
              <w:tc>
                <w:tcPr>
                  <w:tcW w:w="507" w:type="dxa"/>
                  <w:tcBorders>
                    <w:tl2br w:val="nil"/>
                    <w:tr2bl w:val="nil"/>
                  </w:tcBorders>
                  <w:noWrap w:val="0"/>
                  <w:vAlign w:val="center"/>
                </w:tcPr>
                <w:p w14:paraId="35821683">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84.4</w:t>
                  </w:r>
                </w:p>
              </w:tc>
              <w:tc>
                <w:tcPr>
                  <w:tcW w:w="440" w:type="dxa"/>
                  <w:vMerge w:val="continue"/>
                  <w:tcBorders>
                    <w:tl2br w:val="nil"/>
                    <w:tr2bl w:val="nil"/>
                  </w:tcBorders>
                  <w:noWrap w:val="0"/>
                  <w:vAlign w:val="center"/>
                </w:tcPr>
                <w:p w14:paraId="7901A765">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bCs/>
                      <w:color w:val="auto"/>
                      <w:sz w:val="21"/>
                      <w:szCs w:val="21"/>
                    </w:rPr>
                  </w:pPr>
                </w:p>
              </w:tc>
              <w:tc>
                <w:tcPr>
                  <w:tcW w:w="440" w:type="dxa"/>
                  <w:tcBorders>
                    <w:tl2br w:val="nil"/>
                    <w:tr2bl w:val="nil"/>
                  </w:tcBorders>
                  <w:noWrap w:val="0"/>
                  <w:vAlign w:val="center"/>
                </w:tcPr>
                <w:p w14:paraId="7FE7FFA5">
                  <w:pPr>
                    <w:keepNext w:val="0"/>
                    <w:keepLines w:val="0"/>
                    <w:widowControl/>
                    <w:suppressLineNumbers w:val="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426" w:type="dxa"/>
                  <w:tcBorders>
                    <w:tl2br w:val="nil"/>
                    <w:tr2bl w:val="nil"/>
                  </w:tcBorders>
                  <w:noWrap w:val="0"/>
                  <w:vAlign w:val="center"/>
                </w:tcPr>
                <w:p w14:paraId="3516FB0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30.8</w:t>
                  </w:r>
                </w:p>
              </w:tc>
              <w:tc>
                <w:tcPr>
                  <w:tcW w:w="440" w:type="dxa"/>
                  <w:tcBorders>
                    <w:tl2br w:val="nil"/>
                    <w:tr2bl w:val="nil"/>
                  </w:tcBorders>
                  <w:noWrap w:val="0"/>
                  <w:vAlign w:val="center"/>
                </w:tcPr>
                <w:p w14:paraId="61259E2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452" w:type="dxa"/>
                  <w:tcBorders>
                    <w:tl2br w:val="nil"/>
                    <w:tr2bl w:val="nil"/>
                  </w:tcBorders>
                  <w:noWrap w:val="0"/>
                  <w:vAlign w:val="center"/>
                </w:tcPr>
                <w:p w14:paraId="1B71FDF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30.8</w:t>
                  </w:r>
                </w:p>
              </w:tc>
              <w:tc>
                <w:tcPr>
                  <w:tcW w:w="482" w:type="dxa"/>
                  <w:tcBorders>
                    <w:tl2br w:val="nil"/>
                    <w:tr2bl w:val="nil"/>
                  </w:tcBorders>
                  <w:noWrap w:val="0"/>
                  <w:vAlign w:val="center"/>
                </w:tcPr>
                <w:p w14:paraId="213F0C8F">
                  <w:pPr>
                    <w:keepNext w:val="0"/>
                    <w:keepLines w:val="0"/>
                    <w:widowControl/>
                    <w:suppressLineNumbers w:val="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53.</w:t>
                  </w:r>
                  <w:r>
                    <w:rPr>
                      <w:rFonts w:hint="eastAsia" w:cs="Times New Roman"/>
                      <w:i w:val="0"/>
                      <w:iCs w:val="0"/>
                      <w:color w:val="000000"/>
                      <w:kern w:val="0"/>
                      <w:sz w:val="21"/>
                      <w:szCs w:val="21"/>
                      <w:u w:val="none"/>
                      <w:lang w:val="en-US" w:eastAsia="zh-CN" w:bidi="ar"/>
                    </w:rPr>
                    <w:t>3</w:t>
                  </w:r>
                </w:p>
              </w:tc>
              <w:tc>
                <w:tcPr>
                  <w:tcW w:w="453" w:type="dxa"/>
                  <w:tcBorders>
                    <w:tl2br w:val="nil"/>
                    <w:tr2bl w:val="nil"/>
                  </w:tcBorders>
                  <w:noWrap w:val="0"/>
                  <w:vAlign w:val="center"/>
                </w:tcPr>
                <w:p w14:paraId="359C4896">
                  <w:pPr>
                    <w:keepNext w:val="0"/>
                    <w:keepLines w:val="0"/>
                    <w:widowControl/>
                    <w:suppressLineNumbers w:val="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53.</w:t>
                  </w:r>
                  <w:r>
                    <w:rPr>
                      <w:rFonts w:hint="eastAsia" w:cs="Times New Roman"/>
                      <w:i w:val="0"/>
                      <w:iCs w:val="0"/>
                      <w:color w:val="000000"/>
                      <w:kern w:val="0"/>
                      <w:sz w:val="21"/>
                      <w:szCs w:val="21"/>
                      <w:u w:val="none"/>
                      <w:lang w:val="en-US" w:eastAsia="zh-CN" w:bidi="ar"/>
                    </w:rPr>
                    <w:t>6</w:t>
                  </w:r>
                </w:p>
              </w:tc>
              <w:tc>
                <w:tcPr>
                  <w:tcW w:w="453" w:type="dxa"/>
                  <w:tcBorders>
                    <w:tl2br w:val="nil"/>
                    <w:tr2bl w:val="nil"/>
                  </w:tcBorders>
                  <w:noWrap w:val="0"/>
                  <w:vAlign w:val="center"/>
                </w:tcPr>
                <w:p w14:paraId="169E2BE2">
                  <w:pPr>
                    <w:keepNext w:val="0"/>
                    <w:keepLines w:val="0"/>
                    <w:widowControl/>
                    <w:suppressLineNumbers w:val="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53.</w:t>
                  </w:r>
                  <w:r>
                    <w:rPr>
                      <w:rFonts w:hint="eastAsia" w:cs="Times New Roman"/>
                      <w:i w:val="0"/>
                      <w:iCs w:val="0"/>
                      <w:color w:val="000000"/>
                      <w:kern w:val="0"/>
                      <w:sz w:val="21"/>
                      <w:szCs w:val="21"/>
                      <w:u w:val="none"/>
                      <w:lang w:val="en-US" w:eastAsia="zh-CN" w:bidi="ar"/>
                    </w:rPr>
                    <w:t>2</w:t>
                  </w:r>
                </w:p>
              </w:tc>
              <w:tc>
                <w:tcPr>
                  <w:tcW w:w="465" w:type="dxa"/>
                  <w:tcBorders>
                    <w:tl2br w:val="nil"/>
                    <w:tr2bl w:val="nil"/>
                  </w:tcBorders>
                  <w:noWrap w:val="0"/>
                  <w:vAlign w:val="center"/>
                </w:tcPr>
                <w:p w14:paraId="22E3AAFE">
                  <w:pPr>
                    <w:keepNext w:val="0"/>
                    <w:keepLines w:val="0"/>
                    <w:widowControl/>
                    <w:suppressLineNumbers w:val="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53.6</w:t>
                  </w:r>
                </w:p>
              </w:tc>
              <w:tc>
                <w:tcPr>
                  <w:tcW w:w="497" w:type="dxa"/>
                  <w:tcBorders>
                    <w:tl2br w:val="nil"/>
                    <w:tr2bl w:val="nil"/>
                  </w:tcBorders>
                  <w:noWrap w:val="0"/>
                  <w:vAlign w:val="center"/>
                </w:tcPr>
                <w:p w14:paraId="3B001DF3">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1m</w:t>
                  </w:r>
                </w:p>
              </w:tc>
            </w:tr>
            <w:tr w14:paraId="56719E4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49" w:type="dxa"/>
                  <w:vMerge w:val="continue"/>
                  <w:tcBorders>
                    <w:tl2br w:val="nil"/>
                    <w:tr2bl w:val="nil"/>
                  </w:tcBorders>
                  <w:noWrap w:val="0"/>
                  <w:vAlign w:val="center"/>
                </w:tcPr>
                <w:p w14:paraId="6B941DC1">
                  <w:pPr>
                    <w:keepNext w:val="0"/>
                    <w:keepLines w:val="0"/>
                    <w:pageBreakBefore w:val="0"/>
                    <w:widowControl w:val="0"/>
                    <w:kinsoku/>
                    <w:wordWrap/>
                    <w:overflowPunct/>
                    <w:topLinePunct w:val="0"/>
                    <w:bidi w:val="0"/>
                    <w:adjustRightInd w:val="0"/>
                    <w:snapToGrid w:val="0"/>
                    <w:spacing w:line="240" w:lineRule="exact"/>
                    <w:jc w:val="center"/>
                    <w:rPr>
                      <w:rFonts w:hint="eastAsia" w:cs="Times New Roman"/>
                      <w:color w:val="auto"/>
                      <w:sz w:val="21"/>
                      <w:szCs w:val="21"/>
                      <w:lang w:val="en-US" w:eastAsia="zh-CN"/>
                    </w:rPr>
                  </w:pPr>
                </w:p>
              </w:tc>
              <w:tc>
                <w:tcPr>
                  <w:tcW w:w="999" w:type="dxa"/>
                  <w:tcBorders>
                    <w:tl2br w:val="nil"/>
                    <w:tr2bl w:val="nil"/>
                  </w:tcBorders>
                  <w:noWrap w:val="0"/>
                  <w:vAlign w:val="center"/>
                </w:tcPr>
                <w:p w14:paraId="46169B0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乳化沥青生产设备</w:t>
                  </w:r>
                </w:p>
              </w:tc>
              <w:tc>
                <w:tcPr>
                  <w:tcW w:w="285" w:type="dxa"/>
                  <w:vMerge w:val="continue"/>
                  <w:tcBorders>
                    <w:tl2br w:val="nil"/>
                    <w:tr2bl w:val="nil"/>
                  </w:tcBorders>
                  <w:noWrap w:val="0"/>
                  <w:vAlign w:val="center"/>
                </w:tcPr>
                <w:p w14:paraId="719E62D9">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p>
              </w:tc>
              <w:tc>
                <w:tcPr>
                  <w:tcW w:w="690" w:type="dxa"/>
                  <w:tcBorders>
                    <w:tl2br w:val="nil"/>
                    <w:tr2bl w:val="nil"/>
                  </w:tcBorders>
                  <w:noWrap w:val="0"/>
                  <w:vAlign w:val="center"/>
                </w:tcPr>
                <w:p w14:paraId="491BA632">
                  <w:pPr>
                    <w:keepNext w:val="0"/>
                    <w:keepLines w:val="0"/>
                    <w:pageBreakBefore w:val="0"/>
                    <w:widowControl w:val="0"/>
                    <w:kinsoku/>
                    <w:wordWrap/>
                    <w:overflowPunct/>
                    <w:topLinePunct w:val="0"/>
                    <w:bidi w:val="0"/>
                    <w:adjustRightInd w:val="0"/>
                    <w:snapToGrid w:val="0"/>
                    <w:spacing w:line="240" w:lineRule="exact"/>
                    <w:jc w:val="center"/>
                    <w:rPr>
                      <w:rFonts w:hint="default" w:cs="Times New Roman"/>
                      <w:bCs/>
                      <w:color w:val="auto"/>
                      <w:sz w:val="21"/>
                      <w:szCs w:val="21"/>
                      <w:lang w:val="en-US" w:eastAsia="zh-CN"/>
                    </w:rPr>
                  </w:pPr>
                  <w:r>
                    <w:rPr>
                      <w:rFonts w:hint="eastAsia" w:cs="Times New Roman"/>
                      <w:bCs/>
                      <w:color w:val="auto"/>
                      <w:sz w:val="21"/>
                      <w:szCs w:val="21"/>
                      <w:lang w:val="en-US" w:eastAsia="zh-CN"/>
                    </w:rPr>
                    <w:t>98</w:t>
                  </w:r>
                </w:p>
              </w:tc>
              <w:tc>
                <w:tcPr>
                  <w:tcW w:w="1374" w:type="dxa"/>
                  <w:vMerge w:val="continue"/>
                  <w:tcBorders>
                    <w:tl2br w:val="nil"/>
                    <w:tr2bl w:val="nil"/>
                  </w:tcBorders>
                  <w:noWrap w:val="0"/>
                  <w:vAlign w:val="center"/>
                </w:tcPr>
                <w:p w14:paraId="602BBB1D">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p>
              </w:tc>
              <w:tc>
                <w:tcPr>
                  <w:tcW w:w="440" w:type="dxa"/>
                  <w:tcBorders>
                    <w:tl2br w:val="nil"/>
                    <w:tr2bl w:val="nil"/>
                  </w:tcBorders>
                  <w:noWrap w:val="0"/>
                  <w:vAlign w:val="center"/>
                </w:tcPr>
                <w:p w14:paraId="0130ADD9">
                  <w:pPr>
                    <w:pStyle w:val="78"/>
                    <w:keepNext w:val="0"/>
                    <w:keepLines w:val="0"/>
                    <w:pageBreakBefore w:val="0"/>
                    <w:widowControl w:val="0"/>
                    <w:kinsoku/>
                    <w:wordWrap/>
                    <w:overflowPunct/>
                    <w:topLinePunct w:val="0"/>
                    <w:bidi w:val="0"/>
                    <w:adjustRightInd w:val="0"/>
                    <w:snapToGrid w:val="0"/>
                    <w:spacing w:line="240" w:lineRule="exact"/>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55</w:t>
                  </w:r>
                </w:p>
              </w:tc>
              <w:tc>
                <w:tcPr>
                  <w:tcW w:w="386" w:type="dxa"/>
                  <w:tcBorders>
                    <w:tl2br w:val="nil"/>
                    <w:tr2bl w:val="nil"/>
                  </w:tcBorders>
                  <w:noWrap w:val="0"/>
                  <w:vAlign w:val="center"/>
                </w:tcPr>
                <w:p w14:paraId="18AA243E">
                  <w:pPr>
                    <w:pStyle w:val="78"/>
                    <w:keepNext w:val="0"/>
                    <w:keepLines w:val="0"/>
                    <w:pageBreakBefore w:val="0"/>
                    <w:widowControl w:val="0"/>
                    <w:kinsoku/>
                    <w:wordWrap/>
                    <w:overflowPunct/>
                    <w:topLinePunct w:val="0"/>
                    <w:bidi w:val="0"/>
                    <w:adjustRightInd w:val="0"/>
                    <w:snapToGrid w:val="0"/>
                    <w:spacing w:line="240" w:lineRule="exact"/>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56</w:t>
                  </w:r>
                </w:p>
              </w:tc>
              <w:tc>
                <w:tcPr>
                  <w:tcW w:w="440" w:type="dxa"/>
                  <w:tcBorders>
                    <w:tl2br w:val="nil"/>
                    <w:tr2bl w:val="nil"/>
                  </w:tcBorders>
                  <w:noWrap w:val="0"/>
                  <w:vAlign w:val="center"/>
                </w:tcPr>
                <w:p w14:paraId="265DDE05">
                  <w:pPr>
                    <w:keepNext w:val="0"/>
                    <w:keepLines w:val="0"/>
                    <w:pageBreakBefore w:val="0"/>
                    <w:widowControl w:val="0"/>
                    <w:kinsoku/>
                    <w:wordWrap/>
                    <w:overflowPunct/>
                    <w:topLinePunct w:val="0"/>
                    <w:bidi w:val="0"/>
                    <w:adjustRightInd w:val="0"/>
                    <w:snapToGrid w:val="0"/>
                    <w:spacing w:line="24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1.2</w:t>
                  </w:r>
                </w:p>
              </w:tc>
              <w:tc>
                <w:tcPr>
                  <w:tcW w:w="387" w:type="dxa"/>
                  <w:tcBorders>
                    <w:tl2br w:val="nil"/>
                    <w:tr2bl w:val="nil"/>
                  </w:tcBorders>
                  <w:noWrap w:val="0"/>
                  <w:vAlign w:val="center"/>
                </w:tcPr>
                <w:p w14:paraId="2056E7C6">
                  <w:pPr>
                    <w:pStyle w:val="78"/>
                    <w:keepNext w:val="0"/>
                    <w:keepLines w:val="0"/>
                    <w:pageBreakBefore w:val="0"/>
                    <w:widowControl w:val="0"/>
                    <w:kinsoku/>
                    <w:wordWrap/>
                    <w:overflowPunct/>
                    <w:topLinePunct w:val="0"/>
                    <w:bidi w:val="0"/>
                    <w:adjustRightInd w:val="0"/>
                    <w:snapToGrid w:val="0"/>
                    <w:spacing w:line="24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8</w:t>
                  </w:r>
                </w:p>
              </w:tc>
              <w:tc>
                <w:tcPr>
                  <w:tcW w:w="467" w:type="dxa"/>
                  <w:tcBorders>
                    <w:tl2br w:val="nil"/>
                    <w:tr2bl w:val="nil"/>
                  </w:tcBorders>
                  <w:noWrap w:val="0"/>
                  <w:vAlign w:val="center"/>
                </w:tcPr>
                <w:p w14:paraId="5188A14B">
                  <w:pPr>
                    <w:pStyle w:val="78"/>
                    <w:keepNext w:val="0"/>
                    <w:keepLines w:val="0"/>
                    <w:pageBreakBefore w:val="0"/>
                    <w:widowControl w:val="0"/>
                    <w:kinsoku/>
                    <w:wordWrap/>
                    <w:overflowPunct/>
                    <w:topLinePunct w:val="0"/>
                    <w:bidi w:val="0"/>
                    <w:adjustRightInd w:val="0"/>
                    <w:snapToGrid w:val="0"/>
                    <w:spacing w:line="24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8</w:t>
                  </w:r>
                </w:p>
              </w:tc>
              <w:tc>
                <w:tcPr>
                  <w:tcW w:w="440" w:type="dxa"/>
                  <w:tcBorders>
                    <w:tl2br w:val="nil"/>
                    <w:tr2bl w:val="nil"/>
                  </w:tcBorders>
                  <w:noWrap w:val="0"/>
                  <w:vAlign w:val="center"/>
                </w:tcPr>
                <w:p w14:paraId="3FF04B23">
                  <w:pPr>
                    <w:pStyle w:val="78"/>
                    <w:keepNext w:val="0"/>
                    <w:keepLines w:val="0"/>
                    <w:pageBreakBefore w:val="0"/>
                    <w:widowControl w:val="0"/>
                    <w:kinsoku/>
                    <w:wordWrap/>
                    <w:overflowPunct/>
                    <w:topLinePunct w:val="0"/>
                    <w:bidi w:val="0"/>
                    <w:adjustRightInd w:val="0"/>
                    <w:snapToGrid w:val="0"/>
                    <w:spacing w:line="24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40</w:t>
                  </w:r>
                </w:p>
              </w:tc>
              <w:tc>
                <w:tcPr>
                  <w:tcW w:w="386" w:type="dxa"/>
                  <w:tcBorders>
                    <w:tl2br w:val="nil"/>
                    <w:tr2bl w:val="nil"/>
                  </w:tcBorders>
                  <w:noWrap w:val="0"/>
                  <w:vAlign w:val="center"/>
                </w:tcPr>
                <w:p w14:paraId="11558EA4">
                  <w:pPr>
                    <w:pStyle w:val="78"/>
                    <w:keepNext w:val="0"/>
                    <w:keepLines w:val="0"/>
                    <w:pageBreakBefore w:val="0"/>
                    <w:widowControl w:val="0"/>
                    <w:kinsoku/>
                    <w:wordWrap/>
                    <w:overflowPunct/>
                    <w:topLinePunct w:val="0"/>
                    <w:bidi w:val="0"/>
                    <w:adjustRightInd w:val="0"/>
                    <w:snapToGrid w:val="0"/>
                    <w:spacing w:line="24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42</w:t>
                  </w:r>
                </w:p>
              </w:tc>
              <w:tc>
                <w:tcPr>
                  <w:tcW w:w="413" w:type="dxa"/>
                  <w:tcBorders>
                    <w:tl2br w:val="nil"/>
                    <w:tr2bl w:val="nil"/>
                  </w:tcBorders>
                  <w:noWrap w:val="0"/>
                  <w:vAlign w:val="center"/>
                </w:tcPr>
                <w:p w14:paraId="2D4F8B4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79.</w:t>
                  </w:r>
                  <w:r>
                    <w:rPr>
                      <w:rFonts w:hint="eastAsia" w:cs="Times New Roman"/>
                      <w:i w:val="0"/>
                      <w:iCs w:val="0"/>
                      <w:color w:val="000000"/>
                      <w:kern w:val="0"/>
                      <w:sz w:val="21"/>
                      <w:szCs w:val="21"/>
                      <w:u w:val="none"/>
                      <w:lang w:val="en-US" w:eastAsia="zh-CN" w:bidi="ar"/>
                    </w:rPr>
                    <w:t>8</w:t>
                  </w:r>
                </w:p>
              </w:tc>
              <w:tc>
                <w:tcPr>
                  <w:tcW w:w="440" w:type="dxa"/>
                  <w:tcBorders>
                    <w:tl2br w:val="nil"/>
                    <w:tr2bl w:val="nil"/>
                  </w:tcBorders>
                  <w:noWrap w:val="0"/>
                  <w:vAlign w:val="center"/>
                </w:tcPr>
                <w:p w14:paraId="6CE1745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79.</w:t>
                  </w:r>
                  <w:r>
                    <w:rPr>
                      <w:rFonts w:hint="eastAsia" w:cs="Times New Roman"/>
                      <w:i w:val="0"/>
                      <w:iCs w:val="0"/>
                      <w:color w:val="000000"/>
                      <w:kern w:val="0"/>
                      <w:sz w:val="21"/>
                      <w:szCs w:val="21"/>
                      <w:u w:val="none"/>
                      <w:lang w:val="en-US" w:eastAsia="zh-CN" w:bidi="ar"/>
                    </w:rPr>
                    <w:t>8</w:t>
                  </w:r>
                </w:p>
              </w:tc>
              <w:tc>
                <w:tcPr>
                  <w:tcW w:w="440" w:type="dxa"/>
                  <w:tcBorders>
                    <w:tl2br w:val="nil"/>
                    <w:tr2bl w:val="nil"/>
                  </w:tcBorders>
                  <w:noWrap w:val="0"/>
                  <w:vAlign w:val="center"/>
                </w:tcPr>
                <w:p w14:paraId="43AA5B7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79.</w:t>
                  </w:r>
                  <w:r>
                    <w:rPr>
                      <w:rFonts w:hint="eastAsia" w:cs="Times New Roman"/>
                      <w:i w:val="0"/>
                      <w:iCs w:val="0"/>
                      <w:color w:val="000000"/>
                      <w:kern w:val="0"/>
                      <w:sz w:val="21"/>
                      <w:szCs w:val="21"/>
                      <w:u w:val="none"/>
                      <w:lang w:val="en-US" w:eastAsia="zh-CN" w:bidi="ar"/>
                    </w:rPr>
                    <w:t>4</w:t>
                  </w:r>
                </w:p>
              </w:tc>
              <w:tc>
                <w:tcPr>
                  <w:tcW w:w="507" w:type="dxa"/>
                  <w:tcBorders>
                    <w:tl2br w:val="nil"/>
                    <w:tr2bl w:val="nil"/>
                  </w:tcBorders>
                  <w:noWrap w:val="0"/>
                  <w:vAlign w:val="center"/>
                </w:tcPr>
                <w:p w14:paraId="7F2F2D3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79.</w:t>
                  </w:r>
                  <w:r>
                    <w:rPr>
                      <w:rFonts w:hint="eastAsia" w:cs="Times New Roman"/>
                      <w:i w:val="0"/>
                      <w:iCs w:val="0"/>
                      <w:color w:val="000000"/>
                      <w:kern w:val="0"/>
                      <w:sz w:val="21"/>
                      <w:szCs w:val="21"/>
                      <w:u w:val="none"/>
                      <w:lang w:val="en-US" w:eastAsia="zh-CN" w:bidi="ar"/>
                    </w:rPr>
                    <w:t>4</w:t>
                  </w:r>
                </w:p>
              </w:tc>
              <w:tc>
                <w:tcPr>
                  <w:tcW w:w="440" w:type="dxa"/>
                  <w:vMerge w:val="continue"/>
                  <w:tcBorders>
                    <w:tl2br w:val="nil"/>
                    <w:tr2bl w:val="nil"/>
                  </w:tcBorders>
                  <w:noWrap w:val="0"/>
                  <w:vAlign w:val="center"/>
                </w:tcPr>
                <w:p w14:paraId="384200DB">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bCs/>
                      <w:color w:val="auto"/>
                      <w:sz w:val="21"/>
                      <w:szCs w:val="21"/>
                    </w:rPr>
                  </w:pPr>
                </w:p>
              </w:tc>
              <w:tc>
                <w:tcPr>
                  <w:tcW w:w="440" w:type="dxa"/>
                  <w:tcBorders>
                    <w:tl2br w:val="nil"/>
                    <w:tr2bl w:val="nil"/>
                  </w:tcBorders>
                  <w:noWrap w:val="0"/>
                  <w:vAlign w:val="center"/>
                </w:tcPr>
                <w:p w14:paraId="2ACC617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426" w:type="dxa"/>
                  <w:tcBorders>
                    <w:tl2br w:val="nil"/>
                    <w:tr2bl w:val="nil"/>
                  </w:tcBorders>
                  <w:noWrap w:val="0"/>
                  <w:vAlign w:val="center"/>
                </w:tcPr>
                <w:p w14:paraId="47B60C9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30.8</w:t>
                  </w:r>
                </w:p>
              </w:tc>
              <w:tc>
                <w:tcPr>
                  <w:tcW w:w="440" w:type="dxa"/>
                  <w:tcBorders>
                    <w:tl2br w:val="nil"/>
                    <w:tr2bl w:val="nil"/>
                  </w:tcBorders>
                  <w:noWrap w:val="0"/>
                  <w:vAlign w:val="center"/>
                </w:tcPr>
                <w:p w14:paraId="4F819C1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452" w:type="dxa"/>
                  <w:tcBorders>
                    <w:tl2br w:val="nil"/>
                    <w:tr2bl w:val="nil"/>
                  </w:tcBorders>
                  <w:noWrap w:val="0"/>
                  <w:vAlign w:val="center"/>
                </w:tcPr>
                <w:p w14:paraId="20C164B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30.8</w:t>
                  </w:r>
                </w:p>
              </w:tc>
              <w:tc>
                <w:tcPr>
                  <w:tcW w:w="482" w:type="dxa"/>
                  <w:tcBorders>
                    <w:tl2br w:val="nil"/>
                    <w:tr2bl w:val="nil"/>
                  </w:tcBorders>
                  <w:noWrap w:val="0"/>
                  <w:vAlign w:val="center"/>
                </w:tcPr>
                <w:p w14:paraId="0302782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w:t>
                  </w:r>
                  <w:r>
                    <w:rPr>
                      <w:rFonts w:hint="eastAsia" w:cs="Times New Roman"/>
                      <w:i w:val="0"/>
                      <w:iCs w:val="0"/>
                      <w:color w:val="000000"/>
                      <w:kern w:val="0"/>
                      <w:sz w:val="21"/>
                      <w:szCs w:val="21"/>
                      <w:u w:val="none"/>
                      <w:lang w:val="en-US" w:eastAsia="zh-CN" w:bidi="ar"/>
                    </w:rPr>
                    <w:t>6</w:t>
                  </w:r>
                </w:p>
              </w:tc>
              <w:tc>
                <w:tcPr>
                  <w:tcW w:w="453" w:type="dxa"/>
                  <w:tcBorders>
                    <w:tl2br w:val="nil"/>
                    <w:tr2bl w:val="nil"/>
                  </w:tcBorders>
                  <w:noWrap w:val="0"/>
                  <w:vAlign w:val="center"/>
                </w:tcPr>
                <w:p w14:paraId="6FF97F9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w:t>
                  </w:r>
                  <w:r>
                    <w:rPr>
                      <w:rFonts w:hint="eastAsia" w:cs="Times New Roman"/>
                      <w:i w:val="0"/>
                      <w:iCs w:val="0"/>
                      <w:color w:val="000000"/>
                      <w:kern w:val="0"/>
                      <w:sz w:val="21"/>
                      <w:szCs w:val="21"/>
                      <w:u w:val="none"/>
                      <w:lang w:val="en-US" w:eastAsia="zh-CN" w:bidi="ar"/>
                    </w:rPr>
                    <w:t>9</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cs="Times New Roman"/>
                      <w:i w:val="0"/>
                      <w:iCs w:val="0"/>
                      <w:color w:val="000000"/>
                      <w:kern w:val="0"/>
                      <w:sz w:val="21"/>
                      <w:szCs w:val="21"/>
                      <w:u w:val="none"/>
                      <w:lang w:val="en-US" w:eastAsia="zh-CN" w:bidi="ar"/>
                    </w:rPr>
                    <w:t>0</w:t>
                  </w:r>
                </w:p>
              </w:tc>
              <w:tc>
                <w:tcPr>
                  <w:tcW w:w="453" w:type="dxa"/>
                  <w:tcBorders>
                    <w:tl2br w:val="nil"/>
                    <w:tr2bl w:val="nil"/>
                  </w:tcBorders>
                  <w:noWrap w:val="0"/>
                  <w:vAlign w:val="center"/>
                </w:tcPr>
                <w:p w14:paraId="7F185E7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48.2</w:t>
                  </w:r>
                </w:p>
              </w:tc>
              <w:tc>
                <w:tcPr>
                  <w:tcW w:w="465" w:type="dxa"/>
                  <w:tcBorders>
                    <w:tl2br w:val="nil"/>
                    <w:tr2bl w:val="nil"/>
                  </w:tcBorders>
                  <w:noWrap w:val="0"/>
                  <w:vAlign w:val="center"/>
                </w:tcPr>
                <w:p w14:paraId="0BE5E06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w:t>
                  </w:r>
                  <w:r>
                    <w:rPr>
                      <w:rFonts w:hint="eastAsia" w:cs="Times New Roman"/>
                      <w:i w:val="0"/>
                      <w:iCs w:val="0"/>
                      <w:color w:val="000000"/>
                      <w:kern w:val="0"/>
                      <w:sz w:val="21"/>
                      <w:szCs w:val="21"/>
                      <w:u w:val="none"/>
                      <w:lang w:val="en-US" w:eastAsia="zh-CN" w:bidi="ar"/>
                    </w:rPr>
                    <w:t>6</w:t>
                  </w:r>
                </w:p>
              </w:tc>
              <w:tc>
                <w:tcPr>
                  <w:tcW w:w="497" w:type="dxa"/>
                  <w:tcBorders>
                    <w:tl2br w:val="nil"/>
                    <w:tr2bl w:val="nil"/>
                  </w:tcBorders>
                  <w:noWrap w:val="0"/>
                  <w:vAlign w:val="center"/>
                </w:tcPr>
                <w:p w14:paraId="639AB3EC">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1m</w:t>
                  </w:r>
                </w:p>
              </w:tc>
            </w:tr>
            <w:tr w14:paraId="57026F7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49" w:type="dxa"/>
                  <w:vMerge w:val="continue"/>
                  <w:tcBorders>
                    <w:tl2br w:val="nil"/>
                    <w:tr2bl w:val="nil"/>
                  </w:tcBorders>
                  <w:noWrap w:val="0"/>
                  <w:vAlign w:val="center"/>
                </w:tcPr>
                <w:p w14:paraId="5895FA55">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p>
              </w:tc>
              <w:tc>
                <w:tcPr>
                  <w:tcW w:w="999" w:type="dxa"/>
                  <w:tcBorders>
                    <w:tl2br w:val="nil"/>
                    <w:tr2bl w:val="nil"/>
                  </w:tcBorders>
                  <w:noWrap w:val="0"/>
                  <w:vAlign w:val="center"/>
                </w:tcPr>
                <w:p w14:paraId="5E3F3B8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空压机</w:t>
                  </w:r>
                </w:p>
              </w:tc>
              <w:tc>
                <w:tcPr>
                  <w:tcW w:w="285" w:type="dxa"/>
                  <w:vMerge w:val="continue"/>
                  <w:tcBorders>
                    <w:tl2br w:val="nil"/>
                    <w:tr2bl w:val="nil"/>
                  </w:tcBorders>
                  <w:noWrap w:val="0"/>
                  <w:vAlign w:val="center"/>
                </w:tcPr>
                <w:p w14:paraId="0EAC384B">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p>
              </w:tc>
              <w:tc>
                <w:tcPr>
                  <w:tcW w:w="690" w:type="dxa"/>
                  <w:tcBorders>
                    <w:tl2br w:val="nil"/>
                    <w:tr2bl w:val="nil"/>
                  </w:tcBorders>
                  <w:noWrap w:val="0"/>
                  <w:vAlign w:val="center"/>
                </w:tcPr>
                <w:p w14:paraId="18F4815A">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87.5</w:t>
                  </w:r>
                </w:p>
              </w:tc>
              <w:tc>
                <w:tcPr>
                  <w:tcW w:w="1374" w:type="dxa"/>
                  <w:vMerge w:val="continue"/>
                  <w:tcBorders>
                    <w:tl2br w:val="nil"/>
                    <w:tr2bl w:val="nil"/>
                  </w:tcBorders>
                  <w:noWrap w:val="0"/>
                  <w:vAlign w:val="center"/>
                </w:tcPr>
                <w:p w14:paraId="60B50C80">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p>
              </w:tc>
              <w:tc>
                <w:tcPr>
                  <w:tcW w:w="440" w:type="dxa"/>
                  <w:tcBorders>
                    <w:tl2br w:val="nil"/>
                    <w:tr2bl w:val="nil"/>
                  </w:tcBorders>
                  <w:noWrap w:val="0"/>
                  <w:vAlign w:val="center"/>
                </w:tcPr>
                <w:p w14:paraId="3370FF31">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40</w:t>
                  </w:r>
                </w:p>
              </w:tc>
              <w:tc>
                <w:tcPr>
                  <w:tcW w:w="386" w:type="dxa"/>
                  <w:tcBorders>
                    <w:tl2br w:val="nil"/>
                    <w:tr2bl w:val="nil"/>
                  </w:tcBorders>
                  <w:noWrap w:val="0"/>
                  <w:vAlign w:val="center"/>
                </w:tcPr>
                <w:p w14:paraId="2207C8F9">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65</w:t>
                  </w:r>
                </w:p>
              </w:tc>
              <w:tc>
                <w:tcPr>
                  <w:tcW w:w="440" w:type="dxa"/>
                  <w:tcBorders>
                    <w:tl2br w:val="nil"/>
                    <w:tr2bl w:val="nil"/>
                  </w:tcBorders>
                  <w:noWrap w:val="0"/>
                  <w:vAlign w:val="center"/>
                </w:tcPr>
                <w:p w14:paraId="28B1224A">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c>
              <w:tc>
                <w:tcPr>
                  <w:tcW w:w="387" w:type="dxa"/>
                  <w:tcBorders>
                    <w:tl2br w:val="nil"/>
                    <w:tr2bl w:val="nil"/>
                  </w:tcBorders>
                  <w:noWrap w:val="0"/>
                  <w:vAlign w:val="center"/>
                </w:tcPr>
                <w:p w14:paraId="2DE41199">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467" w:type="dxa"/>
                  <w:tcBorders>
                    <w:tl2br w:val="nil"/>
                    <w:tr2bl w:val="nil"/>
                  </w:tcBorders>
                  <w:noWrap w:val="0"/>
                  <w:vAlign w:val="center"/>
                </w:tcPr>
                <w:p w14:paraId="1DD86520">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w:t>
                  </w:r>
                </w:p>
              </w:tc>
              <w:tc>
                <w:tcPr>
                  <w:tcW w:w="440" w:type="dxa"/>
                  <w:tcBorders>
                    <w:tl2br w:val="nil"/>
                    <w:tr2bl w:val="nil"/>
                  </w:tcBorders>
                  <w:noWrap w:val="0"/>
                  <w:vAlign w:val="center"/>
                </w:tcPr>
                <w:p w14:paraId="32148044">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33</w:t>
                  </w:r>
                </w:p>
              </w:tc>
              <w:tc>
                <w:tcPr>
                  <w:tcW w:w="386" w:type="dxa"/>
                  <w:tcBorders>
                    <w:tl2br w:val="nil"/>
                    <w:tr2bl w:val="nil"/>
                  </w:tcBorders>
                  <w:noWrap w:val="0"/>
                  <w:vAlign w:val="center"/>
                </w:tcPr>
                <w:p w14:paraId="3194F726">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w:t>
                  </w:r>
                </w:p>
              </w:tc>
              <w:tc>
                <w:tcPr>
                  <w:tcW w:w="413" w:type="dxa"/>
                  <w:tcBorders>
                    <w:tl2br w:val="nil"/>
                    <w:tr2bl w:val="nil"/>
                  </w:tcBorders>
                  <w:noWrap w:val="0"/>
                  <w:vAlign w:val="center"/>
                </w:tcPr>
                <w:p w14:paraId="47BFBC4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w:t>
                  </w:r>
                  <w:r>
                    <w:rPr>
                      <w:rFonts w:hint="eastAsia" w:cs="Times New Roman"/>
                      <w:i w:val="0"/>
                      <w:iCs w:val="0"/>
                      <w:color w:val="000000"/>
                      <w:kern w:val="0"/>
                      <w:sz w:val="21"/>
                      <w:szCs w:val="21"/>
                      <w:u w:val="none"/>
                      <w:lang w:val="en-US" w:eastAsia="zh-CN" w:bidi="ar"/>
                    </w:rPr>
                    <w:t>9.0</w:t>
                  </w:r>
                </w:p>
              </w:tc>
              <w:tc>
                <w:tcPr>
                  <w:tcW w:w="440" w:type="dxa"/>
                  <w:tcBorders>
                    <w:tl2br w:val="nil"/>
                    <w:tr2bl w:val="nil"/>
                  </w:tcBorders>
                  <w:noWrap w:val="0"/>
                  <w:vAlign w:val="center"/>
                </w:tcPr>
                <w:p w14:paraId="3E1611D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68.9</w:t>
                  </w:r>
                </w:p>
              </w:tc>
              <w:tc>
                <w:tcPr>
                  <w:tcW w:w="440" w:type="dxa"/>
                  <w:tcBorders>
                    <w:tl2br w:val="nil"/>
                    <w:tr2bl w:val="nil"/>
                  </w:tcBorders>
                  <w:noWrap w:val="0"/>
                  <w:vAlign w:val="center"/>
                </w:tcPr>
                <w:p w14:paraId="6DB8E71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68.</w:t>
                  </w:r>
                  <w:r>
                    <w:rPr>
                      <w:rFonts w:hint="eastAsia" w:cs="Times New Roman"/>
                      <w:i w:val="0"/>
                      <w:iCs w:val="0"/>
                      <w:color w:val="000000"/>
                      <w:kern w:val="0"/>
                      <w:sz w:val="21"/>
                      <w:szCs w:val="21"/>
                      <w:u w:val="none"/>
                      <w:lang w:val="en-US" w:eastAsia="zh-CN" w:bidi="ar"/>
                    </w:rPr>
                    <w:t>9</w:t>
                  </w:r>
                </w:p>
              </w:tc>
              <w:tc>
                <w:tcPr>
                  <w:tcW w:w="507" w:type="dxa"/>
                  <w:tcBorders>
                    <w:tl2br w:val="nil"/>
                    <w:tr2bl w:val="nil"/>
                  </w:tcBorders>
                  <w:noWrap w:val="0"/>
                  <w:vAlign w:val="center"/>
                </w:tcPr>
                <w:p w14:paraId="1BC4A87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68.9</w:t>
                  </w:r>
                </w:p>
              </w:tc>
              <w:tc>
                <w:tcPr>
                  <w:tcW w:w="440" w:type="dxa"/>
                  <w:vMerge w:val="continue"/>
                  <w:tcBorders>
                    <w:tl2br w:val="nil"/>
                    <w:tr2bl w:val="nil"/>
                  </w:tcBorders>
                  <w:noWrap w:val="0"/>
                  <w:vAlign w:val="center"/>
                </w:tcPr>
                <w:p w14:paraId="02EEBA3E">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bCs/>
                      <w:color w:val="auto"/>
                      <w:sz w:val="21"/>
                      <w:szCs w:val="21"/>
                    </w:rPr>
                  </w:pPr>
                </w:p>
              </w:tc>
              <w:tc>
                <w:tcPr>
                  <w:tcW w:w="440" w:type="dxa"/>
                  <w:tcBorders>
                    <w:tl2br w:val="nil"/>
                    <w:tr2bl w:val="nil"/>
                  </w:tcBorders>
                  <w:noWrap w:val="0"/>
                  <w:vAlign w:val="center"/>
                </w:tcPr>
                <w:p w14:paraId="03867E1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426" w:type="dxa"/>
                  <w:tcBorders>
                    <w:tl2br w:val="nil"/>
                    <w:tr2bl w:val="nil"/>
                  </w:tcBorders>
                  <w:noWrap w:val="0"/>
                  <w:vAlign w:val="center"/>
                </w:tcPr>
                <w:p w14:paraId="381E8632">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30.8</w:t>
                  </w:r>
                </w:p>
              </w:tc>
              <w:tc>
                <w:tcPr>
                  <w:tcW w:w="440" w:type="dxa"/>
                  <w:tcBorders>
                    <w:tl2br w:val="nil"/>
                    <w:tr2bl w:val="nil"/>
                  </w:tcBorders>
                  <w:noWrap w:val="0"/>
                  <w:vAlign w:val="center"/>
                </w:tcPr>
                <w:p w14:paraId="3CD4F75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452" w:type="dxa"/>
                  <w:tcBorders>
                    <w:tl2br w:val="nil"/>
                    <w:tr2bl w:val="nil"/>
                  </w:tcBorders>
                  <w:noWrap w:val="0"/>
                  <w:vAlign w:val="center"/>
                </w:tcPr>
                <w:p w14:paraId="3AFC1C6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30.8</w:t>
                  </w:r>
                </w:p>
              </w:tc>
              <w:tc>
                <w:tcPr>
                  <w:tcW w:w="482" w:type="dxa"/>
                  <w:tcBorders>
                    <w:tl2br w:val="nil"/>
                    <w:tr2bl w:val="nil"/>
                  </w:tcBorders>
                  <w:noWrap w:val="0"/>
                  <w:vAlign w:val="center"/>
                </w:tcPr>
                <w:p w14:paraId="15C3786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37.</w:t>
                  </w:r>
                  <w:r>
                    <w:rPr>
                      <w:rFonts w:hint="eastAsia" w:cs="Times New Roman"/>
                      <w:i w:val="0"/>
                      <w:iCs w:val="0"/>
                      <w:color w:val="000000"/>
                      <w:kern w:val="0"/>
                      <w:sz w:val="21"/>
                      <w:szCs w:val="21"/>
                      <w:u w:val="none"/>
                      <w:lang w:val="en-US" w:eastAsia="zh-CN" w:bidi="ar"/>
                    </w:rPr>
                    <w:t>8</w:t>
                  </w:r>
                </w:p>
              </w:tc>
              <w:tc>
                <w:tcPr>
                  <w:tcW w:w="453" w:type="dxa"/>
                  <w:tcBorders>
                    <w:tl2br w:val="nil"/>
                    <w:tr2bl w:val="nil"/>
                  </w:tcBorders>
                  <w:noWrap w:val="0"/>
                  <w:vAlign w:val="center"/>
                </w:tcPr>
                <w:p w14:paraId="63F617C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w:t>
                  </w:r>
                  <w:r>
                    <w:rPr>
                      <w:rFonts w:hint="eastAsia" w:cs="Times New Roman"/>
                      <w:i w:val="0"/>
                      <w:iCs w:val="0"/>
                      <w:color w:val="000000"/>
                      <w:kern w:val="0"/>
                      <w:sz w:val="21"/>
                      <w:szCs w:val="21"/>
                      <w:u w:val="none"/>
                      <w:lang w:val="en-US" w:eastAsia="zh-CN" w:bidi="ar"/>
                    </w:rPr>
                    <w:t>1</w:t>
                  </w:r>
                </w:p>
              </w:tc>
              <w:tc>
                <w:tcPr>
                  <w:tcW w:w="453" w:type="dxa"/>
                  <w:tcBorders>
                    <w:tl2br w:val="nil"/>
                    <w:tr2bl w:val="nil"/>
                  </w:tcBorders>
                  <w:noWrap w:val="0"/>
                  <w:vAlign w:val="center"/>
                </w:tcPr>
                <w:p w14:paraId="70F8AEF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37.</w:t>
                  </w:r>
                  <w:r>
                    <w:rPr>
                      <w:rFonts w:hint="eastAsia" w:cs="Times New Roman"/>
                      <w:i w:val="0"/>
                      <w:iCs w:val="0"/>
                      <w:color w:val="000000"/>
                      <w:kern w:val="0"/>
                      <w:sz w:val="21"/>
                      <w:szCs w:val="21"/>
                      <w:u w:val="none"/>
                      <w:lang w:val="en-US" w:eastAsia="zh-CN" w:bidi="ar"/>
                    </w:rPr>
                    <w:t>7</w:t>
                  </w:r>
                </w:p>
              </w:tc>
              <w:tc>
                <w:tcPr>
                  <w:tcW w:w="465" w:type="dxa"/>
                  <w:tcBorders>
                    <w:tl2br w:val="nil"/>
                    <w:tr2bl w:val="nil"/>
                  </w:tcBorders>
                  <w:noWrap w:val="0"/>
                  <w:vAlign w:val="center"/>
                </w:tcPr>
                <w:p w14:paraId="040716D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w:t>
                  </w:r>
                  <w:r>
                    <w:rPr>
                      <w:rFonts w:hint="eastAsia" w:cs="Times New Roman"/>
                      <w:i w:val="0"/>
                      <w:iCs w:val="0"/>
                      <w:color w:val="000000"/>
                      <w:kern w:val="0"/>
                      <w:sz w:val="21"/>
                      <w:szCs w:val="21"/>
                      <w:u w:val="none"/>
                      <w:lang w:val="en-US" w:eastAsia="zh-CN" w:bidi="ar"/>
                    </w:rPr>
                    <w:t>1</w:t>
                  </w:r>
                </w:p>
              </w:tc>
              <w:tc>
                <w:tcPr>
                  <w:tcW w:w="497" w:type="dxa"/>
                  <w:tcBorders>
                    <w:tl2br w:val="nil"/>
                    <w:tr2bl w:val="nil"/>
                  </w:tcBorders>
                  <w:noWrap w:val="0"/>
                  <w:vAlign w:val="center"/>
                </w:tcPr>
                <w:p w14:paraId="7BA8DD99">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1m</w:t>
                  </w:r>
                </w:p>
              </w:tc>
            </w:tr>
            <w:tr w14:paraId="5D1E043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49" w:type="dxa"/>
                  <w:vMerge w:val="continue"/>
                  <w:tcBorders>
                    <w:tl2br w:val="nil"/>
                    <w:tr2bl w:val="nil"/>
                  </w:tcBorders>
                  <w:noWrap w:val="0"/>
                  <w:vAlign w:val="center"/>
                </w:tcPr>
                <w:p w14:paraId="6BE27019">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p>
              </w:tc>
              <w:tc>
                <w:tcPr>
                  <w:tcW w:w="999" w:type="dxa"/>
                  <w:tcBorders>
                    <w:tl2br w:val="nil"/>
                    <w:tr2bl w:val="nil"/>
                  </w:tcBorders>
                  <w:noWrap w:val="0"/>
                  <w:vAlign w:val="center"/>
                </w:tcPr>
                <w:p w14:paraId="15727A1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导热油炉</w:t>
                  </w:r>
                </w:p>
              </w:tc>
              <w:tc>
                <w:tcPr>
                  <w:tcW w:w="285" w:type="dxa"/>
                  <w:vMerge w:val="continue"/>
                  <w:tcBorders>
                    <w:tl2br w:val="nil"/>
                    <w:tr2bl w:val="nil"/>
                  </w:tcBorders>
                  <w:noWrap w:val="0"/>
                  <w:vAlign w:val="center"/>
                </w:tcPr>
                <w:p w14:paraId="27F5AFCC">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p>
              </w:tc>
              <w:tc>
                <w:tcPr>
                  <w:tcW w:w="690" w:type="dxa"/>
                  <w:tcBorders>
                    <w:tl2br w:val="nil"/>
                    <w:tr2bl w:val="nil"/>
                  </w:tcBorders>
                  <w:noWrap w:val="0"/>
                  <w:vAlign w:val="center"/>
                </w:tcPr>
                <w:p w14:paraId="59484C6D">
                  <w:pPr>
                    <w:keepNext w:val="0"/>
                    <w:keepLines w:val="0"/>
                    <w:pageBreakBefore w:val="0"/>
                    <w:widowControl w:val="0"/>
                    <w:kinsoku/>
                    <w:wordWrap/>
                    <w:overflowPunct/>
                    <w:topLinePunct w:val="0"/>
                    <w:bidi w:val="0"/>
                    <w:adjustRightInd w:val="0"/>
                    <w:snapToGrid w:val="0"/>
                    <w:spacing w:line="240" w:lineRule="exact"/>
                    <w:jc w:val="center"/>
                    <w:rPr>
                      <w:rFonts w:hint="default" w:cs="Times New Roman"/>
                      <w:bCs/>
                      <w:color w:val="auto"/>
                      <w:sz w:val="21"/>
                      <w:szCs w:val="21"/>
                      <w:lang w:val="en-US" w:eastAsia="zh-CN"/>
                    </w:rPr>
                  </w:pPr>
                  <w:r>
                    <w:rPr>
                      <w:rFonts w:hint="eastAsia" w:cs="Times New Roman"/>
                      <w:bCs/>
                      <w:color w:val="auto"/>
                      <w:sz w:val="21"/>
                      <w:szCs w:val="21"/>
                      <w:lang w:val="en-US" w:eastAsia="zh-CN"/>
                    </w:rPr>
                    <w:t>98</w:t>
                  </w:r>
                </w:p>
              </w:tc>
              <w:tc>
                <w:tcPr>
                  <w:tcW w:w="1374" w:type="dxa"/>
                  <w:vMerge w:val="continue"/>
                  <w:tcBorders>
                    <w:tl2br w:val="nil"/>
                    <w:tr2bl w:val="nil"/>
                  </w:tcBorders>
                  <w:noWrap w:val="0"/>
                  <w:vAlign w:val="center"/>
                </w:tcPr>
                <w:p w14:paraId="5D0E7445">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p>
              </w:tc>
              <w:tc>
                <w:tcPr>
                  <w:tcW w:w="440" w:type="dxa"/>
                  <w:tcBorders>
                    <w:tl2br w:val="nil"/>
                    <w:tr2bl w:val="nil"/>
                  </w:tcBorders>
                  <w:noWrap w:val="0"/>
                  <w:vAlign w:val="center"/>
                </w:tcPr>
                <w:p w14:paraId="4D158B99">
                  <w:pPr>
                    <w:pStyle w:val="78"/>
                    <w:keepNext w:val="0"/>
                    <w:keepLines w:val="0"/>
                    <w:pageBreakBefore w:val="0"/>
                    <w:widowControl w:val="0"/>
                    <w:kinsoku/>
                    <w:wordWrap/>
                    <w:overflowPunct/>
                    <w:topLinePunct w:val="0"/>
                    <w:bidi w:val="0"/>
                    <w:adjustRightInd w:val="0"/>
                    <w:snapToGrid w:val="0"/>
                    <w:spacing w:line="240" w:lineRule="exact"/>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52</w:t>
                  </w:r>
                </w:p>
              </w:tc>
              <w:tc>
                <w:tcPr>
                  <w:tcW w:w="386" w:type="dxa"/>
                  <w:tcBorders>
                    <w:tl2br w:val="nil"/>
                    <w:tr2bl w:val="nil"/>
                  </w:tcBorders>
                  <w:noWrap w:val="0"/>
                  <w:vAlign w:val="center"/>
                </w:tcPr>
                <w:p w14:paraId="6425E03A">
                  <w:pPr>
                    <w:pStyle w:val="78"/>
                    <w:keepNext w:val="0"/>
                    <w:keepLines w:val="0"/>
                    <w:pageBreakBefore w:val="0"/>
                    <w:widowControl w:val="0"/>
                    <w:kinsoku/>
                    <w:wordWrap/>
                    <w:overflowPunct/>
                    <w:topLinePunct w:val="0"/>
                    <w:bidi w:val="0"/>
                    <w:adjustRightInd w:val="0"/>
                    <w:snapToGrid w:val="0"/>
                    <w:spacing w:line="240" w:lineRule="exact"/>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57</w:t>
                  </w:r>
                </w:p>
              </w:tc>
              <w:tc>
                <w:tcPr>
                  <w:tcW w:w="440" w:type="dxa"/>
                  <w:tcBorders>
                    <w:tl2br w:val="nil"/>
                    <w:tr2bl w:val="nil"/>
                  </w:tcBorders>
                  <w:noWrap w:val="0"/>
                  <w:vAlign w:val="center"/>
                </w:tcPr>
                <w:p w14:paraId="262ABF86">
                  <w:pPr>
                    <w:keepNext w:val="0"/>
                    <w:keepLines w:val="0"/>
                    <w:pageBreakBefore w:val="0"/>
                    <w:widowControl w:val="0"/>
                    <w:kinsoku/>
                    <w:wordWrap/>
                    <w:overflowPunct/>
                    <w:topLinePunct w:val="0"/>
                    <w:bidi w:val="0"/>
                    <w:adjustRightInd w:val="0"/>
                    <w:snapToGrid w:val="0"/>
                    <w:spacing w:line="24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1.2</w:t>
                  </w:r>
                </w:p>
              </w:tc>
              <w:tc>
                <w:tcPr>
                  <w:tcW w:w="387" w:type="dxa"/>
                  <w:tcBorders>
                    <w:tl2br w:val="nil"/>
                    <w:tr2bl w:val="nil"/>
                  </w:tcBorders>
                  <w:noWrap w:val="0"/>
                  <w:vAlign w:val="center"/>
                </w:tcPr>
                <w:p w14:paraId="67A39E88">
                  <w:pPr>
                    <w:pStyle w:val="78"/>
                    <w:keepNext w:val="0"/>
                    <w:keepLines w:val="0"/>
                    <w:pageBreakBefore w:val="0"/>
                    <w:widowControl w:val="0"/>
                    <w:kinsoku/>
                    <w:wordWrap/>
                    <w:overflowPunct/>
                    <w:topLinePunct w:val="0"/>
                    <w:bidi w:val="0"/>
                    <w:adjustRightInd w:val="0"/>
                    <w:snapToGrid w:val="0"/>
                    <w:spacing w:line="24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10</w:t>
                  </w:r>
                </w:p>
              </w:tc>
              <w:tc>
                <w:tcPr>
                  <w:tcW w:w="467" w:type="dxa"/>
                  <w:tcBorders>
                    <w:tl2br w:val="nil"/>
                    <w:tr2bl w:val="nil"/>
                  </w:tcBorders>
                  <w:noWrap w:val="0"/>
                  <w:vAlign w:val="center"/>
                </w:tcPr>
                <w:p w14:paraId="0A5073B5">
                  <w:pPr>
                    <w:keepNext w:val="0"/>
                    <w:keepLines w:val="0"/>
                    <w:pageBreakBefore w:val="0"/>
                    <w:widowControl w:val="0"/>
                    <w:kinsoku/>
                    <w:wordWrap/>
                    <w:overflowPunct/>
                    <w:topLinePunct w:val="0"/>
                    <w:bidi w:val="0"/>
                    <w:adjustRightInd w:val="0"/>
                    <w:snapToGrid w:val="0"/>
                    <w:spacing w:line="24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13</w:t>
                  </w:r>
                </w:p>
              </w:tc>
              <w:tc>
                <w:tcPr>
                  <w:tcW w:w="440" w:type="dxa"/>
                  <w:tcBorders>
                    <w:tl2br w:val="nil"/>
                    <w:tr2bl w:val="nil"/>
                  </w:tcBorders>
                  <w:noWrap w:val="0"/>
                  <w:vAlign w:val="center"/>
                </w:tcPr>
                <w:p w14:paraId="6BD323A1">
                  <w:pPr>
                    <w:pStyle w:val="78"/>
                    <w:keepNext w:val="0"/>
                    <w:keepLines w:val="0"/>
                    <w:pageBreakBefore w:val="0"/>
                    <w:widowControl w:val="0"/>
                    <w:kinsoku/>
                    <w:wordWrap/>
                    <w:overflowPunct/>
                    <w:topLinePunct w:val="0"/>
                    <w:bidi w:val="0"/>
                    <w:adjustRightInd w:val="0"/>
                    <w:snapToGrid w:val="0"/>
                    <w:spacing w:line="24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38</w:t>
                  </w:r>
                </w:p>
              </w:tc>
              <w:tc>
                <w:tcPr>
                  <w:tcW w:w="386" w:type="dxa"/>
                  <w:tcBorders>
                    <w:tl2br w:val="nil"/>
                    <w:tr2bl w:val="nil"/>
                  </w:tcBorders>
                  <w:noWrap w:val="0"/>
                  <w:vAlign w:val="center"/>
                </w:tcPr>
                <w:p w14:paraId="41917308">
                  <w:pPr>
                    <w:keepNext w:val="0"/>
                    <w:keepLines w:val="0"/>
                    <w:pageBreakBefore w:val="0"/>
                    <w:widowControl w:val="0"/>
                    <w:kinsoku/>
                    <w:wordWrap/>
                    <w:overflowPunct/>
                    <w:topLinePunct w:val="0"/>
                    <w:bidi w:val="0"/>
                    <w:adjustRightInd w:val="0"/>
                    <w:snapToGrid w:val="0"/>
                    <w:spacing w:line="24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37</w:t>
                  </w:r>
                </w:p>
              </w:tc>
              <w:tc>
                <w:tcPr>
                  <w:tcW w:w="413" w:type="dxa"/>
                  <w:tcBorders>
                    <w:tl2br w:val="nil"/>
                    <w:tr2bl w:val="nil"/>
                  </w:tcBorders>
                  <w:noWrap w:val="0"/>
                  <w:vAlign w:val="center"/>
                </w:tcPr>
                <w:p w14:paraId="2109A05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79.</w:t>
                  </w:r>
                  <w:r>
                    <w:rPr>
                      <w:rFonts w:hint="eastAsia" w:cs="Times New Roman"/>
                      <w:i w:val="0"/>
                      <w:iCs w:val="0"/>
                      <w:color w:val="000000"/>
                      <w:kern w:val="0"/>
                      <w:sz w:val="21"/>
                      <w:szCs w:val="21"/>
                      <w:u w:val="none"/>
                      <w:lang w:val="en-US" w:eastAsia="zh-CN" w:bidi="ar"/>
                    </w:rPr>
                    <w:t>6</w:t>
                  </w:r>
                </w:p>
              </w:tc>
              <w:tc>
                <w:tcPr>
                  <w:tcW w:w="440" w:type="dxa"/>
                  <w:tcBorders>
                    <w:tl2br w:val="nil"/>
                    <w:tr2bl w:val="nil"/>
                  </w:tcBorders>
                  <w:noWrap w:val="0"/>
                  <w:vAlign w:val="center"/>
                </w:tcPr>
                <w:p w14:paraId="7DD9616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79.</w:t>
                  </w:r>
                  <w:r>
                    <w:rPr>
                      <w:rFonts w:hint="eastAsia" w:cs="Times New Roman"/>
                      <w:i w:val="0"/>
                      <w:iCs w:val="0"/>
                      <w:color w:val="000000"/>
                      <w:kern w:val="0"/>
                      <w:sz w:val="21"/>
                      <w:szCs w:val="21"/>
                      <w:u w:val="none"/>
                      <w:lang w:val="en-US" w:eastAsia="zh-CN" w:bidi="ar"/>
                    </w:rPr>
                    <w:t>5</w:t>
                  </w:r>
                </w:p>
              </w:tc>
              <w:tc>
                <w:tcPr>
                  <w:tcW w:w="440" w:type="dxa"/>
                  <w:tcBorders>
                    <w:tl2br w:val="nil"/>
                    <w:tr2bl w:val="nil"/>
                  </w:tcBorders>
                  <w:noWrap w:val="0"/>
                  <w:vAlign w:val="center"/>
                </w:tcPr>
                <w:p w14:paraId="6021ED1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79.</w:t>
                  </w:r>
                  <w:r>
                    <w:rPr>
                      <w:rFonts w:hint="eastAsia" w:cs="Times New Roman"/>
                      <w:i w:val="0"/>
                      <w:iCs w:val="0"/>
                      <w:color w:val="000000"/>
                      <w:kern w:val="0"/>
                      <w:sz w:val="21"/>
                      <w:szCs w:val="21"/>
                      <w:u w:val="none"/>
                      <w:lang w:val="en-US" w:eastAsia="zh-CN" w:bidi="ar"/>
                    </w:rPr>
                    <w:t>4</w:t>
                  </w:r>
                </w:p>
              </w:tc>
              <w:tc>
                <w:tcPr>
                  <w:tcW w:w="507" w:type="dxa"/>
                  <w:tcBorders>
                    <w:tl2br w:val="nil"/>
                    <w:tr2bl w:val="nil"/>
                  </w:tcBorders>
                  <w:noWrap w:val="0"/>
                  <w:vAlign w:val="center"/>
                </w:tcPr>
                <w:p w14:paraId="14E8240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79.</w:t>
                  </w:r>
                  <w:r>
                    <w:rPr>
                      <w:rFonts w:hint="eastAsia" w:cs="Times New Roman"/>
                      <w:i w:val="0"/>
                      <w:iCs w:val="0"/>
                      <w:color w:val="000000"/>
                      <w:kern w:val="0"/>
                      <w:sz w:val="21"/>
                      <w:szCs w:val="21"/>
                      <w:u w:val="none"/>
                      <w:lang w:val="en-US" w:eastAsia="zh-CN" w:bidi="ar"/>
                    </w:rPr>
                    <w:t>4</w:t>
                  </w:r>
                </w:p>
              </w:tc>
              <w:tc>
                <w:tcPr>
                  <w:tcW w:w="440" w:type="dxa"/>
                  <w:vMerge w:val="continue"/>
                  <w:tcBorders>
                    <w:tl2br w:val="nil"/>
                    <w:tr2bl w:val="nil"/>
                  </w:tcBorders>
                  <w:noWrap w:val="0"/>
                  <w:vAlign w:val="center"/>
                </w:tcPr>
                <w:p w14:paraId="001FCC0D">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bCs/>
                      <w:color w:val="auto"/>
                      <w:sz w:val="21"/>
                      <w:szCs w:val="21"/>
                    </w:rPr>
                  </w:pPr>
                </w:p>
              </w:tc>
              <w:tc>
                <w:tcPr>
                  <w:tcW w:w="440" w:type="dxa"/>
                  <w:tcBorders>
                    <w:tl2br w:val="nil"/>
                    <w:tr2bl w:val="nil"/>
                  </w:tcBorders>
                  <w:noWrap w:val="0"/>
                  <w:vAlign w:val="center"/>
                </w:tcPr>
                <w:p w14:paraId="71B9A7B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426" w:type="dxa"/>
                  <w:tcBorders>
                    <w:tl2br w:val="nil"/>
                    <w:tr2bl w:val="nil"/>
                  </w:tcBorders>
                  <w:noWrap w:val="0"/>
                  <w:vAlign w:val="center"/>
                </w:tcPr>
                <w:p w14:paraId="25C8AE0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30.8</w:t>
                  </w:r>
                </w:p>
              </w:tc>
              <w:tc>
                <w:tcPr>
                  <w:tcW w:w="440" w:type="dxa"/>
                  <w:tcBorders>
                    <w:tl2br w:val="nil"/>
                    <w:tr2bl w:val="nil"/>
                  </w:tcBorders>
                  <w:noWrap w:val="0"/>
                  <w:vAlign w:val="center"/>
                </w:tcPr>
                <w:p w14:paraId="437B8BD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452" w:type="dxa"/>
                  <w:tcBorders>
                    <w:tl2br w:val="nil"/>
                    <w:tr2bl w:val="nil"/>
                  </w:tcBorders>
                  <w:noWrap w:val="0"/>
                  <w:vAlign w:val="center"/>
                </w:tcPr>
                <w:p w14:paraId="3E0BF2A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30.8</w:t>
                  </w:r>
                </w:p>
              </w:tc>
              <w:tc>
                <w:tcPr>
                  <w:tcW w:w="482" w:type="dxa"/>
                  <w:tcBorders>
                    <w:tl2br w:val="nil"/>
                    <w:tr2bl w:val="nil"/>
                  </w:tcBorders>
                  <w:noWrap w:val="0"/>
                  <w:vAlign w:val="center"/>
                </w:tcPr>
                <w:p w14:paraId="3613615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w:t>
                  </w:r>
                  <w:r>
                    <w:rPr>
                      <w:rFonts w:hint="eastAsia" w:cs="Times New Roman"/>
                      <w:i w:val="0"/>
                      <w:iCs w:val="0"/>
                      <w:color w:val="000000"/>
                      <w:kern w:val="0"/>
                      <w:sz w:val="21"/>
                      <w:szCs w:val="21"/>
                      <w:u w:val="none"/>
                      <w:lang w:val="en-US" w:eastAsia="zh-CN" w:bidi="ar"/>
                    </w:rPr>
                    <w:t>4</w:t>
                  </w:r>
                </w:p>
              </w:tc>
              <w:tc>
                <w:tcPr>
                  <w:tcW w:w="453" w:type="dxa"/>
                  <w:tcBorders>
                    <w:tl2br w:val="nil"/>
                    <w:tr2bl w:val="nil"/>
                  </w:tcBorders>
                  <w:noWrap w:val="0"/>
                  <w:vAlign w:val="center"/>
                </w:tcPr>
                <w:p w14:paraId="2D91773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w:t>
                  </w:r>
                  <w:r>
                    <w:rPr>
                      <w:rFonts w:hint="eastAsia" w:cs="Times New Roman"/>
                      <w:i w:val="0"/>
                      <w:iCs w:val="0"/>
                      <w:color w:val="000000"/>
                      <w:kern w:val="0"/>
                      <w:sz w:val="21"/>
                      <w:szCs w:val="21"/>
                      <w:u w:val="none"/>
                      <w:lang w:val="en-US" w:eastAsia="zh-CN" w:bidi="ar"/>
                    </w:rPr>
                    <w:t>7</w:t>
                  </w:r>
                </w:p>
              </w:tc>
              <w:tc>
                <w:tcPr>
                  <w:tcW w:w="453" w:type="dxa"/>
                  <w:tcBorders>
                    <w:tl2br w:val="nil"/>
                    <w:tr2bl w:val="nil"/>
                  </w:tcBorders>
                  <w:noWrap w:val="0"/>
                  <w:vAlign w:val="center"/>
                </w:tcPr>
                <w:p w14:paraId="0BCC410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w:t>
                  </w:r>
                  <w:r>
                    <w:rPr>
                      <w:rFonts w:hint="eastAsia" w:cs="Times New Roman"/>
                      <w:i w:val="0"/>
                      <w:iCs w:val="0"/>
                      <w:color w:val="000000"/>
                      <w:kern w:val="0"/>
                      <w:sz w:val="21"/>
                      <w:szCs w:val="21"/>
                      <w:u w:val="none"/>
                      <w:lang w:val="en-US" w:eastAsia="zh-CN" w:bidi="ar"/>
                    </w:rPr>
                    <w:t>2</w:t>
                  </w:r>
                </w:p>
              </w:tc>
              <w:tc>
                <w:tcPr>
                  <w:tcW w:w="465" w:type="dxa"/>
                  <w:tcBorders>
                    <w:tl2br w:val="nil"/>
                    <w:tr2bl w:val="nil"/>
                  </w:tcBorders>
                  <w:noWrap w:val="0"/>
                  <w:vAlign w:val="center"/>
                </w:tcPr>
                <w:p w14:paraId="188A42C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w:t>
                  </w:r>
                  <w:r>
                    <w:rPr>
                      <w:rFonts w:hint="eastAsia" w:cs="Times New Roman"/>
                      <w:i w:val="0"/>
                      <w:iCs w:val="0"/>
                      <w:color w:val="000000"/>
                      <w:kern w:val="0"/>
                      <w:sz w:val="21"/>
                      <w:szCs w:val="21"/>
                      <w:u w:val="none"/>
                      <w:lang w:val="en-US" w:eastAsia="zh-CN" w:bidi="ar"/>
                    </w:rPr>
                    <w:t>6</w:t>
                  </w:r>
                </w:p>
              </w:tc>
              <w:tc>
                <w:tcPr>
                  <w:tcW w:w="497" w:type="dxa"/>
                  <w:tcBorders>
                    <w:tl2br w:val="nil"/>
                    <w:tr2bl w:val="nil"/>
                  </w:tcBorders>
                  <w:noWrap w:val="0"/>
                  <w:vAlign w:val="center"/>
                </w:tcPr>
                <w:p w14:paraId="13E2330A">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1m</w:t>
                  </w:r>
                </w:p>
              </w:tc>
            </w:tr>
            <w:tr w14:paraId="5A5F023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49" w:type="dxa"/>
                  <w:vMerge w:val="continue"/>
                  <w:tcBorders>
                    <w:tl2br w:val="nil"/>
                    <w:tr2bl w:val="nil"/>
                  </w:tcBorders>
                  <w:noWrap w:val="0"/>
                  <w:vAlign w:val="center"/>
                </w:tcPr>
                <w:p w14:paraId="2FBE0CA6">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p>
              </w:tc>
              <w:tc>
                <w:tcPr>
                  <w:tcW w:w="999" w:type="dxa"/>
                  <w:tcBorders>
                    <w:tl2br w:val="nil"/>
                    <w:tr2bl w:val="nil"/>
                  </w:tcBorders>
                  <w:noWrap w:val="0"/>
                  <w:vAlign w:val="center"/>
                </w:tcPr>
                <w:p w14:paraId="1A79ADB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2#风机</w:t>
                  </w:r>
                </w:p>
              </w:tc>
              <w:tc>
                <w:tcPr>
                  <w:tcW w:w="285" w:type="dxa"/>
                  <w:vMerge w:val="continue"/>
                  <w:tcBorders>
                    <w:tl2br w:val="nil"/>
                    <w:tr2bl w:val="nil"/>
                  </w:tcBorders>
                  <w:noWrap w:val="0"/>
                  <w:vAlign w:val="center"/>
                </w:tcPr>
                <w:p w14:paraId="740F4855">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p>
              </w:tc>
              <w:tc>
                <w:tcPr>
                  <w:tcW w:w="690" w:type="dxa"/>
                  <w:tcBorders>
                    <w:tl2br w:val="nil"/>
                    <w:tr2bl w:val="nil"/>
                  </w:tcBorders>
                  <w:noWrap w:val="0"/>
                  <w:vAlign w:val="center"/>
                </w:tcPr>
                <w:p w14:paraId="39AFE24C">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87.5</w:t>
                  </w:r>
                </w:p>
              </w:tc>
              <w:tc>
                <w:tcPr>
                  <w:tcW w:w="1374" w:type="dxa"/>
                  <w:vMerge w:val="continue"/>
                  <w:tcBorders>
                    <w:tl2br w:val="nil"/>
                    <w:tr2bl w:val="nil"/>
                  </w:tcBorders>
                  <w:noWrap w:val="0"/>
                  <w:vAlign w:val="center"/>
                </w:tcPr>
                <w:p w14:paraId="7FB372FA">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p>
              </w:tc>
              <w:tc>
                <w:tcPr>
                  <w:tcW w:w="440" w:type="dxa"/>
                  <w:tcBorders>
                    <w:tl2br w:val="nil"/>
                    <w:tr2bl w:val="nil"/>
                  </w:tcBorders>
                  <w:noWrap w:val="0"/>
                  <w:vAlign w:val="center"/>
                </w:tcPr>
                <w:p w14:paraId="4BE1D950">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43</w:t>
                  </w:r>
                </w:p>
              </w:tc>
              <w:tc>
                <w:tcPr>
                  <w:tcW w:w="386" w:type="dxa"/>
                  <w:tcBorders>
                    <w:tl2br w:val="nil"/>
                    <w:tr2bl w:val="nil"/>
                  </w:tcBorders>
                  <w:noWrap w:val="0"/>
                  <w:vAlign w:val="center"/>
                </w:tcPr>
                <w:p w14:paraId="51ADA287">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76</w:t>
                  </w:r>
                </w:p>
              </w:tc>
              <w:tc>
                <w:tcPr>
                  <w:tcW w:w="440" w:type="dxa"/>
                  <w:tcBorders>
                    <w:tl2br w:val="nil"/>
                    <w:tr2bl w:val="nil"/>
                  </w:tcBorders>
                  <w:noWrap w:val="0"/>
                  <w:vAlign w:val="center"/>
                </w:tcPr>
                <w:p w14:paraId="40160D4E">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c>
              <w:tc>
                <w:tcPr>
                  <w:tcW w:w="387" w:type="dxa"/>
                  <w:tcBorders>
                    <w:tl2br w:val="nil"/>
                    <w:tr2bl w:val="nil"/>
                  </w:tcBorders>
                  <w:noWrap w:val="0"/>
                  <w:vAlign w:val="center"/>
                </w:tcPr>
                <w:p w14:paraId="5583F40D">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467" w:type="dxa"/>
                  <w:tcBorders>
                    <w:tl2br w:val="nil"/>
                    <w:tr2bl w:val="nil"/>
                  </w:tcBorders>
                  <w:noWrap w:val="0"/>
                  <w:vAlign w:val="center"/>
                </w:tcPr>
                <w:p w14:paraId="5A082098">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31</w:t>
                  </w:r>
                </w:p>
              </w:tc>
              <w:tc>
                <w:tcPr>
                  <w:tcW w:w="440" w:type="dxa"/>
                  <w:tcBorders>
                    <w:tl2br w:val="nil"/>
                    <w:tr2bl w:val="nil"/>
                  </w:tcBorders>
                  <w:noWrap w:val="0"/>
                  <w:vAlign w:val="center"/>
                </w:tcPr>
                <w:p w14:paraId="6E7E8AA4">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44</w:t>
                  </w:r>
                </w:p>
              </w:tc>
              <w:tc>
                <w:tcPr>
                  <w:tcW w:w="386" w:type="dxa"/>
                  <w:tcBorders>
                    <w:tl2br w:val="nil"/>
                    <w:tr2bl w:val="nil"/>
                  </w:tcBorders>
                  <w:noWrap w:val="0"/>
                  <w:vAlign w:val="center"/>
                </w:tcPr>
                <w:p w14:paraId="1E3C1E3E">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19</w:t>
                  </w:r>
                </w:p>
              </w:tc>
              <w:tc>
                <w:tcPr>
                  <w:tcW w:w="413" w:type="dxa"/>
                  <w:tcBorders>
                    <w:tl2br w:val="nil"/>
                    <w:tr2bl w:val="nil"/>
                  </w:tcBorders>
                  <w:noWrap w:val="0"/>
                  <w:vAlign w:val="center"/>
                </w:tcPr>
                <w:p w14:paraId="6CB8A6D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70.</w:t>
                  </w:r>
                  <w:r>
                    <w:rPr>
                      <w:rFonts w:hint="eastAsia" w:cs="Times New Roman"/>
                      <w:i w:val="0"/>
                      <w:iCs w:val="0"/>
                      <w:color w:val="000000"/>
                      <w:kern w:val="0"/>
                      <w:sz w:val="21"/>
                      <w:szCs w:val="21"/>
                      <w:u w:val="none"/>
                      <w:lang w:val="en-US" w:eastAsia="zh-CN" w:bidi="ar"/>
                    </w:rPr>
                    <w:t>2</w:t>
                  </w:r>
                </w:p>
              </w:tc>
              <w:tc>
                <w:tcPr>
                  <w:tcW w:w="440" w:type="dxa"/>
                  <w:tcBorders>
                    <w:tl2br w:val="nil"/>
                    <w:tr2bl w:val="nil"/>
                  </w:tcBorders>
                  <w:noWrap w:val="0"/>
                  <w:vAlign w:val="center"/>
                </w:tcPr>
                <w:p w14:paraId="550D01B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68.</w:t>
                  </w:r>
                  <w:r>
                    <w:rPr>
                      <w:rFonts w:hint="eastAsia" w:cs="Times New Roman"/>
                      <w:i w:val="0"/>
                      <w:iCs w:val="0"/>
                      <w:color w:val="000000"/>
                      <w:kern w:val="0"/>
                      <w:sz w:val="21"/>
                      <w:szCs w:val="21"/>
                      <w:u w:val="none"/>
                      <w:lang w:val="en-US" w:eastAsia="zh-CN" w:bidi="ar"/>
                    </w:rPr>
                    <w:t>9</w:t>
                  </w:r>
                </w:p>
              </w:tc>
              <w:tc>
                <w:tcPr>
                  <w:tcW w:w="440" w:type="dxa"/>
                  <w:tcBorders>
                    <w:tl2br w:val="nil"/>
                    <w:tr2bl w:val="nil"/>
                  </w:tcBorders>
                  <w:noWrap w:val="0"/>
                  <w:vAlign w:val="center"/>
                </w:tcPr>
                <w:p w14:paraId="55EAC14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68.</w:t>
                  </w:r>
                  <w:r>
                    <w:rPr>
                      <w:rFonts w:hint="eastAsia" w:cs="Times New Roman"/>
                      <w:i w:val="0"/>
                      <w:iCs w:val="0"/>
                      <w:color w:val="000000"/>
                      <w:kern w:val="0"/>
                      <w:sz w:val="21"/>
                      <w:szCs w:val="21"/>
                      <w:u w:val="none"/>
                      <w:lang w:val="en-US" w:eastAsia="zh-CN" w:bidi="ar"/>
                    </w:rPr>
                    <w:t>9</w:t>
                  </w:r>
                </w:p>
              </w:tc>
              <w:tc>
                <w:tcPr>
                  <w:tcW w:w="507" w:type="dxa"/>
                  <w:tcBorders>
                    <w:tl2br w:val="nil"/>
                    <w:tr2bl w:val="nil"/>
                  </w:tcBorders>
                  <w:noWrap w:val="0"/>
                  <w:vAlign w:val="center"/>
                </w:tcPr>
                <w:p w14:paraId="3C92DC8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68.9</w:t>
                  </w:r>
                </w:p>
              </w:tc>
              <w:tc>
                <w:tcPr>
                  <w:tcW w:w="440" w:type="dxa"/>
                  <w:vMerge w:val="continue"/>
                  <w:tcBorders>
                    <w:tl2br w:val="nil"/>
                    <w:tr2bl w:val="nil"/>
                  </w:tcBorders>
                  <w:noWrap w:val="0"/>
                  <w:vAlign w:val="center"/>
                </w:tcPr>
                <w:p w14:paraId="38B173C7">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bCs/>
                      <w:color w:val="auto"/>
                      <w:sz w:val="21"/>
                      <w:szCs w:val="21"/>
                    </w:rPr>
                  </w:pPr>
                </w:p>
              </w:tc>
              <w:tc>
                <w:tcPr>
                  <w:tcW w:w="440" w:type="dxa"/>
                  <w:tcBorders>
                    <w:tl2br w:val="nil"/>
                    <w:tr2bl w:val="nil"/>
                  </w:tcBorders>
                  <w:noWrap w:val="0"/>
                  <w:vAlign w:val="center"/>
                </w:tcPr>
                <w:p w14:paraId="7F3627C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426" w:type="dxa"/>
                  <w:tcBorders>
                    <w:tl2br w:val="nil"/>
                    <w:tr2bl w:val="nil"/>
                  </w:tcBorders>
                  <w:noWrap w:val="0"/>
                  <w:vAlign w:val="center"/>
                </w:tcPr>
                <w:p w14:paraId="046D07C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30.8</w:t>
                  </w:r>
                </w:p>
              </w:tc>
              <w:tc>
                <w:tcPr>
                  <w:tcW w:w="440" w:type="dxa"/>
                  <w:tcBorders>
                    <w:tl2br w:val="nil"/>
                    <w:tr2bl w:val="nil"/>
                  </w:tcBorders>
                  <w:noWrap w:val="0"/>
                  <w:vAlign w:val="center"/>
                </w:tcPr>
                <w:p w14:paraId="0168CD5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452" w:type="dxa"/>
                  <w:tcBorders>
                    <w:tl2br w:val="nil"/>
                    <w:tr2bl w:val="nil"/>
                  </w:tcBorders>
                  <w:noWrap w:val="0"/>
                  <w:vAlign w:val="center"/>
                </w:tcPr>
                <w:p w14:paraId="0A213F2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30.8</w:t>
                  </w:r>
                </w:p>
              </w:tc>
              <w:tc>
                <w:tcPr>
                  <w:tcW w:w="482" w:type="dxa"/>
                  <w:tcBorders>
                    <w:tl2br w:val="nil"/>
                    <w:tr2bl w:val="nil"/>
                  </w:tcBorders>
                  <w:noWrap w:val="0"/>
                  <w:vAlign w:val="center"/>
                </w:tcPr>
                <w:p w14:paraId="72B90FE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39.0</w:t>
                  </w:r>
                </w:p>
              </w:tc>
              <w:tc>
                <w:tcPr>
                  <w:tcW w:w="453" w:type="dxa"/>
                  <w:tcBorders>
                    <w:tl2br w:val="nil"/>
                    <w:tr2bl w:val="nil"/>
                  </w:tcBorders>
                  <w:noWrap w:val="0"/>
                  <w:vAlign w:val="center"/>
                </w:tcPr>
                <w:p w14:paraId="4A7621F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38.1</w:t>
                  </w:r>
                </w:p>
              </w:tc>
              <w:tc>
                <w:tcPr>
                  <w:tcW w:w="453" w:type="dxa"/>
                  <w:tcBorders>
                    <w:tl2br w:val="nil"/>
                    <w:tr2bl w:val="nil"/>
                  </w:tcBorders>
                  <w:noWrap w:val="0"/>
                  <w:vAlign w:val="center"/>
                </w:tcPr>
                <w:p w14:paraId="4A70AF0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37.</w:t>
                  </w:r>
                  <w:r>
                    <w:rPr>
                      <w:rFonts w:hint="eastAsia" w:cs="Times New Roman"/>
                      <w:i w:val="0"/>
                      <w:iCs w:val="0"/>
                      <w:color w:val="000000"/>
                      <w:kern w:val="0"/>
                      <w:sz w:val="21"/>
                      <w:szCs w:val="21"/>
                      <w:u w:val="none"/>
                      <w:lang w:val="en-US" w:eastAsia="zh-CN" w:bidi="ar"/>
                    </w:rPr>
                    <w:t>7</w:t>
                  </w:r>
                </w:p>
              </w:tc>
              <w:tc>
                <w:tcPr>
                  <w:tcW w:w="465" w:type="dxa"/>
                  <w:tcBorders>
                    <w:tl2br w:val="nil"/>
                    <w:tr2bl w:val="nil"/>
                  </w:tcBorders>
                  <w:noWrap w:val="0"/>
                  <w:vAlign w:val="center"/>
                </w:tcPr>
                <w:p w14:paraId="471E48D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w:t>
                  </w:r>
                  <w:r>
                    <w:rPr>
                      <w:rFonts w:hint="eastAsia" w:cs="Times New Roman"/>
                      <w:i w:val="0"/>
                      <w:iCs w:val="0"/>
                      <w:color w:val="000000"/>
                      <w:kern w:val="0"/>
                      <w:sz w:val="21"/>
                      <w:szCs w:val="21"/>
                      <w:u w:val="none"/>
                      <w:lang w:val="en-US" w:eastAsia="zh-CN" w:bidi="ar"/>
                    </w:rPr>
                    <w:t>1</w:t>
                  </w:r>
                </w:p>
              </w:tc>
              <w:tc>
                <w:tcPr>
                  <w:tcW w:w="497" w:type="dxa"/>
                  <w:tcBorders>
                    <w:tl2br w:val="nil"/>
                    <w:tr2bl w:val="nil"/>
                  </w:tcBorders>
                  <w:noWrap w:val="0"/>
                  <w:vAlign w:val="center"/>
                </w:tcPr>
                <w:p w14:paraId="0007834A">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1m</w:t>
                  </w:r>
                </w:p>
              </w:tc>
            </w:tr>
            <w:tr w14:paraId="61D18D4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49" w:type="dxa"/>
                  <w:vMerge w:val="continue"/>
                  <w:tcBorders>
                    <w:tl2br w:val="nil"/>
                    <w:tr2bl w:val="nil"/>
                  </w:tcBorders>
                  <w:noWrap w:val="0"/>
                  <w:vAlign w:val="center"/>
                </w:tcPr>
                <w:p w14:paraId="5C5280E0">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p>
              </w:tc>
              <w:tc>
                <w:tcPr>
                  <w:tcW w:w="999" w:type="dxa"/>
                  <w:tcBorders>
                    <w:tl2br w:val="nil"/>
                    <w:tr2bl w:val="nil"/>
                  </w:tcBorders>
                  <w:noWrap w:val="0"/>
                  <w:vAlign w:val="center"/>
                </w:tcPr>
                <w:p w14:paraId="5CB4A06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3#风机</w:t>
                  </w:r>
                </w:p>
              </w:tc>
              <w:tc>
                <w:tcPr>
                  <w:tcW w:w="285" w:type="dxa"/>
                  <w:vMerge w:val="continue"/>
                  <w:tcBorders>
                    <w:tl2br w:val="nil"/>
                    <w:tr2bl w:val="nil"/>
                  </w:tcBorders>
                  <w:noWrap w:val="0"/>
                  <w:vAlign w:val="center"/>
                </w:tcPr>
                <w:p w14:paraId="66C30A4E">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p>
              </w:tc>
              <w:tc>
                <w:tcPr>
                  <w:tcW w:w="690" w:type="dxa"/>
                  <w:tcBorders>
                    <w:tl2br w:val="nil"/>
                    <w:tr2bl w:val="nil"/>
                  </w:tcBorders>
                  <w:noWrap w:val="0"/>
                  <w:vAlign w:val="center"/>
                </w:tcPr>
                <w:p w14:paraId="1F6138CE">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87.5</w:t>
                  </w:r>
                </w:p>
              </w:tc>
              <w:tc>
                <w:tcPr>
                  <w:tcW w:w="1374" w:type="dxa"/>
                  <w:vMerge w:val="continue"/>
                  <w:tcBorders>
                    <w:tl2br w:val="nil"/>
                    <w:tr2bl w:val="nil"/>
                  </w:tcBorders>
                  <w:noWrap w:val="0"/>
                  <w:vAlign w:val="center"/>
                </w:tcPr>
                <w:p w14:paraId="14EC22F4">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p>
              </w:tc>
              <w:tc>
                <w:tcPr>
                  <w:tcW w:w="440" w:type="dxa"/>
                  <w:tcBorders>
                    <w:tl2br w:val="nil"/>
                    <w:tr2bl w:val="nil"/>
                  </w:tcBorders>
                  <w:noWrap w:val="0"/>
                  <w:vAlign w:val="center"/>
                </w:tcPr>
                <w:p w14:paraId="48ADC873">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55</w:t>
                  </w:r>
                </w:p>
              </w:tc>
              <w:tc>
                <w:tcPr>
                  <w:tcW w:w="386" w:type="dxa"/>
                  <w:tcBorders>
                    <w:tl2br w:val="nil"/>
                    <w:tr2bl w:val="nil"/>
                  </w:tcBorders>
                  <w:noWrap w:val="0"/>
                  <w:vAlign w:val="center"/>
                </w:tcPr>
                <w:p w14:paraId="6228B9BA">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56</w:t>
                  </w:r>
                </w:p>
              </w:tc>
              <w:tc>
                <w:tcPr>
                  <w:tcW w:w="440" w:type="dxa"/>
                  <w:tcBorders>
                    <w:tl2br w:val="nil"/>
                    <w:tr2bl w:val="nil"/>
                  </w:tcBorders>
                  <w:noWrap w:val="0"/>
                  <w:vAlign w:val="center"/>
                </w:tcPr>
                <w:p w14:paraId="3D462ABC">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c>
              <w:tc>
                <w:tcPr>
                  <w:tcW w:w="387" w:type="dxa"/>
                  <w:tcBorders>
                    <w:tl2br w:val="nil"/>
                    <w:tr2bl w:val="nil"/>
                  </w:tcBorders>
                  <w:noWrap w:val="0"/>
                  <w:vAlign w:val="center"/>
                </w:tcPr>
                <w:p w14:paraId="33787D09">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467" w:type="dxa"/>
                  <w:tcBorders>
                    <w:tl2br w:val="nil"/>
                    <w:tr2bl w:val="nil"/>
                  </w:tcBorders>
                  <w:noWrap w:val="0"/>
                  <w:vAlign w:val="center"/>
                </w:tcPr>
                <w:p w14:paraId="526934A5">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w:t>
                  </w:r>
                </w:p>
              </w:tc>
              <w:tc>
                <w:tcPr>
                  <w:tcW w:w="440" w:type="dxa"/>
                  <w:tcBorders>
                    <w:tl2br w:val="nil"/>
                    <w:tr2bl w:val="nil"/>
                  </w:tcBorders>
                  <w:noWrap w:val="0"/>
                  <w:vAlign w:val="center"/>
                </w:tcPr>
                <w:p w14:paraId="45EBE22A">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33</w:t>
                  </w:r>
                </w:p>
              </w:tc>
              <w:tc>
                <w:tcPr>
                  <w:tcW w:w="386" w:type="dxa"/>
                  <w:tcBorders>
                    <w:tl2br w:val="nil"/>
                    <w:tr2bl w:val="nil"/>
                  </w:tcBorders>
                  <w:noWrap w:val="0"/>
                  <w:vAlign w:val="center"/>
                </w:tcPr>
                <w:p w14:paraId="05444CAD">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39</w:t>
                  </w:r>
                </w:p>
              </w:tc>
              <w:tc>
                <w:tcPr>
                  <w:tcW w:w="413" w:type="dxa"/>
                  <w:tcBorders>
                    <w:tl2br w:val="nil"/>
                    <w:tr2bl w:val="nil"/>
                  </w:tcBorders>
                  <w:noWrap w:val="0"/>
                  <w:vAlign w:val="center"/>
                </w:tcPr>
                <w:p w14:paraId="4A9D416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w:t>
                  </w:r>
                  <w:r>
                    <w:rPr>
                      <w:rFonts w:hint="eastAsia" w:cs="Times New Roman"/>
                      <w:i w:val="0"/>
                      <w:iCs w:val="0"/>
                      <w:color w:val="000000"/>
                      <w:kern w:val="0"/>
                      <w:sz w:val="21"/>
                      <w:szCs w:val="21"/>
                      <w:u w:val="none"/>
                      <w:lang w:val="en-US" w:eastAsia="zh-CN" w:bidi="ar"/>
                    </w:rPr>
                    <w:t>9</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cs="Times New Roman"/>
                      <w:i w:val="0"/>
                      <w:iCs w:val="0"/>
                      <w:color w:val="000000"/>
                      <w:kern w:val="0"/>
                      <w:sz w:val="21"/>
                      <w:szCs w:val="21"/>
                      <w:u w:val="none"/>
                      <w:lang w:val="en-US" w:eastAsia="zh-CN" w:bidi="ar"/>
                    </w:rPr>
                    <w:t>0</w:t>
                  </w:r>
                </w:p>
              </w:tc>
              <w:tc>
                <w:tcPr>
                  <w:tcW w:w="440" w:type="dxa"/>
                  <w:tcBorders>
                    <w:tl2br w:val="nil"/>
                    <w:tr2bl w:val="nil"/>
                  </w:tcBorders>
                  <w:noWrap w:val="0"/>
                  <w:vAlign w:val="center"/>
                </w:tcPr>
                <w:p w14:paraId="41B916F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69.</w:t>
                  </w:r>
                  <w:r>
                    <w:rPr>
                      <w:rFonts w:hint="eastAsia" w:cs="Times New Roman"/>
                      <w:i w:val="0"/>
                      <w:iCs w:val="0"/>
                      <w:color w:val="000000"/>
                      <w:kern w:val="0"/>
                      <w:sz w:val="21"/>
                      <w:szCs w:val="21"/>
                      <w:u w:val="none"/>
                      <w:lang w:val="en-US" w:eastAsia="zh-CN" w:bidi="ar"/>
                    </w:rPr>
                    <w:t>1</w:t>
                  </w:r>
                </w:p>
              </w:tc>
              <w:tc>
                <w:tcPr>
                  <w:tcW w:w="440" w:type="dxa"/>
                  <w:tcBorders>
                    <w:tl2br w:val="nil"/>
                    <w:tr2bl w:val="nil"/>
                  </w:tcBorders>
                  <w:noWrap w:val="0"/>
                  <w:vAlign w:val="center"/>
                </w:tcPr>
                <w:p w14:paraId="1299B7D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68.9</w:t>
                  </w:r>
                </w:p>
              </w:tc>
              <w:tc>
                <w:tcPr>
                  <w:tcW w:w="507" w:type="dxa"/>
                  <w:tcBorders>
                    <w:tl2br w:val="nil"/>
                    <w:tr2bl w:val="nil"/>
                  </w:tcBorders>
                  <w:noWrap w:val="0"/>
                  <w:vAlign w:val="center"/>
                </w:tcPr>
                <w:p w14:paraId="1EF74B3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68.9</w:t>
                  </w:r>
                </w:p>
              </w:tc>
              <w:tc>
                <w:tcPr>
                  <w:tcW w:w="440" w:type="dxa"/>
                  <w:vMerge w:val="continue"/>
                  <w:tcBorders>
                    <w:tl2br w:val="nil"/>
                    <w:tr2bl w:val="nil"/>
                  </w:tcBorders>
                  <w:noWrap w:val="0"/>
                  <w:vAlign w:val="center"/>
                </w:tcPr>
                <w:p w14:paraId="41986072">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bCs/>
                      <w:color w:val="auto"/>
                      <w:sz w:val="21"/>
                      <w:szCs w:val="21"/>
                    </w:rPr>
                  </w:pPr>
                </w:p>
              </w:tc>
              <w:tc>
                <w:tcPr>
                  <w:tcW w:w="440" w:type="dxa"/>
                  <w:tcBorders>
                    <w:tl2br w:val="nil"/>
                    <w:tr2bl w:val="nil"/>
                  </w:tcBorders>
                  <w:noWrap w:val="0"/>
                  <w:vAlign w:val="center"/>
                </w:tcPr>
                <w:p w14:paraId="0AD0243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426" w:type="dxa"/>
                  <w:tcBorders>
                    <w:tl2br w:val="nil"/>
                    <w:tr2bl w:val="nil"/>
                  </w:tcBorders>
                  <w:noWrap w:val="0"/>
                  <w:vAlign w:val="center"/>
                </w:tcPr>
                <w:p w14:paraId="5B10811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30.8</w:t>
                  </w:r>
                </w:p>
              </w:tc>
              <w:tc>
                <w:tcPr>
                  <w:tcW w:w="440" w:type="dxa"/>
                  <w:tcBorders>
                    <w:tl2br w:val="nil"/>
                    <w:tr2bl w:val="nil"/>
                  </w:tcBorders>
                  <w:noWrap w:val="0"/>
                  <w:vAlign w:val="center"/>
                </w:tcPr>
                <w:p w14:paraId="24AB600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452" w:type="dxa"/>
                  <w:tcBorders>
                    <w:tl2br w:val="nil"/>
                    <w:tr2bl w:val="nil"/>
                  </w:tcBorders>
                  <w:noWrap w:val="0"/>
                  <w:vAlign w:val="center"/>
                </w:tcPr>
                <w:p w14:paraId="7CCA337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30.8</w:t>
                  </w:r>
                </w:p>
              </w:tc>
              <w:tc>
                <w:tcPr>
                  <w:tcW w:w="482" w:type="dxa"/>
                  <w:tcBorders>
                    <w:tl2br w:val="nil"/>
                    <w:tr2bl w:val="nil"/>
                  </w:tcBorders>
                  <w:noWrap w:val="0"/>
                  <w:vAlign w:val="center"/>
                </w:tcPr>
                <w:p w14:paraId="0672E6E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37.</w:t>
                  </w:r>
                  <w:r>
                    <w:rPr>
                      <w:rFonts w:hint="eastAsia" w:cs="Times New Roman"/>
                      <w:i w:val="0"/>
                      <w:iCs w:val="0"/>
                      <w:color w:val="000000"/>
                      <w:kern w:val="0"/>
                      <w:sz w:val="21"/>
                      <w:szCs w:val="21"/>
                      <w:u w:val="none"/>
                      <w:lang w:val="en-US" w:eastAsia="zh-CN" w:bidi="ar"/>
                    </w:rPr>
                    <w:t>8</w:t>
                  </w:r>
                </w:p>
              </w:tc>
              <w:tc>
                <w:tcPr>
                  <w:tcW w:w="453" w:type="dxa"/>
                  <w:tcBorders>
                    <w:tl2br w:val="nil"/>
                    <w:tr2bl w:val="nil"/>
                  </w:tcBorders>
                  <w:noWrap w:val="0"/>
                  <w:vAlign w:val="center"/>
                </w:tcPr>
                <w:p w14:paraId="690DBE6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w:t>
                  </w:r>
                  <w:r>
                    <w:rPr>
                      <w:rFonts w:hint="eastAsia" w:cs="Times New Roman"/>
                      <w:i w:val="0"/>
                      <w:iCs w:val="0"/>
                      <w:color w:val="000000"/>
                      <w:kern w:val="0"/>
                      <w:sz w:val="21"/>
                      <w:szCs w:val="21"/>
                      <w:u w:val="none"/>
                      <w:lang w:val="en-US" w:eastAsia="zh-CN" w:bidi="ar"/>
                    </w:rPr>
                    <w:t>3</w:t>
                  </w:r>
                </w:p>
              </w:tc>
              <w:tc>
                <w:tcPr>
                  <w:tcW w:w="453" w:type="dxa"/>
                  <w:tcBorders>
                    <w:tl2br w:val="nil"/>
                    <w:tr2bl w:val="nil"/>
                  </w:tcBorders>
                  <w:noWrap w:val="0"/>
                  <w:vAlign w:val="center"/>
                </w:tcPr>
                <w:p w14:paraId="43CB39A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37.</w:t>
                  </w:r>
                  <w:r>
                    <w:rPr>
                      <w:rFonts w:hint="eastAsia" w:cs="Times New Roman"/>
                      <w:i w:val="0"/>
                      <w:iCs w:val="0"/>
                      <w:color w:val="000000"/>
                      <w:kern w:val="0"/>
                      <w:sz w:val="21"/>
                      <w:szCs w:val="21"/>
                      <w:u w:val="none"/>
                      <w:lang w:val="en-US" w:eastAsia="zh-CN" w:bidi="ar"/>
                    </w:rPr>
                    <w:t>7</w:t>
                  </w:r>
                </w:p>
              </w:tc>
              <w:tc>
                <w:tcPr>
                  <w:tcW w:w="465" w:type="dxa"/>
                  <w:tcBorders>
                    <w:tl2br w:val="nil"/>
                    <w:tr2bl w:val="nil"/>
                  </w:tcBorders>
                  <w:noWrap w:val="0"/>
                  <w:vAlign w:val="center"/>
                </w:tcPr>
                <w:p w14:paraId="024B1A1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w:t>
                  </w:r>
                  <w:r>
                    <w:rPr>
                      <w:rFonts w:hint="eastAsia" w:cs="Times New Roman"/>
                      <w:i w:val="0"/>
                      <w:iCs w:val="0"/>
                      <w:color w:val="000000"/>
                      <w:kern w:val="0"/>
                      <w:sz w:val="21"/>
                      <w:szCs w:val="21"/>
                      <w:u w:val="none"/>
                      <w:lang w:val="en-US" w:eastAsia="zh-CN" w:bidi="ar"/>
                    </w:rPr>
                    <w:t>1</w:t>
                  </w:r>
                </w:p>
              </w:tc>
              <w:tc>
                <w:tcPr>
                  <w:tcW w:w="497" w:type="dxa"/>
                  <w:tcBorders>
                    <w:tl2br w:val="nil"/>
                    <w:tr2bl w:val="nil"/>
                  </w:tcBorders>
                  <w:noWrap w:val="0"/>
                  <w:vAlign w:val="center"/>
                </w:tcPr>
                <w:p w14:paraId="719C8D52">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1m</w:t>
                  </w:r>
                </w:p>
              </w:tc>
            </w:tr>
            <w:tr w14:paraId="4574E33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49" w:type="dxa"/>
                  <w:vMerge w:val="continue"/>
                  <w:tcBorders>
                    <w:tl2br w:val="nil"/>
                    <w:tr2bl w:val="nil"/>
                  </w:tcBorders>
                  <w:noWrap w:val="0"/>
                  <w:vAlign w:val="center"/>
                </w:tcPr>
                <w:p w14:paraId="11A05A7B">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p>
              </w:tc>
              <w:tc>
                <w:tcPr>
                  <w:tcW w:w="999" w:type="dxa"/>
                  <w:tcBorders>
                    <w:tl2br w:val="nil"/>
                    <w:tr2bl w:val="nil"/>
                  </w:tcBorders>
                  <w:noWrap w:val="0"/>
                  <w:vAlign w:val="center"/>
                </w:tcPr>
                <w:p w14:paraId="0AE40B7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4#风机</w:t>
                  </w:r>
                </w:p>
              </w:tc>
              <w:tc>
                <w:tcPr>
                  <w:tcW w:w="285" w:type="dxa"/>
                  <w:vMerge w:val="continue"/>
                  <w:tcBorders>
                    <w:tl2br w:val="nil"/>
                    <w:tr2bl w:val="nil"/>
                  </w:tcBorders>
                  <w:noWrap w:val="0"/>
                  <w:vAlign w:val="center"/>
                </w:tcPr>
                <w:p w14:paraId="17F322E7">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p>
              </w:tc>
              <w:tc>
                <w:tcPr>
                  <w:tcW w:w="690" w:type="dxa"/>
                  <w:tcBorders>
                    <w:tl2br w:val="nil"/>
                    <w:tr2bl w:val="nil"/>
                  </w:tcBorders>
                  <w:noWrap w:val="0"/>
                  <w:vAlign w:val="center"/>
                </w:tcPr>
                <w:p w14:paraId="35AD8A1C">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87.5</w:t>
                  </w:r>
                </w:p>
              </w:tc>
              <w:tc>
                <w:tcPr>
                  <w:tcW w:w="1374" w:type="dxa"/>
                  <w:vMerge w:val="continue"/>
                  <w:tcBorders>
                    <w:tl2br w:val="nil"/>
                    <w:tr2bl w:val="nil"/>
                  </w:tcBorders>
                  <w:noWrap w:val="0"/>
                  <w:vAlign w:val="center"/>
                </w:tcPr>
                <w:p w14:paraId="399692DF">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p>
              </w:tc>
              <w:tc>
                <w:tcPr>
                  <w:tcW w:w="440" w:type="dxa"/>
                  <w:tcBorders>
                    <w:tl2br w:val="nil"/>
                    <w:tr2bl w:val="nil"/>
                  </w:tcBorders>
                  <w:noWrap w:val="0"/>
                  <w:vAlign w:val="center"/>
                </w:tcPr>
                <w:p w14:paraId="629E11A2">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46</w:t>
                  </w:r>
                </w:p>
              </w:tc>
              <w:tc>
                <w:tcPr>
                  <w:tcW w:w="386" w:type="dxa"/>
                  <w:tcBorders>
                    <w:tl2br w:val="nil"/>
                    <w:tr2bl w:val="nil"/>
                  </w:tcBorders>
                  <w:noWrap w:val="0"/>
                  <w:vAlign w:val="center"/>
                </w:tcPr>
                <w:p w14:paraId="44C52ED3">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440" w:type="dxa"/>
                  <w:tcBorders>
                    <w:tl2br w:val="nil"/>
                    <w:tr2bl w:val="nil"/>
                  </w:tcBorders>
                  <w:noWrap w:val="0"/>
                  <w:vAlign w:val="center"/>
                </w:tcPr>
                <w:p w14:paraId="31328FA3">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c>
              <w:tc>
                <w:tcPr>
                  <w:tcW w:w="387" w:type="dxa"/>
                  <w:tcBorders>
                    <w:tl2br w:val="nil"/>
                    <w:tr2bl w:val="nil"/>
                  </w:tcBorders>
                  <w:noWrap w:val="0"/>
                  <w:vAlign w:val="center"/>
                </w:tcPr>
                <w:p w14:paraId="23447D5B">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467" w:type="dxa"/>
                  <w:tcBorders>
                    <w:tl2br w:val="nil"/>
                    <w:tr2bl w:val="nil"/>
                  </w:tcBorders>
                  <w:noWrap w:val="0"/>
                  <w:vAlign w:val="center"/>
                </w:tcPr>
                <w:p w14:paraId="6F849A03">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c>
                <w:tcPr>
                  <w:tcW w:w="440" w:type="dxa"/>
                  <w:tcBorders>
                    <w:tl2br w:val="nil"/>
                    <w:tr2bl w:val="nil"/>
                  </w:tcBorders>
                  <w:noWrap w:val="0"/>
                  <w:vAlign w:val="center"/>
                </w:tcPr>
                <w:p w14:paraId="2B042E5E">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28</w:t>
                  </w:r>
                </w:p>
              </w:tc>
              <w:tc>
                <w:tcPr>
                  <w:tcW w:w="386" w:type="dxa"/>
                  <w:tcBorders>
                    <w:tl2br w:val="nil"/>
                    <w:tr2bl w:val="nil"/>
                  </w:tcBorders>
                  <w:noWrap w:val="0"/>
                  <w:vAlign w:val="center"/>
                </w:tcPr>
                <w:p w14:paraId="7CC21AC6">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42</w:t>
                  </w:r>
                </w:p>
              </w:tc>
              <w:tc>
                <w:tcPr>
                  <w:tcW w:w="413" w:type="dxa"/>
                  <w:tcBorders>
                    <w:tl2br w:val="nil"/>
                    <w:tr2bl w:val="nil"/>
                  </w:tcBorders>
                  <w:noWrap w:val="0"/>
                  <w:vAlign w:val="center"/>
                </w:tcPr>
                <w:p w14:paraId="03D5BFC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68.9</w:t>
                  </w:r>
                </w:p>
              </w:tc>
              <w:tc>
                <w:tcPr>
                  <w:tcW w:w="440" w:type="dxa"/>
                  <w:tcBorders>
                    <w:tl2br w:val="nil"/>
                    <w:tr2bl w:val="nil"/>
                  </w:tcBorders>
                  <w:noWrap w:val="0"/>
                  <w:vAlign w:val="center"/>
                </w:tcPr>
                <w:p w14:paraId="7BCDCBC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69.2</w:t>
                  </w:r>
                </w:p>
              </w:tc>
              <w:tc>
                <w:tcPr>
                  <w:tcW w:w="440" w:type="dxa"/>
                  <w:tcBorders>
                    <w:tl2br w:val="nil"/>
                    <w:tr2bl w:val="nil"/>
                  </w:tcBorders>
                  <w:noWrap w:val="0"/>
                  <w:vAlign w:val="center"/>
                </w:tcPr>
                <w:p w14:paraId="5E0A2DD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68.9</w:t>
                  </w:r>
                </w:p>
              </w:tc>
              <w:tc>
                <w:tcPr>
                  <w:tcW w:w="507" w:type="dxa"/>
                  <w:tcBorders>
                    <w:tl2br w:val="nil"/>
                    <w:tr2bl w:val="nil"/>
                  </w:tcBorders>
                  <w:noWrap w:val="0"/>
                  <w:vAlign w:val="center"/>
                </w:tcPr>
                <w:p w14:paraId="12DCDF4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68.</w:t>
                  </w:r>
                  <w:r>
                    <w:rPr>
                      <w:rFonts w:hint="eastAsia" w:cs="Times New Roman"/>
                      <w:i w:val="0"/>
                      <w:iCs w:val="0"/>
                      <w:color w:val="000000"/>
                      <w:kern w:val="0"/>
                      <w:sz w:val="21"/>
                      <w:szCs w:val="21"/>
                      <w:u w:val="none"/>
                      <w:lang w:val="en-US" w:eastAsia="zh-CN" w:bidi="ar"/>
                    </w:rPr>
                    <w:t>9</w:t>
                  </w:r>
                </w:p>
              </w:tc>
              <w:tc>
                <w:tcPr>
                  <w:tcW w:w="440" w:type="dxa"/>
                  <w:vMerge w:val="continue"/>
                  <w:tcBorders>
                    <w:tl2br w:val="nil"/>
                    <w:tr2bl w:val="nil"/>
                  </w:tcBorders>
                  <w:noWrap w:val="0"/>
                  <w:vAlign w:val="center"/>
                </w:tcPr>
                <w:p w14:paraId="5FE59B63">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bCs/>
                      <w:color w:val="auto"/>
                      <w:sz w:val="21"/>
                      <w:szCs w:val="21"/>
                    </w:rPr>
                  </w:pPr>
                </w:p>
              </w:tc>
              <w:tc>
                <w:tcPr>
                  <w:tcW w:w="440" w:type="dxa"/>
                  <w:tcBorders>
                    <w:tl2br w:val="nil"/>
                    <w:tr2bl w:val="nil"/>
                  </w:tcBorders>
                  <w:noWrap w:val="0"/>
                  <w:vAlign w:val="center"/>
                </w:tcPr>
                <w:p w14:paraId="26772F6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426" w:type="dxa"/>
                  <w:tcBorders>
                    <w:tl2br w:val="nil"/>
                    <w:tr2bl w:val="nil"/>
                  </w:tcBorders>
                  <w:noWrap w:val="0"/>
                  <w:vAlign w:val="center"/>
                </w:tcPr>
                <w:p w14:paraId="20F327B8">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30.8</w:t>
                  </w:r>
                </w:p>
              </w:tc>
              <w:tc>
                <w:tcPr>
                  <w:tcW w:w="440" w:type="dxa"/>
                  <w:tcBorders>
                    <w:tl2br w:val="nil"/>
                    <w:tr2bl w:val="nil"/>
                  </w:tcBorders>
                  <w:noWrap w:val="0"/>
                  <w:vAlign w:val="center"/>
                </w:tcPr>
                <w:p w14:paraId="6EF327DE">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452" w:type="dxa"/>
                  <w:tcBorders>
                    <w:tl2br w:val="nil"/>
                    <w:tr2bl w:val="nil"/>
                  </w:tcBorders>
                  <w:noWrap w:val="0"/>
                  <w:vAlign w:val="center"/>
                </w:tcPr>
                <w:p w14:paraId="63A4771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30.8</w:t>
                  </w:r>
                </w:p>
              </w:tc>
              <w:tc>
                <w:tcPr>
                  <w:tcW w:w="482" w:type="dxa"/>
                  <w:tcBorders>
                    <w:tl2br w:val="nil"/>
                    <w:tr2bl w:val="nil"/>
                  </w:tcBorders>
                  <w:noWrap w:val="0"/>
                  <w:vAlign w:val="center"/>
                </w:tcPr>
                <w:p w14:paraId="50116A8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37.</w:t>
                  </w:r>
                  <w:r>
                    <w:rPr>
                      <w:rFonts w:hint="eastAsia" w:cs="Times New Roman"/>
                      <w:i w:val="0"/>
                      <w:iCs w:val="0"/>
                      <w:color w:val="000000"/>
                      <w:kern w:val="0"/>
                      <w:sz w:val="21"/>
                      <w:szCs w:val="21"/>
                      <w:u w:val="none"/>
                      <w:lang w:val="en-US" w:eastAsia="zh-CN" w:bidi="ar"/>
                    </w:rPr>
                    <w:t>7</w:t>
                  </w:r>
                </w:p>
              </w:tc>
              <w:tc>
                <w:tcPr>
                  <w:tcW w:w="453" w:type="dxa"/>
                  <w:tcBorders>
                    <w:tl2br w:val="nil"/>
                    <w:tr2bl w:val="nil"/>
                  </w:tcBorders>
                  <w:noWrap w:val="0"/>
                  <w:vAlign w:val="center"/>
                </w:tcPr>
                <w:p w14:paraId="6A9A96B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w:t>
                  </w:r>
                  <w:r>
                    <w:rPr>
                      <w:rFonts w:hint="eastAsia" w:cs="Times New Roman"/>
                      <w:i w:val="0"/>
                      <w:iCs w:val="0"/>
                      <w:color w:val="000000"/>
                      <w:kern w:val="0"/>
                      <w:sz w:val="21"/>
                      <w:szCs w:val="21"/>
                      <w:u w:val="none"/>
                      <w:lang w:val="en-US" w:eastAsia="zh-CN" w:bidi="ar"/>
                    </w:rPr>
                    <w:t>5</w:t>
                  </w:r>
                </w:p>
              </w:tc>
              <w:tc>
                <w:tcPr>
                  <w:tcW w:w="453" w:type="dxa"/>
                  <w:tcBorders>
                    <w:tl2br w:val="nil"/>
                    <w:tr2bl w:val="nil"/>
                  </w:tcBorders>
                  <w:noWrap w:val="0"/>
                  <w:vAlign w:val="center"/>
                </w:tcPr>
                <w:p w14:paraId="227E1E2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37.7</w:t>
                  </w:r>
                </w:p>
              </w:tc>
              <w:tc>
                <w:tcPr>
                  <w:tcW w:w="465" w:type="dxa"/>
                  <w:tcBorders>
                    <w:tl2br w:val="nil"/>
                    <w:tr2bl w:val="nil"/>
                  </w:tcBorders>
                  <w:noWrap w:val="0"/>
                  <w:vAlign w:val="center"/>
                </w:tcPr>
                <w:p w14:paraId="6C104ED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w:t>
                  </w:r>
                  <w:r>
                    <w:rPr>
                      <w:rFonts w:hint="eastAsia" w:cs="Times New Roman"/>
                      <w:i w:val="0"/>
                      <w:iCs w:val="0"/>
                      <w:color w:val="000000"/>
                      <w:kern w:val="0"/>
                      <w:sz w:val="21"/>
                      <w:szCs w:val="21"/>
                      <w:u w:val="none"/>
                      <w:lang w:val="en-US" w:eastAsia="zh-CN" w:bidi="ar"/>
                    </w:rPr>
                    <w:t>1</w:t>
                  </w:r>
                </w:p>
              </w:tc>
              <w:tc>
                <w:tcPr>
                  <w:tcW w:w="497" w:type="dxa"/>
                  <w:tcBorders>
                    <w:tl2br w:val="nil"/>
                    <w:tr2bl w:val="nil"/>
                  </w:tcBorders>
                  <w:noWrap w:val="0"/>
                  <w:vAlign w:val="center"/>
                </w:tcPr>
                <w:p w14:paraId="6F181E70">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1m</w:t>
                  </w:r>
                </w:p>
              </w:tc>
            </w:tr>
            <w:tr w14:paraId="4B5AB54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49" w:type="dxa"/>
                  <w:vMerge w:val="restart"/>
                  <w:tcBorders>
                    <w:tl2br w:val="nil"/>
                    <w:tr2bl w:val="nil"/>
                  </w:tcBorders>
                  <w:noWrap w:val="0"/>
                  <w:vAlign w:val="center"/>
                </w:tcPr>
                <w:p w14:paraId="30C289C7">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再生料预处理车间</w:t>
                  </w:r>
                </w:p>
              </w:tc>
              <w:tc>
                <w:tcPr>
                  <w:tcW w:w="999" w:type="dxa"/>
                  <w:tcBorders>
                    <w:tl2br w:val="nil"/>
                    <w:tr2bl w:val="nil"/>
                  </w:tcBorders>
                  <w:noWrap w:val="0"/>
                  <w:vAlign w:val="center"/>
                </w:tcPr>
                <w:p w14:paraId="1463AE6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鄂破机</w:t>
                  </w:r>
                </w:p>
              </w:tc>
              <w:tc>
                <w:tcPr>
                  <w:tcW w:w="285" w:type="dxa"/>
                  <w:vMerge w:val="continue"/>
                  <w:tcBorders>
                    <w:tl2br w:val="nil"/>
                    <w:tr2bl w:val="nil"/>
                  </w:tcBorders>
                  <w:noWrap w:val="0"/>
                  <w:vAlign w:val="center"/>
                </w:tcPr>
                <w:p w14:paraId="7BE8AC85">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p>
              </w:tc>
              <w:tc>
                <w:tcPr>
                  <w:tcW w:w="690" w:type="dxa"/>
                  <w:tcBorders>
                    <w:tl2br w:val="nil"/>
                    <w:tr2bl w:val="nil"/>
                  </w:tcBorders>
                  <w:noWrap w:val="0"/>
                  <w:vAlign w:val="center"/>
                </w:tcPr>
                <w:p w14:paraId="51920C7B">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106</w:t>
                  </w:r>
                </w:p>
              </w:tc>
              <w:tc>
                <w:tcPr>
                  <w:tcW w:w="1374" w:type="dxa"/>
                  <w:vMerge w:val="continue"/>
                  <w:tcBorders>
                    <w:tl2br w:val="nil"/>
                    <w:tr2bl w:val="nil"/>
                  </w:tcBorders>
                  <w:noWrap w:val="0"/>
                  <w:vAlign w:val="center"/>
                </w:tcPr>
                <w:p w14:paraId="7D2D3462">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p>
              </w:tc>
              <w:tc>
                <w:tcPr>
                  <w:tcW w:w="440" w:type="dxa"/>
                  <w:tcBorders>
                    <w:tl2br w:val="nil"/>
                    <w:tr2bl w:val="nil"/>
                  </w:tcBorders>
                  <w:noWrap w:val="0"/>
                  <w:vAlign w:val="center"/>
                </w:tcPr>
                <w:p w14:paraId="6150F943">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110</w:t>
                  </w:r>
                </w:p>
              </w:tc>
              <w:tc>
                <w:tcPr>
                  <w:tcW w:w="386" w:type="dxa"/>
                  <w:tcBorders>
                    <w:tl2br w:val="nil"/>
                    <w:tr2bl w:val="nil"/>
                  </w:tcBorders>
                  <w:noWrap w:val="0"/>
                  <w:vAlign w:val="center"/>
                </w:tcPr>
                <w:p w14:paraId="1C2D0F77">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73</w:t>
                  </w:r>
                </w:p>
              </w:tc>
              <w:tc>
                <w:tcPr>
                  <w:tcW w:w="440" w:type="dxa"/>
                  <w:tcBorders>
                    <w:tl2br w:val="nil"/>
                    <w:tr2bl w:val="nil"/>
                  </w:tcBorders>
                  <w:noWrap w:val="0"/>
                  <w:vAlign w:val="center"/>
                </w:tcPr>
                <w:p w14:paraId="09E47316">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c>
              <w:tc>
                <w:tcPr>
                  <w:tcW w:w="387" w:type="dxa"/>
                  <w:tcBorders>
                    <w:tl2br w:val="nil"/>
                    <w:tr2bl w:val="nil"/>
                  </w:tcBorders>
                  <w:noWrap w:val="0"/>
                  <w:vAlign w:val="center"/>
                </w:tcPr>
                <w:p w14:paraId="31E8FB4E">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w:t>
                  </w:r>
                </w:p>
              </w:tc>
              <w:tc>
                <w:tcPr>
                  <w:tcW w:w="467" w:type="dxa"/>
                  <w:tcBorders>
                    <w:tl2br w:val="nil"/>
                    <w:tr2bl w:val="nil"/>
                  </w:tcBorders>
                  <w:noWrap w:val="0"/>
                  <w:vAlign w:val="center"/>
                </w:tcPr>
                <w:p w14:paraId="5104A1F5">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w:t>
                  </w:r>
                </w:p>
              </w:tc>
              <w:tc>
                <w:tcPr>
                  <w:tcW w:w="440" w:type="dxa"/>
                  <w:tcBorders>
                    <w:tl2br w:val="nil"/>
                    <w:tr2bl w:val="nil"/>
                  </w:tcBorders>
                  <w:noWrap w:val="0"/>
                  <w:vAlign w:val="center"/>
                </w:tcPr>
                <w:p w14:paraId="4469D353">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39</w:t>
                  </w:r>
                </w:p>
              </w:tc>
              <w:tc>
                <w:tcPr>
                  <w:tcW w:w="386" w:type="dxa"/>
                  <w:tcBorders>
                    <w:tl2br w:val="nil"/>
                    <w:tr2bl w:val="nil"/>
                  </w:tcBorders>
                  <w:noWrap w:val="0"/>
                  <w:vAlign w:val="center"/>
                </w:tcPr>
                <w:p w14:paraId="29E3D6A9">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413" w:type="dxa"/>
                  <w:tcBorders>
                    <w:tl2br w:val="nil"/>
                    <w:tr2bl w:val="nil"/>
                  </w:tcBorders>
                  <w:noWrap w:val="0"/>
                  <w:vAlign w:val="center"/>
                </w:tcPr>
                <w:p w14:paraId="47D8D00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87.5</w:t>
                  </w:r>
                </w:p>
              </w:tc>
              <w:tc>
                <w:tcPr>
                  <w:tcW w:w="440" w:type="dxa"/>
                  <w:tcBorders>
                    <w:tl2br w:val="nil"/>
                    <w:tr2bl w:val="nil"/>
                  </w:tcBorders>
                  <w:noWrap w:val="0"/>
                  <w:vAlign w:val="center"/>
                </w:tcPr>
                <w:p w14:paraId="482A007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87.</w:t>
                  </w:r>
                  <w:r>
                    <w:rPr>
                      <w:rFonts w:hint="eastAsia" w:cs="Times New Roman"/>
                      <w:i w:val="0"/>
                      <w:iCs w:val="0"/>
                      <w:color w:val="000000"/>
                      <w:kern w:val="0"/>
                      <w:sz w:val="21"/>
                      <w:szCs w:val="21"/>
                      <w:u w:val="none"/>
                      <w:lang w:val="en-US" w:eastAsia="zh-CN" w:bidi="ar"/>
                    </w:rPr>
                    <w:t>6</w:t>
                  </w:r>
                </w:p>
              </w:tc>
              <w:tc>
                <w:tcPr>
                  <w:tcW w:w="440" w:type="dxa"/>
                  <w:tcBorders>
                    <w:tl2br w:val="nil"/>
                    <w:tr2bl w:val="nil"/>
                  </w:tcBorders>
                  <w:noWrap w:val="0"/>
                  <w:vAlign w:val="center"/>
                </w:tcPr>
                <w:p w14:paraId="0371C68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87.</w:t>
                  </w:r>
                  <w:r>
                    <w:rPr>
                      <w:rFonts w:hint="eastAsia" w:cs="Times New Roman"/>
                      <w:i w:val="0"/>
                      <w:iCs w:val="0"/>
                      <w:color w:val="000000"/>
                      <w:kern w:val="0"/>
                      <w:sz w:val="21"/>
                      <w:szCs w:val="21"/>
                      <w:u w:val="none"/>
                      <w:lang w:val="en-US" w:eastAsia="zh-CN" w:bidi="ar"/>
                    </w:rPr>
                    <w:t>4</w:t>
                  </w:r>
                </w:p>
              </w:tc>
              <w:tc>
                <w:tcPr>
                  <w:tcW w:w="507" w:type="dxa"/>
                  <w:tcBorders>
                    <w:tl2br w:val="nil"/>
                    <w:tr2bl w:val="nil"/>
                  </w:tcBorders>
                  <w:noWrap w:val="0"/>
                  <w:vAlign w:val="center"/>
                </w:tcPr>
                <w:p w14:paraId="0900B5D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88.</w:t>
                  </w:r>
                  <w:r>
                    <w:rPr>
                      <w:rFonts w:hint="eastAsia" w:cs="Times New Roman"/>
                      <w:i w:val="0"/>
                      <w:iCs w:val="0"/>
                      <w:color w:val="000000"/>
                      <w:kern w:val="0"/>
                      <w:sz w:val="21"/>
                      <w:szCs w:val="21"/>
                      <w:u w:val="none"/>
                      <w:lang w:val="en-US" w:eastAsia="zh-CN" w:bidi="ar"/>
                    </w:rPr>
                    <w:t>3</w:t>
                  </w:r>
                </w:p>
              </w:tc>
              <w:tc>
                <w:tcPr>
                  <w:tcW w:w="440" w:type="dxa"/>
                  <w:vMerge w:val="continue"/>
                  <w:tcBorders>
                    <w:tl2br w:val="nil"/>
                    <w:tr2bl w:val="nil"/>
                  </w:tcBorders>
                  <w:noWrap w:val="0"/>
                  <w:vAlign w:val="center"/>
                </w:tcPr>
                <w:p w14:paraId="28EFD869">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bCs/>
                      <w:color w:val="auto"/>
                      <w:sz w:val="21"/>
                      <w:szCs w:val="21"/>
                    </w:rPr>
                  </w:pPr>
                </w:p>
              </w:tc>
              <w:tc>
                <w:tcPr>
                  <w:tcW w:w="440" w:type="dxa"/>
                  <w:tcBorders>
                    <w:tl2br w:val="nil"/>
                    <w:tr2bl w:val="nil"/>
                  </w:tcBorders>
                  <w:noWrap w:val="0"/>
                  <w:vAlign w:val="center"/>
                </w:tcPr>
                <w:p w14:paraId="728FD98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426" w:type="dxa"/>
                  <w:tcBorders>
                    <w:tl2br w:val="nil"/>
                    <w:tr2bl w:val="nil"/>
                  </w:tcBorders>
                  <w:noWrap w:val="0"/>
                  <w:vAlign w:val="center"/>
                </w:tcPr>
                <w:p w14:paraId="378CE99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440" w:type="dxa"/>
                  <w:tcBorders>
                    <w:tl2br w:val="nil"/>
                    <w:tr2bl w:val="nil"/>
                  </w:tcBorders>
                  <w:noWrap w:val="0"/>
                  <w:vAlign w:val="center"/>
                </w:tcPr>
                <w:p w14:paraId="3076CD2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30.8</w:t>
                  </w:r>
                </w:p>
              </w:tc>
              <w:tc>
                <w:tcPr>
                  <w:tcW w:w="452" w:type="dxa"/>
                  <w:tcBorders>
                    <w:tl2br w:val="nil"/>
                    <w:tr2bl w:val="nil"/>
                  </w:tcBorders>
                  <w:noWrap w:val="0"/>
                  <w:vAlign w:val="center"/>
                </w:tcPr>
                <w:p w14:paraId="18A099D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482" w:type="dxa"/>
                  <w:tcBorders>
                    <w:tl2br w:val="nil"/>
                    <w:tr2bl w:val="nil"/>
                  </w:tcBorders>
                  <w:noWrap w:val="0"/>
                  <w:vAlign w:val="center"/>
                </w:tcPr>
                <w:p w14:paraId="30F5495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56.3</w:t>
                  </w:r>
                </w:p>
              </w:tc>
              <w:tc>
                <w:tcPr>
                  <w:tcW w:w="453" w:type="dxa"/>
                  <w:tcBorders>
                    <w:tl2br w:val="nil"/>
                    <w:tr2bl w:val="nil"/>
                  </w:tcBorders>
                  <w:noWrap w:val="0"/>
                  <w:vAlign w:val="center"/>
                </w:tcPr>
                <w:p w14:paraId="0AA079C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56.</w:t>
                  </w:r>
                  <w:r>
                    <w:rPr>
                      <w:rFonts w:hint="eastAsia" w:cs="Times New Roman"/>
                      <w:i w:val="0"/>
                      <w:iCs w:val="0"/>
                      <w:color w:val="000000"/>
                      <w:kern w:val="0"/>
                      <w:sz w:val="21"/>
                      <w:szCs w:val="21"/>
                      <w:u w:val="none"/>
                      <w:lang w:val="en-US" w:eastAsia="zh-CN" w:bidi="ar"/>
                    </w:rPr>
                    <w:t>4</w:t>
                  </w:r>
                </w:p>
              </w:tc>
              <w:tc>
                <w:tcPr>
                  <w:tcW w:w="453" w:type="dxa"/>
                  <w:tcBorders>
                    <w:tl2br w:val="nil"/>
                    <w:tr2bl w:val="nil"/>
                  </w:tcBorders>
                  <w:noWrap w:val="0"/>
                  <w:vAlign w:val="center"/>
                </w:tcPr>
                <w:p w14:paraId="708C7BC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56.</w:t>
                  </w:r>
                  <w:r>
                    <w:rPr>
                      <w:rFonts w:hint="eastAsia" w:cs="Times New Roman"/>
                      <w:i w:val="0"/>
                      <w:iCs w:val="0"/>
                      <w:color w:val="000000"/>
                      <w:kern w:val="0"/>
                      <w:sz w:val="21"/>
                      <w:szCs w:val="21"/>
                      <w:u w:val="none"/>
                      <w:lang w:val="en-US" w:eastAsia="zh-CN" w:bidi="ar"/>
                    </w:rPr>
                    <w:t>6</w:t>
                  </w:r>
                </w:p>
              </w:tc>
              <w:tc>
                <w:tcPr>
                  <w:tcW w:w="465" w:type="dxa"/>
                  <w:tcBorders>
                    <w:tl2br w:val="nil"/>
                    <w:tr2bl w:val="nil"/>
                  </w:tcBorders>
                  <w:noWrap w:val="0"/>
                  <w:vAlign w:val="center"/>
                </w:tcPr>
                <w:p w14:paraId="138AD2F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57.</w:t>
                  </w:r>
                  <w:r>
                    <w:rPr>
                      <w:rFonts w:hint="eastAsia" w:cs="Times New Roman"/>
                      <w:i w:val="0"/>
                      <w:iCs w:val="0"/>
                      <w:color w:val="000000"/>
                      <w:kern w:val="0"/>
                      <w:sz w:val="21"/>
                      <w:szCs w:val="21"/>
                      <w:u w:val="none"/>
                      <w:lang w:val="en-US" w:eastAsia="zh-CN" w:bidi="ar"/>
                    </w:rPr>
                    <w:t>1</w:t>
                  </w:r>
                </w:p>
              </w:tc>
              <w:tc>
                <w:tcPr>
                  <w:tcW w:w="497" w:type="dxa"/>
                  <w:tcBorders>
                    <w:tl2br w:val="nil"/>
                    <w:tr2bl w:val="nil"/>
                  </w:tcBorders>
                  <w:noWrap w:val="0"/>
                  <w:vAlign w:val="center"/>
                </w:tcPr>
                <w:p w14:paraId="3894E758">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1m</w:t>
                  </w:r>
                </w:p>
              </w:tc>
            </w:tr>
            <w:tr w14:paraId="5732F54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49" w:type="dxa"/>
                  <w:vMerge w:val="continue"/>
                  <w:tcBorders>
                    <w:tl2br w:val="nil"/>
                    <w:tr2bl w:val="nil"/>
                  </w:tcBorders>
                  <w:noWrap w:val="0"/>
                  <w:vAlign w:val="center"/>
                </w:tcPr>
                <w:p w14:paraId="481DC8DB">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p>
              </w:tc>
              <w:tc>
                <w:tcPr>
                  <w:tcW w:w="999" w:type="dxa"/>
                  <w:tcBorders>
                    <w:tl2br w:val="nil"/>
                    <w:tr2bl w:val="nil"/>
                  </w:tcBorders>
                  <w:noWrap w:val="0"/>
                  <w:vAlign w:val="center"/>
                </w:tcPr>
                <w:p w14:paraId="795BEC1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振动筛</w:t>
                  </w:r>
                </w:p>
              </w:tc>
              <w:tc>
                <w:tcPr>
                  <w:tcW w:w="285" w:type="dxa"/>
                  <w:vMerge w:val="continue"/>
                  <w:tcBorders>
                    <w:tl2br w:val="nil"/>
                    <w:tr2bl w:val="nil"/>
                  </w:tcBorders>
                  <w:noWrap w:val="0"/>
                  <w:vAlign w:val="center"/>
                </w:tcPr>
                <w:p w14:paraId="1E0E1DEB">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p>
              </w:tc>
              <w:tc>
                <w:tcPr>
                  <w:tcW w:w="690" w:type="dxa"/>
                  <w:tcBorders>
                    <w:tl2br w:val="nil"/>
                    <w:tr2bl w:val="nil"/>
                  </w:tcBorders>
                  <w:noWrap w:val="0"/>
                  <w:vAlign w:val="center"/>
                </w:tcPr>
                <w:p w14:paraId="5028648E">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103</w:t>
                  </w:r>
                </w:p>
              </w:tc>
              <w:tc>
                <w:tcPr>
                  <w:tcW w:w="1374" w:type="dxa"/>
                  <w:vMerge w:val="continue"/>
                  <w:tcBorders>
                    <w:tl2br w:val="nil"/>
                    <w:tr2bl w:val="nil"/>
                  </w:tcBorders>
                  <w:noWrap w:val="0"/>
                  <w:vAlign w:val="center"/>
                </w:tcPr>
                <w:p w14:paraId="4214FFC9">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p>
              </w:tc>
              <w:tc>
                <w:tcPr>
                  <w:tcW w:w="440" w:type="dxa"/>
                  <w:tcBorders>
                    <w:tl2br w:val="nil"/>
                    <w:tr2bl w:val="nil"/>
                  </w:tcBorders>
                  <w:noWrap w:val="0"/>
                  <w:vAlign w:val="center"/>
                </w:tcPr>
                <w:p w14:paraId="1834190D">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104</w:t>
                  </w:r>
                </w:p>
              </w:tc>
              <w:tc>
                <w:tcPr>
                  <w:tcW w:w="386" w:type="dxa"/>
                  <w:tcBorders>
                    <w:tl2br w:val="nil"/>
                    <w:tr2bl w:val="nil"/>
                  </w:tcBorders>
                  <w:noWrap w:val="0"/>
                  <w:vAlign w:val="center"/>
                </w:tcPr>
                <w:p w14:paraId="357A76B0">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70</w:t>
                  </w:r>
                </w:p>
              </w:tc>
              <w:tc>
                <w:tcPr>
                  <w:tcW w:w="440" w:type="dxa"/>
                  <w:tcBorders>
                    <w:tl2br w:val="nil"/>
                    <w:tr2bl w:val="nil"/>
                  </w:tcBorders>
                  <w:noWrap w:val="0"/>
                  <w:vAlign w:val="center"/>
                </w:tcPr>
                <w:p w14:paraId="182DDAF1">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b w:val="0"/>
                      <w:bCs w:val="0"/>
                      <w:color w:val="auto"/>
                      <w:sz w:val="21"/>
                      <w:szCs w:val="21"/>
                      <w:lang w:val="en-US" w:eastAsia="zh-CN"/>
                    </w:rPr>
                    <w:t>1.2</w:t>
                  </w:r>
                </w:p>
              </w:tc>
              <w:tc>
                <w:tcPr>
                  <w:tcW w:w="387" w:type="dxa"/>
                  <w:tcBorders>
                    <w:tl2br w:val="nil"/>
                    <w:tr2bl w:val="nil"/>
                  </w:tcBorders>
                  <w:noWrap w:val="0"/>
                  <w:vAlign w:val="center"/>
                </w:tcPr>
                <w:p w14:paraId="57D12E8B">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22</w:t>
                  </w:r>
                </w:p>
              </w:tc>
              <w:tc>
                <w:tcPr>
                  <w:tcW w:w="467" w:type="dxa"/>
                  <w:tcBorders>
                    <w:tl2br w:val="nil"/>
                    <w:tr2bl w:val="nil"/>
                  </w:tcBorders>
                  <w:noWrap w:val="0"/>
                  <w:vAlign w:val="center"/>
                </w:tcPr>
                <w:p w14:paraId="1D7A05C8">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w:t>
                  </w:r>
                </w:p>
              </w:tc>
              <w:tc>
                <w:tcPr>
                  <w:tcW w:w="440" w:type="dxa"/>
                  <w:tcBorders>
                    <w:tl2br w:val="nil"/>
                    <w:tr2bl w:val="nil"/>
                  </w:tcBorders>
                  <w:noWrap w:val="0"/>
                  <w:vAlign w:val="center"/>
                </w:tcPr>
                <w:p w14:paraId="5BCD2933">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21</w:t>
                  </w:r>
                </w:p>
              </w:tc>
              <w:tc>
                <w:tcPr>
                  <w:tcW w:w="386" w:type="dxa"/>
                  <w:tcBorders>
                    <w:tl2br w:val="nil"/>
                    <w:tr2bl w:val="nil"/>
                  </w:tcBorders>
                  <w:noWrap w:val="0"/>
                  <w:vAlign w:val="center"/>
                </w:tcPr>
                <w:p w14:paraId="589F8CAF">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413" w:type="dxa"/>
                  <w:tcBorders>
                    <w:tl2br w:val="nil"/>
                    <w:tr2bl w:val="nil"/>
                  </w:tcBorders>
                  <w:noWrap w:val="0"/>
                  <w:vAlign w:val="center"/>
                </w:tcPr>
                <w:p w14:paraId="5B3F615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84.4</w:t>
                  </w:r>
                </w:p>
              </w:tc>
              <w:tc>
                <w:tcPr>
                  <w:tcW w:w="440" w:type="dxa"/>
                  <w:tcBorders>
                    <w:tl2br w:val="nil"/>
                    <w:tr2bl w:val="nil"/>
                  </w:tcBorders>
                  <w:noWrap w:val="0"/>
                  <w:vAlign w:val="center"/>
                </w:tcPr>
                <w:p w14:paraId="27F9FF4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84.</w:t>
                  </w:r>
                  <w:r>
                    <w:rPr>
                      <w:rFonts w:hint="eastAsia" w:cs="Times New Roman"/>
                      <w:i w:val="0"/>
                      <w:iCs w:val="0"/>
                      <w:color w:val="000000"/>
                      <w:kern w:val="0"/>
                      <w:sz w:val="21"/>
                      <w:szCs w:val="21"/>
                      <w:u w:val="none"/>
                      <w:lang w:val="en-US" w:eastAsia="zh-CN" w:bidi="ar"/>
                    </w:rPr>
                    <w:t>6</w:t>
                  </w:r>
                </w:p>
              </w:tc>
              <w:tc>
                <w:tcPr>
                  <w:tcW w:w="440" w:type="dxa"/>
                  <w:tcBorders>
                    <w:tl2br w:val="nil"/>
                    <w:tr2bl w:val="nil"/>
                  </w:tcBorders>
                  <w:noWrap w:val="0"/>
                  <w:vAlign w:val="center"/>
                </w:tcPr>
                <w:p w14:paraId="40DA960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84.</w:t>
                  </w:r>
                  <w:r>
                    <w:rPr>
                      <w:rFonts w:hint="eastAsia" w:cs="Times New Roman"/>
                      <w:i w:val="0"/>
                      <w:iCs w:val="0"/>
                      <w:color w:val="000000"/>
                      <w:kern w:val="0"/>
                      <w:sz w:val="21"/>
                      <w:szCs w:val="21"/>
                      <w:u w:val="none"/>
                      <w:lang w:val="en-US" w:eastAsia="zh-CN" w:bidi="ar"/>
                    </w:rPr>
                    <w:t>4</w:t>
                  </w:r>
                </w:p>
              </w:tc>
              <w:tc>
                <w:tcPr>
                  <w:tcW w:w="507" w:type="dxa"/>
                  <w:tcBorders>
                    <w:tl2br w:val="nil"/>
                    <w:tr2bl w:val="nil"/>
                  </w:tcBorders>
                  <w:noWrap w:val="0"/>
                  <w:vAlign w:val="center"/>
                </w:tcPr>
                <w:p w14:paraId="4BC9B20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85.</w:t>
                  </w:r>
                  <w:r>
                    <w:rPr>
                      <w:rFonts w:hint="eastAsia" w:cs="Times New Roman"/>
                      <w:i w:val="0"/>
                      <w:iCs w:val="0"/>
                      <w:color w:val="000000"/>
                      <w:kern w:val="0"/>
                      <w:sz w:val="21"/>
                      <w:szCs w:val="21"/>
                      <w:u w:val="none"/>
                      <w:lang w:val="en-US" w:eastAsia="zh-CN" w:bidi="ar"/>
                    </w:rPr>
                    <w:t>7</w:t>
                  </w:r>
                </w:p>
              </w:tc>
              <w:tc>
                <w:tcPr>
                  <w:tcW w:w="440" w:type="dxa"/>
                  <w:vMerge w:val="continue"/>
                  <w:tcBorders>
                    <w:tl2br w:val="nil"/>
                    <w:tr2bl w:val="nil"/>
                  </w:tcBorders>
                  <w:noWrap w:val="0"/>
                  <w:vAlign w:val="center"/>
                </w:tcPr>
                <w:p w14:paraId="7934C5C4">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bCs/>
                      <w:color w:val="auto"/>
                      <w:sz w:val="21"/>
                      <w:szCs w:val="21"/>
                    </w:rPr>
                  </w:pPr>
                </w:p>
              </w:tc>
              <w:tc>
                <w:tcPr>
                  <w:tcW w:w="440" w:type="dxa"/>
                  <w:tcBorders>
                    <w:tl2br w:val="nil"/>
                    <w:tr2bl w:val="nil"/>
                  </w:tcBorders>
                  <w:noWrap w:val="0"/>
                  <w:vAlign w:val="center"/>
                </w:tcPr>
                <w:p w14:paraId="33B17AE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426" w:type="dxa"/>
                  <w:tcBorders>
                    <w:tl2br w:val="nil"/>
                    <w:tr2bl w:val="nil"/>
                  </w:tcBorders>
                  <w:noWrap w:val="0"/>
                  <w:vAlign w:val="center"/>
                </w:tcPr>
                <w:p w14:paraId="1800AF3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440" w:type="dxa"/>
                  <w:tcBorders>
                    <w:tl2br w:val="nil"/>
                    <w:tr2bl w:val="nil"/>
                  </w:tcBorders>
                  <w:noWrap w:val="0"/>
                  <w:vAlign w:val="center"/>
                </w:tcPr>
                <w:p w14:paraId="76B86B4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30.8</w:t>
                  </w:r>
                </w:p>
              </w:tc>
              <w:tc>
                <w:tcPr>
                  <w:tcW w:w="452" w:type="dxa"/>
                  <w:tcBorders>
                    <w:tl2br w:val="nil"/>
                    <w:tr2bl w:val="nil"/>
                  </w:tcBorders>
                  <w:noWrap w:val="0"/>
                  <w:vAlign w:val="center"/>
                </w:tcPr>
                <w:p w14:paraId="0126A33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482" w:type="dxa"/>
                  <w:tcBorders>
                    <w:tl2br w:val="nil"/>
                    <w:tr2bl w:val="nil"/>
                  </w:tcBorders>
                  <w:noWrap w:val="0"/>
                  <w:vAlign w:val="center"/>
                </w:tcPr>
                <w:p w14:paraId="560A6E2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53.2</w:t>
                  </w:r>
                </w:p>
              </w:tc>
              <w:tc>
                <w:tcPr>
                  <w:tcW w:w="453" w:type="dxa"/>
                  <w:tcBorders>
                    <w:tl2br w:val="nil"/>
                    <w:tr2bl w:val="nil"/>
                  </w:tcBorders>
                  <w:noWrap w:val="0"/>
                  <w:vAlign w:val="center"/>
                </w:tcPr>
                <w:p w14:paraId="0E83525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53.</w:t>
                  </w:r>
                  <w:r>
                    <w:rPr>
                      <w:rFonts w:hint="eastAsia" w:cs="Times New Roman"/>
                      <w:i w:val="0"/>
                      <w:iCs w:val="0"/>
                      <w:color w:val="000000"/>
                      <w:kern w:val="0"/>
                      <w:sz w:val="21"/>
                      <w:szCs w:val="21"/>
                      <w:u w:val="none"/>
                      <w:lang w:val="en-US" w:eastAsia="zh-CN" w:bidi="ar"/>
                    </w:rPr>
                    <w:t>4</w:t>
                  </w:r>
                </w:p>
              </w:tc>
              <w:tc>
                <w:tcPr>
                  <w:tcW w:w="453" w:type="dxa"/>
                  <w:tcBorders>
                    <w:tl2br w:val="nil"/>
                    <w:tr2bl w:val="nil"/>
                  </w:tcBorders>
                  <w:noWrap w:val="0"/>
                  <w:vAlign w:val="center"/>
                </w:tcPr>
                <w:p w14:paraId="6011005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53.6</w:t>
                  </w:r>
                </w:p>
              </w:tc>
              <w:tc>
                <w:tcPr>
                  <w:tcW w:w="465" w:type="dxa"/>
                  <w:tcBorders>
                    <w:tl2br w:val="nil"/>
                    <w:tr2bl w:val="nil"/>
                  </w:tcBorders>
                  <w:noWrap w:val="0"/>
                  <w:vAlign w:val="center"/>
                </w:tcPr>
                <w:p w14:paraId="7F09FB2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54.5</w:t>
                  </w:r>
                </w:p>
              </w:tc>
              <w:tc>
                <w:tcPr>
                  <w:tcW w:w="497" w:type="dxa"/>
                  <w:tcBorders>
                    <w:tl2br w:val="nil"/>
                    <w:tr2bl w:val="nil"/>
                  </w:tcBorders>
                  <w:noWrap w:val="0"/>
                  <w:vAlign w:val="center"/>
                </w:tcPr>
                <w:p w14:paraId="68E080B5">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1m</w:t>
                  </w:r>
                </w:p>
              </w:tc>
            </w:tr>
            <w:tr w14:paraId="1B7E01C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49" w:type="dxa"/>
                  <w:vMerge w:val="continue"/>
                  <w:tcBorders>
                    <w:tl2br w:val="nil"/>
                    <w:tr2bl w:val="nil"/>
                  </w:tcBorders>
                  <w:noWrap w:val="0"/>
                  <w:vAlign w:val="center"/>
                </w:tcPr>
                <w:p w14:paraId="09AE1016">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rPr>
                  </w:pPr>
                </w:p>
              </w:tc>
              <w:tc>
                <w:tcPr>
                  <w:tcW w:w="999" w:type="dxa"/>
                  <w:tcBorders>
                    <w:tl2br w:val="nil"/>
                    <w:tr2bl w:val="nil"/>
                  </w:tcBorders>
                  <w:noWrap w:val="0"/>
                  <w:vAlign w:val="center"/>
                </w:tcPr>
                <w:p w14:paraId="647648C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5#风机</w:t>
                  </w:r>
                </w:p>
              </w:tc>
              <w:tc>
                <w:tcPr>
                  <w:tcW w:w="285" w:type="dxa"/>
                  <w:vMerge w:val="continue"/>
                  <w:tcBorders>
                    <w:tl2br w:val="nil"/>
                    <w:tr2bl w:val="nil"/>
                  </w:tcBorders>
                  <w:noWrap w:val="0"/>
                  <w:vAlign w:val="center"/>
                </w:tcPr>
                <w:p w14:paraId="14DCD92F">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p>
              </w:tc>
              <w:tc>
                <w:tcPr>
                  <w:tcW w:w="690" w:type="dxa"/>
                  <w:tcBorders>
                    <w:tl2br w:val="nil"/>
                    <w:tr2bl w:val="nil"/>
                  </w:tcBorders>
                  <w:noWrap w:val="0"/>
                  <w:vAlign w:val="center"/>
                </w:tcPr>
                <w:p w14:paraId="4AA4B8B0">
                  <w:pPr>
                    <w:keepNext w:val="0"/>
                    <w:keepLines w:val="0"/>
                    <w:pageBreakBefore w:val="0"/>
                    <w:widowControl w:val="0"/>
                    <w:kinsoku/>
                    <w:wordWrap/>
                    <w:overflowPunct/>
                    <w:topLinePunct w:val="0"/>
                    <w:bidi w:val="0"/>
                    <w:adjustRightInd w:val="0"/>
                    <w:snapToGrid w:val="0"/>
                    <w:spacing w:line="240" w:lineRule="exact"/>
                    <w:jc w:val="center"/>
                    <w:rPr>
                      <w:rFonts w:hint="eastAsia" w:ascii="Times New Roman" w:hAnsi="Times New Roman" w:eastAsia="宋体" w:cs="Times New Roman"/>
                      <w:sz w:val="21"/>
                      <w:szCs w:val="21"/>
                      <w:lang w:val="en-US" w:eastAsia="zh-CN"/>
                    </w:rPr>
                  </w:pPr>
                  <w:r>
                    <w:rPr>
                      <w:rFonts w:hint="eastAsia" w:cs="Times New Roman"/>
                      <w:bCs/>
                      <w:color w:val="auto"/>
                      <w:sz w:val="21"/>
                      <w:szCs w:val="21"/>
                      <w:lang w:val="en-US" w:eastAsia="zh-CN"/>
                    </w:rPr>
                    <w:t>87.5</w:t>
                  </w:r>
                </w:p>
              </w:tc>
              <w:tc>
                <w:tcPr>
                  <w:tcW w:w="1374" w:type="dxa"/>
                  <w:vMerge w:val="continue"/>
                  <w:tcBorders>
                    <w:tl2br w:val="nil"/>
                    <w:tr2bl w:val="nil"/>
                  </w:tcBorders>
                  <w:noWrap w:val="0"/>
                  <w:vAlign w:val="center"/>
                </w:tcPr>
                <w:p w14:paraId="32262E33">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p>
              </w:tc>
              <w:tc>
                <w:tcPr>
                  <w:tcW w:w="440" w:type="dxa"/>
                  <w:tcBorders>
                    <w:tl2br w:val="nil"/>
                    <w:tr2bl w:val="nil"/>
                  </w:tcBorders>
                  <w:noWrap w:val="0"/>
                  <w:vAlign w:val="center"/>
                </w:tcPr>
                <w:p w14:paraId="0AB1C77A">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115</w:t>
                  </w:r>
                </w:p>
              </w:tc>
              <w:tc>
                <w:tcPr>
                  <w:tcW w:w="386" w:type="dxa"/>
                  <w:tcBorders>
                    <w:tl2br w:val="nil"/>
                    <w:tr2bl w:val="nil"/>
                  </w:tcBorders>
                  <w:noWrap w:val="0"/>
                  <w:vAlign w:val="center"/>
                </w:tcPr>
                <w:p w14:paraId="3A595C86">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76</w:t>
                  </w:r>
                </w:p>
              </w:tc>
              <w:tc>
                <w:tcPr>
                  <w:tcW w:w="440" w:type="dxa"/>
                  <w:tcBorders>
                    <w:tl2br w:val="nil"/>
                    <w:tr2bl w:val="nil"/>
                  </w:tcBorders>
                  <w:noWrap w:val="0"/>
                  <w:vAlign w:val="center"/>
                </w:tcPr>
                <w:p w14:paraId="04EC6225">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1.2</w:t>
                  </w:r>
                </w:p>
              </w:tc>
              <w:tc>
                <w:tcPr>
                  <w:tcW w:w="387" w:type="dxa"/>
                  <w:tcBorders>
                    <w:tl2br w:val="nil"/>
                    <w:tr2bl w:val="nil"/>
                  </w:tcBorders>
                  <w:noWrap w:val="0"/>
                  <w:vAlign w:val="center"/>
                </w:tcPr>
                <w:p w14:paraId="207F2128">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c>
                <w:tcPr>
                  <w:tcW w:w="467" w:type="dxa"/>
                  <w:tcBorders>
                    <w:tl2br w:val="nil"/>
                    <w:tr2bl w:val="nil"/>
                  </w:tcBorders>
                  <w:noWrap w:val="0"/>
                  <w:vAlign w:val="center"/>
                </w:tcPr>
                <w:p w14:paraId="3C9342AE">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w:t>
                  </w:r>
                </w:p>
              </w:tc>
              <w:tc>
                <w:tcPr>
                  <w:tcW w:w="440" w:type="dxa"/>
                  <w:tcBorders>
                    <w:tl2br w:val="nil"/>
                    <w:tr2bl w:val="nil"/>
                  </w:tcBorders>
                  <w:noWrap w:val="0"/>
                  <w:vAlign w:val="center"/>
                </w:tcPr>
                <w:p w14:paraId="6D9CB435">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w:t>
                  </w:r>
                </w:p>
              </w:tc>
              <w:tc>
                <w:tcPr>
                  <w:tcW w:w="386" w:type="dxa"/>
                  <w:tcBorders>
                    <w:tl2br w:val="nil"/>
                    <w:tr2bl w:val="nil"/>
                  </w:tcBorders>
                  <w:noWrap w:val="0"/>
                  <w:vAlign w:val="center"/>
                </w:tcPr>
                <w:p w14:paraId="275DA7FB">
                  <w:pPr>
                    <w:pStyle w:val="78"/>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413" w:type="dxa"/>
                  <w:tcBorders>
                    <w:tl2br w:val="nil"/>
                    <w:tr2bl w:val="nil"/>
                  </w:tcBorders>
                  <w:noWrap w:val="0"/>
                  <w:vAlign w:val="center"/>
                </w:tcPr>
                <w:p w14:paraId="19C28D2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69.</w:t>
                  </w:r>
                  <w:r>
                    <w:rPr>
                      <w:rFonts w:hint="eastAsia" w:cs="Times New Roman"/>
                      <w:i w:val="0"/>
                      <w:iCs w:val="0"/>
                      <w:color w:val="000000"/>
                      <w:kern w:val="0"/>
                      <w:sz w:val="21"/>
                      <w:szCs w:val="21"/>
                      <w:u w:val="none"/>
                      <w:lang w:val="en-US" w:eastAsia="zh-CN" w:bidi="ar"/>
                    </w:rPr>
                    <w:t>3</w:t>
                  </w:r>
                </w:p>
              </w:tc>
              <w:tc>
                <w:tcPr>
                  <w:tcW w:w="440" w:type="dxa"/>
                  <w:tcBorders>
                    <w:tl2br w:val="nil"/>
                    <w:tr2bl w:val="nil"/>
                  </w:tcBorders>
                  <w:noWrap w:val="0"/>
                  <w:vAlign w:val="center"/>
                </w:tcPr>
                <w:p w14:paraId="3600B42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69.</w:t>
                  </w:r>
                  <w:r>
                    <w:rPr>
                      <w:rFonts w:hint="eastAsia" w:cs="Times New Roman"/>
                      <w:i w:val="0"/>
                      <w:iCs w:val="0"/>
                      <w:color w:val="000000"/>
                      <w:kern w:val="0"/>
                      <w:sz w:val="21"/>
                      <w:szCs w:val="21"/>
                      <w:u w:val="none"/>
                      <w:lang w:val="en-US" w:eastAsia="zh-CN" w:bidi="ar"/>
                    </w:rPr>
                    <w:t>1</w:t>
                  </w:r>
                </w:p>
              </w:tc>
              <w:tc>
                <w:tcPr>
                  <w:tcW w:w="440" w:type="dxa"/>
                  <w:tcBorders>
                    <w:tl2br w:val="nil"/>
                    <w:tr2bl w:val="nil"/>
                  </w:tcBorders>
                  <w:noWrap w:val="0"/>
                  <w:vAlign w:val="center"/>
                </w:tcPr>
                <w:p w14:paraId="31DA376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68.</w:t>
                  </w:r>
                  <w:r>
                    <w:rPr>
                      <w:rFonts w:hint="eastAsia" w:cs="Times New Roman"/>
                      <w:i w:val="0"/>
                      <w:iCs w:val="0"/>
                      <w:color w:val="000000"/>
                      <w:kern w:val="0"/>
                      <w:sz w:val="21"/>
                      <w:szCs w:val="21"/>
                      <w:u w:val="none"/>
                      <w:lang w:val="en-US" w:eastAsia="zh-CN" w:bidi="ar"/>
                    </w:rPr>
                    <w:t>9</w:t>
                  </w:r>
                </w:p>
              </w:tc>
              <w:tc>
                <w:tcPr>
                  <w:tcW w:w="507" w:type="dxa"/>
                  <w:tcBorders>
                    <w:tl2br w:val="nil"/>
                    <w:tr2bl w:val="nil"/>
                  </w:tcBorders>
                  <w:noWrap w:val="0"/>
                  <w:vAlign w:val="center"/>
                </w:tcPr>
                <w:p w14:paraId="7C9ED8E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70.2</w:t>
                  </w:r>
                </w:p>
              </w:tc>
              <w:tc>
                <w:tcPr>
                  <w:tcW w:w="440" w:type="dxa"/>
                  <w:vMerge w:val="continue"/>
                  <w:tcBorders>
                    <w:tl2br w:val="nil"/>
                    <w:tr2bl w:val="nil"/>
                  </w:tcBorders>
                  <w:noWrap w:val="0"/>
                  <w:vAlign w:val="center"/>
                </w:tcPr>
                <w:p w14:paraId="5CCC47BB">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bCs/>
                      <w:color w:val="auto"/>
                      <w:sz w:val="21"/>
                      <w:szCs w:val="21"/>
                    </w:rPr>
                  </w:pPr>
                </w:p>
              </w:tc>
              <w:tc>
                <w:tcPr>
                  <w:tcW w:w="440" w:type="dxa"/>
                  <w:tcBorders>
                    <w:tl2br w:val="nil"/>
                    <w:tr2bl w:val="nil"/>
                  </w:tcBorders>
                  <w:noWrap w:val="0"/>
                  <w:vAlign w:val="center"/>
                </w:tcPr>
                <w:p w14:paraId="69C679D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426" w:type="dxa"/>
                  <w:tcBorders>
                    <w:tl2br w:val="nil"/>
                    <w:tr2bl w:val="nil"/>
                  </w:tcBorders>
                  <w:noWrap w:val="0"/>
                  <w:vAlign w:val="center"/>
                </w:tcPr>
                <w:p w14:paraId="250DC08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440" w:type="dxa"/>
                  <w:tcBorders>
                    <w:tl2br w:val="nil"/>
                    <w:tr2bl w:val="nil"/>
                  </w:tcBorders>
                  <w:noWrap w:val="0"/>
                  <w:vAlign w:val="center"/>
                </w:tcPr>
                <w:p w14:paraId="06B1FB1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30.8</w:t>
                  </w:r>
                </w:p>
              </w:tc>
              <w:tc>
                <w:tcPr>
                  <w:tcW w:w="452" w:type="dxa"/>
                  <w:tcBorders>
                    <w:tl2br w:val="nil"/>
                    <w:tr2bl w:val="nil"/>
                  </w:tcBorders>
                  <w:noWrap w:val="0"/>
                  <w:vAlign w:val="center"/>
                </w:tcPr>
                <w:p w14:paraId="6E52671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482" w:type="dxa"/>
                  <w:tcBorders>
                    <w:tl2br w:val="nil"/>
                    <w:tr2bl w:val="nil"/>
                  </w:tcBorders>
                  <w:noWrap w:val="0"/>
                  <w:vAlign w:val="center"/>
                </w:tcPr>
                <w:p w14:paraId="5E45DEA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w:t>
                  </w:r>
                  <w:r>
                    <w:rPr>
                      <w:rFonts w:hint="eastAsia" w:cs="Times New Roman"/>
                      <w:i w:val="0"/>
                      <w:iCs w:val="0"/>
                      <w:color w:val="000000"/>
                      <w:kern w:val="0"/>
                      <w:sz w:val="21"/>
                      <w:szCs w:val="21"/>
                      <w:u w:val="none"/>
                      <w:lang w:val="en-US" w:eastAsia="zh-CN" w:bidi="ar"/>
                    </w:rPr>
                    <w:t>1</w:t>
                  </w:r>
                </w:p>
              </w:tc>
              <w:tc>
                <w:tcPr>
                  <w:tcW w:w="453" w:type="dxa"/>
                  <w:tcBorders>
                    <w:tl2br w:val="nil"/>
                    <w:tr2bl w:val="nil"/>
                  </w:tcBorders>
                  <w:noWrap w:val="0"/>
                  <w:vAlign w:val="center"/>
                </w:tcPr>
                <w:p w14:paraId="528C332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37.</w:t>
                  </w:r>
                  <w:r>
                    <w:rPr>
                      <w:rFonts w:hint="eastAsia" w:cs="Times New Roman"/>
                      <w:i w:val="0"/>
                      <w:iCs w:val="0"/>
                      <w:color w:val="000000"/>
                      <w:kern w:val="0"/>
                      <w:sz w:val="21"/>
                      <w:szCs w:val="21"/>
                      <w:u w:val="none"/>
                      <w:lang w:val="en-US" w:eastAsia="zh-CN" w:bidi="ar"/>
                    </w:rPr>
                    <w:t>9</w:t>
                  </w:r>
                </w:p>
              </w:tc>
              <w:tc>
                <w:tcPr>
                  <w:tcW w:w="453" w:type="dxa"/>
                  <w:tcBorders>
                    <w:tl2br w:val="nil"/>
                    <w:tr2bl w:val="nil"/>
                  </w:tcBorders>
                  <w:noWrap w:val="0"/>
                  <w:vAlign w:val="center"/>
                </w:tcPr>
                <w:p w14:paraId="05B2AF7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w:t>
                  </w:r>
                  <w:r>
                    <w:rPr>
                      <w:rFonts w:hint="eastAsia" w:cs="Times New Roman"/>
                      <w:i w:val="0"/>
                      <w:iCs w:val="0"/>
                      <w:color w:val="000000"/>
                      <w:kern w:val="0"/>
                      <w:sz w:val="21"/>
                      <w:szCs w:val="21"/>
                      <w:u w:val="none"/>
                      <w:lang w:val="en-US" w:eastAsia="zh-CN" w:bidi="ar"/>
                    </w:rPr>
                    <w:t>1</w:t>
                  </w:r>
                </w:p>
              </w:tc>
              <w:tc>
                <w:tcPr>
                  <w:tcW w:w="465" w:type="dxa"/>
                  <w:tcBorders>
                    <w:tl2br w:val="nil"/>
                    <w:tr2bl w:val="nil"/>
                  </w:tcBorders>
                  <w:noWrap w:val="0"/>
                  <w:vAlign w:val="center"/>
                </w:tcPr>
                <w:p w14:paraId="16F55A4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39.0</w:t>
                  </w:r>
                </w:p>
              </w:tc>
              <w:tc>
                <w:tcPr>
                  <w:tcW w:w="497" w:type="dxa"/>
                  <w:tcBorders>
                    <w:tl2br w:val="nil"/>
                    <w:tr2bl w:val="nil"/>
                  </w:tcBorders>
                  <w:noWrap w:val="0"/>
                  <w:vAlign w:val="center"/>
                </w:tcPr>
                <w:p w14:paraId="6916D081">
                  <w:pPr>
                    <w:keepNext w:val="0"/>
                    <w:keepLines w:val="0"/>
                    <w:pageBreakBefore w:val="0"/>
                    <w:widowControl w:val="0"/>
                    <w:kinsoku/>
                    <w:wordWrap/>
                    <w:overflowPunct/>
                    <w:topLinePunct w:val="0"/>
                    <w:bidi w:val="0"/>
                    <w:adjustRightInd w:val="0"/>
                    <w:snapToGrid w:val="0"/>
                    <w:spacing w:line="24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1m</w:t>
                  </w:r>
                </w:p>
              </w:tc>
            </w:tr>
          </w:tbl>
          <w:p w14:paraId="6B42E492">
            <w:pPr>
              <w:keepNext w:val="0"/>
              <w:keepLines w:val="0"/>
              <w:pageBreakBefore w:val="0"/>
              <w:widowControl w:val="0"/>
              <w:kinsoku/>
              <w:wordWrap/>
              <w:overflowPunct/>
              <w:topLinePunct w:val="0"/>
              <w:autoSpaceDE/>
              <w:autoSpaceDN/>
              <w:bidi w:val="0"/>
              <w:adjustRightInd/>
              <w:snapToGrid/>
              <w:textAlignment w:val="auto"/>
              <w:rPr>
                <w:rFonts w:hint="default" w:eastAsia="宋体"/>
                <w:vertAlign w:val="baseline"/>
                <w:lang w:val="en-US" w:eastAsia="zh-CN"/>
              </w:rPr>
            </w:pPr>
            <w:r>
              <w:rPr>
                <w:rFonts w:hint="eastAsia"/>
                <w:b/>
                <w:bCs/>
                <w:color w:val="auto"/>
                <w:szCs w:val="21"/>
                <w:highlight w:val="none"/>
              </w:rPr>
              <w:t>注：</w:t>
            </w:r>
            <w:r>
              <w:rPr>
                <w:rFonts w:hint="eastAsia"/>
                <w:b/>
                <w:bCs/>
                <w:color w:val="auto"/>
                <w:szCs w:val="21"/>
                <w:highlight w:val="none"/>
                <w:lang w:val="en-US" w:eastAsia="zh-CN"/>
              </w:rPr>
              <w:t>①</w:t>
            </w:r>
            <w:r>
              <w:rPr>
                <w:b/>
                <w:bCs/>
                <w:color w:val="auto"/>
                <w:szCs w:val="21"/>
                <w:highlight w:val="none"/>
              </w:rPr>
              <w:t>表中坐标以厂界</w:t>
            </w:r>
            <w:r>
              <w:rPr>
                <w:rFonts w:hint="eastAsia"/>
                <w:b/>
                <w:bCs/>
                <w:color w:val="auto"/>
                <w:szCs w:val="21"/>
                <w:highlight w:val="none"/>
                <w:lang w:val="en-US" w:eastAsia="zh-CN"/>
              </w:rPr>
              <w:t>西南角</w:t>
            </w:r>
            <w:r>
              <w:rPr>
                <w:b/>
                <w:bCs/>
                <w:color w:val="auto"/>
                <w:szCs w:val="21"/>
                <w:highlight w:val="none"/>
              </w:rPr>
              <w:t>（</w:t>
            </w:r>
            <w:r>
              <w:rPr>
                <w:rFonts w:hint="eastAsia"/>
                <w:b/>
                <w:bCs/>
                <w:color w:val="auto"/>
                <w:szCs w:val="21"/>
                <w:highlight w:val="none"/>
                <w:lang w:val="en-US" w:eastAsia="zh-CN"/>
              </w:rPr>
              <w:t>东经107.481824</w:t>
            </w:r>
            <w:r>
              <w:rPr>
                <w:rFonts w:hint="eastAsia"/>
                <w:b/>
                <w:bCs/>
                <w:color w:val="auto"/>
                <w:szCs w:val="21"/>
                <w:highlight w:val="none"/>
                <w:lang w:eastAsia="zh-CN"/>
              </w:rPr>
              <w:t>，</w:t>
            </w:r>
            <w:r>
              <w:rPr>
                <w:rFonts w:hint="eastAsia"/>
                <w:b/>
                <w:bCs/>
                <w:color w:val="auto"/>
                <w:szCs w:val="21"/>
                <w:highlight w:val="none"/>
                <w:lang w:val="en-US" w:eastAsia="zh-CN"/>
              </w:rPr>
              <w:t>北纬31.326694</w:t>
            </w:r>
            <w:r>
              <w:rPr>
                <w:b/>
                <w:bCs/>
                <w:color w:val="auto"/>
                <w:szCs w:val="21"/>
                <w:highlight w:val="none"/>
              </w:rPr>
              <w:t>）为坐标原点，正东向为X轴正方向，正北向为Y轴正方向</w:t>
            </w:r>
            <w:r>
              <w:rPr>
                <w:rFonts w:hint="eastAsia"/>
                <w:b/>
                <w:bCs/>
                <w:color w:val="auto"/>
                <w:szCs w:val="21"/>
                <w:highlight w:val="none"/>
              </w:rPr>
              <w:t>。</w:t>
            </w:r>
            <w:r>
              <w:rPr>
                <w:rFonts w:hint="eastAsia"/>
                <w:b/>
                <w:bCs/>
                <w:color w:val="auto"/>
                <w:szCs w:val="21"/>
                <w:highlight w:val="none"/>
                <w:lang w:val="en-US" w:eastAsia="zh-CN"/>
              </w:rPr>
              <w:t>②本项目煤粉生产车间南侧有门，沥青混凝土搅拌楼南侧和北侧有门，再生料预处理车间西侧有门。</w:t>
            </w:r>
          </w:p>
        </w:tc>
      </w:tr>
    </w:tbl>
    <w:p w14:paraId="5165FB26">
      <w:p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093"/>
      </w:tblGrid>
      <w:tr w14:paraId="3BA42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noWrap w:val="0"/>
            <w:vAlign w:val="top"/>
          </w:tcPr>
          <w:p w14:paraId="55BE702A">
            <w:pPr>
              <w:rPr>
                <w:vertAlign w:val="baseline"/>
              </w:rPr>
            </w:pPr>
          </w:p>
        </w:tc>
        <w:tc>
          <w:tcPr>
            <w:tcW w:w="8093" w:type="dxa"/>
            <w:noWrap w:val="0"/>
            <w:vAlign w:val="top"/>
          </w:tcPr>
          <w:p w14:paraId="5E97FFF2">
            <w:pPr>
              <w:widowControl w:val="0"/>
              <w:adjustRightInd w:val="0"/>
              <w:snapToGrid w:val="0"/>
              <w:spacing w:line="360" w:lineRule="auto"/>
              <w:ind w:firstLine="482" w:firstLineChars="200"/>
              <w:rPr>
                <w:color w:val="auto"/>
                <w:sz w:val="24"/>
                <w:lang w:bidi="zh-CN"/>
              </w:rPr>
            </w:pPr>
            <w:r>
              <w:rPr>
                <w:rFonts w:hint="eastAsia"/>
                <w:b/>
                <w:bCs/>
                <w:color w:val="auto"/>
                <w:sz w:val="24"/>
                <w:lang w:bidi="zh-CN"/>
              </w:rPr>
              <w:t>（</w:t>
            </w:r>
            <w:r>
              <w:rPr>
                <w:rFonts w:hint="eastAsia"/>
                <w:b/>
                <w:bCs/>
                <w:color w:val="auto"/>
                <w:sz w:val="24"/>
                <w:lang w:val="en-US" w:bidi="zh-CN"/>
              </w:rPr>
              <w:t>3</w:t>
            </w:r>
            <w:r>
              <w:rPr>
                <w:rFonts w:hint="eastAsia"/>
                <w:b/>
                <w:bCs/>
                <w:color w:val="auto"/>
                <w:sz w:val="24"/>
                <w:lang w:bidi="zh-CN"/>
              </w:rPr>
              <w:t>）噪声影响估算</w:t>
            </w:r>
          </w:p>
          <w:p w14:paraId="130319F3">
            <w:pPr>
              <w:spacing w:line="360" w:lineRule="auto"/>
              <w:ind w:firstLine="480" w:firstLineChars="200"/>
              <w:jc w:val="both"/>
              <w:rPr>
                <w:rFonts w:hint="eastAsia"/>
                <w:color w:val="auto"/>
                <w:sz w:val="24"/>
                <w:lang w:bidi="zh-CN"/>
              </w:rPr>
            </w:pPr>
            <w:r>
              <w:rPr>
                <w:rFonts w:hint="eastAsia"/>
                <w:color w:val="auto"/>
                <w:sz w:val="24"/>
                <w:lang w:bidi="zh-CN"/>
              </w:rPr>
              <w:t>根据《环境影响评价技术导则</w:t>
            </w:r>
            <w:r>
              <w:rPr>
                <w:rFonts w:hint="eastAsia"/>
                <w:color w:val="auto"/>
                <w:sz w:val="24"/>
                <w:lang w:val="en-US" w:bidi="zh-CN"/>
              </w:rPr>
              <w:t xml:space="preserve"> </w:t>
            </w:r>
            <w:r>
              <w:rPr>
                <w:rFonts w:hint="eastAsia"/>
                <w:color w:val="auto"/>
                <w:sz w:val="24"/>
                <w:lang w:bidi="zh-CN"/>
              </w:rPr>
              <w:t>声环境》（HJ2.4-2021）中关于噪声源简化处理原则，以独立房间视为一个点声源，将房间内的主要噪声源分别进行声级叠加，一个叠加声源经房间墙体的隔声衰减，传至室外的声级值作为一个等效室外声源。所有室内声源在围护结构处产生的i倍频带叠加声级：</w:t>
            </w:r>
          </w:p>
          <w:p w14:paraId="1E4F9AAE">
            <w:pPr>
              <w:spacing w:line="240" w:lineRule="auto"/>
              <w:ind w:firstLine="0" w:firstLineChars="0"/>
              <w:jc w:val="center"/>
              <w:rPr>
                <w:rFonts w:hint="eastAsia"/>
                <w:color w:val="auto"/>
                <w:sz w:val="21"/>
                <w:szCs w:val="21"/>
                <w:lang w:bidi="zh-CN"/>
              </w:rPr>
            </w:pPr>
            <w:r>
              <w:rPr>
                <w:color w:val="auto"/>
                <w:szCs w:val="21"/>
                <w:highlight w:val="none"/>
              </w:rPr>
              <w:drawing>
                <wp:inline distT="0" distB="0" distL="114300" distR="114300">
                  <wp:extent cx="1567815" cy="464820"/>
                  <wp:effectExtent l="0" t="0" r="1905" b="7620"/>
                  <wp:docPr id="236"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34"/>
                          <pic:cNvPicPr>
                            <a:picLocks noChangeAspect="1"/>
                          </pic:cNvPicPr>
                        </pic:nvPicPr>
                        <pic:blipFill>
                          <a:blip r:embed="rId21"/>
                          <a:stretch>
                            <a:fillRect/>
                          </a:stretch>
                        </pic:blipFill>
                        <pic:spPr>
                          <a:xfrm>
                            <a:off x="0" y="0"/>
                            <a:ext cx="1567815" cy="464820"/>
                          </a:xfrm>
                          <a:prstGeom prst="rect">
                            <a:avLst/>
                          </a:prstGeom>
                          <a:noFill/>
                          <a:ln>
                            <a:noFill/>
                          </a:ln>
                        </pic:spPr>
                      </pic:pic>
                    </a:graphicData>
                  </a:graphic>
                </wp:inline>
              </w:drawing>
            </w:r>
          </w:p>
          <w:p w14:paraId="6B847773">
            <w:pPr>
              <w:spacing w:line="360" w:lineRule="auto"/>
              <w:ind w:firstLine="480" w:firstLineChars="200"/>
              <w:jc w:val="both"/>
              <w:rPr>
                <w:rFonts w:hint="eastAsia"/>
                <w:color w:val="auto"/>
                <w:sz w:val="24"/>
                <w:lang w:bidi="zh-CN"/>
              </w:rPr>
            </w:pPr>
            <w:r>
              <w:rPr>
                <w:rFonts w:hint="eastAsia"/>
                <w:color w:val="auto"/>
                <w:sz w:val="24"/>
                <w:lang w:bidi="zh-CN"/>
              </w:rPr>
              <w:t>式中：L</w:t>
            </w:r>
            <w:r>
              <w:rPr>
                <w:rFonts w:hint="eastAsia"/>
                <w:color w:val="auto"/>
                <w:sz w:val="24"/>
                <w:vertAlign w:val="subscript"/>
                <w:lang w:bidi="zh-CN"/>
              </w:rPr>
              <w:t>pli</w:t>
            </w:r>
            <w:r>
              <w:rPr>
                <w:rFonts w:hint="eastAsia"/>
                <w:color w:val="auto"/>
                <w:sz w:val="24"/>
                <w:lang w:bidi="zh-CN"/>
              </w:rPr>
              <w:t>（T）——靠近围护结构处室内N个声源i倍频带的叠加声压级dB(A)；</w:t>
            </w:r>
          </w:p>
          <w:p w14:paraId="54845CBA">
            <w:pPr>
              <w:spacing w:line="360" w:lineRule="auto"/>
              <w:ind w:firstLine="1200" w:firstLineChars="500"/>
              <w:jc w:val="both"/>
              <w:rPr>
                <w:rFonts w:hint="eastAsia"/>
                <w:color w:val="auto"/>
                <w:sz w:val="24"/>
                <w:lang w:bidi="zh-CN"/>
              </w:rPr>
            </w:pPr>
            <w:r>
              <w:rPr>
                <w:rFonts w:hint="eastAsia"/>
                <w:color w:val="auto"/>
                <w:sz w:val="24"/>
                <w:lang w:bidi="zh-CN"/>
              </w:rPr>
              <w:t>L</w:t>
            </w:r>
            <w:r>
              <w:rPr>
                <w:rFonts w:hint="eastAsia"/>
                <w:color w:val="auto"/>
                <w:sz w:val="24"/>
                <w:vertAlign w:val="subscript"/>
                <w:lang w:bidi="zh-CN"/>
              </w:rPr>
              <w:t>plij</w:t>
            </w:r>
            <w:r>
              <w:rPr>
                <w:rFonts w:hint="eastAsia"/>
                <w:color w:val="auto"/>
                <w:sz w:val="24"/>
                <w:lang w:bidi="zh-CN"/>
              </w:rPr>
              <w:t>——室内j声源i倍频带的声压级，dB(A)；</w:t>
            </w:r>
          </w:p>
          <w:p w14:paraId="6FD551C7">
            <w:pPr>
              <w:spacing w:line="360" w:lineRule="auto"/>
              <w:ind w:firstLine="1200" w:firstLineChars="500"/>
              <w:jc w:val="both"/>
              <w:rPr>
                <w:rFonts w:hint="eastAsia"/>
                <w:color w:val="auto"/>
                <w:sz w:val="24"/>
                <w:lang w:bidi="zh-CN"/>
              </w:rPr>
            </w:pPr>
            <w:r>
              <w:rPr>
                <w:rFonts w:hint="eastAsia"/>
                <w:color w:val="auto"/>
                <w:sz w:val="24"/>
                <w:lang w:bidi="zh-CN"/>
              </w:rPr>
              <w:t>N——室内声源总数。</w:t>
            </w:r>
          </w:p>
          <w:p w14:paraId="7C15050B">
            <w:pPr>
              <w:spacing w:line="360" w:lineRule="auto"/>
              <w:ind w:firstLine="480" w:firstLineChars="200"/>
              <w:jc w:val="both"/>
              <w:rPr>
                <w:rFonts w:hint="eastAsia"/>
                <w:color w:val="auto"/>
                <w:sz w:val="24"/>
                <w:lang w:bidi="zh-CN"/>
              </w:rPr>
            </w:pPr>
            <w:r>
              <w:rPr>
                <w:rFonts w:hint="eastAsia"/>
                <w:color w:val="auto"/>
                <w:sz w:val="24"/>
                <w:lang w:bidi="zh-CN"/>
              </w:rPr>
              <w:t>将建设项目主要噪声源进行能量叠加后的合成总声级值视为一个混合点噪声源，并以半球形向外辐射传播，在只考虑声源的距离衰减时，采用以下公式预测工程噪声对厂界的噪声影响。</w:t>
            </w:r>
          </w:p>
          <w:p w14:paraId="595C1BAE">
            <w:pPr>
              <w:spacing w:line="360" w:lineRule="auto"/>
              <w:ind w:firstLine="480" w:firstLineChars="200"/>
              <w:jc w:val="both"/>
              <w:rPr>
                <w:rFonts w:hint="eastAsia"/>
                <w:color w:val="auto"/>
                <w:sz w:val="24"/>
                <w:lang w:bidi="zh-CN"/>
              </w:rPr>
            </w:pPr>
            <w:r>
              <w:rPr>
                <w:rFonts w:hint="eastAsia"/>
                <w:color w:val="auto"/>
                <w:sz w:val="24"/>
                <w:lang w:bidi="zh-CN"/>
              </w:rPr>
              <w:t>根据《环境影响评价技术导则</w:t>
            </w:r>
            <w:r>
              <w:rPr>
                <w:rFonts w:hint="eastAsia"/>
                <w:color w:val="auto"/>
                <w:sz w:val="24"/>
                <w:lang w:val="en-US" w:bidi="zh-CN"/>
              </w:rPr>
              <w:t xml:space="preserve"> </w:t>
            </w:r>
            <w:r>
              <w:rPr>
                <w:rFonts w:hint="eastAsia"/>
                <w:color w:val="auto"/>
                <w:sz w:val="24"/>
                <w:lang w:bidi="zh-CN"/>
              </w:rPr>
              <w:t>声环境》（HJ2.4-2021）中B.4计算室外围护结构处的声压级，公式如下：</w:t>
            </w:r>
          </w:p>
          <w:p w14:paraId="0CECB900">
            <w:pPr>
              <w:spacing w:line="360" w:lineRule="auto"/>
              <w:ind w:firstLine="0" w:firstLineChars="0"/>
              <w:jc w:val="center"/>
              <w:rPr>
                <w:rFonts w:hint="eastAsia"/>
                <w:color w:val="auto"/>
                <w:sz w:val="24"/>
                <w:lang w:bidi="zh-CN"/>
              </w:rPr>
            </w:pPr>
            <w:r>
              <w:rPr>
                <w:rFonts w:hint="eastAsia"/>
                <w:color w:val="auto"/>
                <w:sz w:val="24"/>
                <w:lang w:bidi="zh-CN"/>
              </w:rPr>
              <w:t>L</w:t>
            </w:r>
            <w:r>
              <w:rPr>
                <w:rFonts w:hint="eastAsia"/>
                <w:color w:val="auto"/>
                <w:sz w:val="24"/>
                <w:vertAlign w:val="subscript"/>
                <w:lang w:bidi="zh-CN"/>
              </w:rPr>
              <w:t>p2i</w:t>
            </w:r>
            <w:r>
              <w:rPr>
                <w:rFonts w:hint="eastAsia"/>
                <w:color w:val="auto"/>
                <w:sz w:val="24"/>
                <w:lang w:bidi="zh-CN"/>
              </w:rPr>
              <w:t>(T)</w:t>
            </w:r>
            <w:r>
              <w:rPr>
                <w:rFonts w:hint="eastAsia"/>
                <w:color w:val="auto"/>
                <w:sz w:val="24"/>
                <w:lang w:val="en-US" w:bidi="zh-CN"/>
              </w:rPr>
              <w:t>=</w:t>
            </w:r>
            <w:r>
              <w:rPr>
                <w:rFonts w:hint="eastAsia"/>
                <w:color w:val="auto"/>
                <w:sz w:val="24"/>
                <w:lang w:bidi="zh-CN"/>
              </w:rPr>
              <w:t>L</w:t>
            </w:r>
            <w:r>
              <w:rPr>
                <w:rFonts w:hint="eastAsia"/>
                <w:color w:val="auto"/>
                <w:sz w:val="24"/>
                <w:vertAlign w:val="subscript"/>
                <w:lang w:bidi="zh-CN"/>
              </w:rPr>
              <w:t>p1i</w:t>
            </w:r>
            <w:r>
              <w:rPr>
                <w:rFonts w:hint="eastAsia"/>
                <w:color w:val="auto"/>
                <w:sz w:val="24"/>
                <w:lang w:bidi="zh-CN"/>
              </w:rPr>
              <w:t>(T)</w:t>
            </w:r>
            <w:r>
              <w:rPr>
                <w:rFonts w:hint="eastAsia"/>
                <w:color w:val="auto"/>
                <w:sz w:val="24"/>
                <w:lang w:val="en-US" w:bidi="zh-CN"/>
              </w:rPr>
              <w:t>-</w:t>
            </w:r>
            <w:r>
              <w:rPr>
                <w:rFonts w:hint="eastAsia"/>
                <w:color w:val="auto"/>
                <w:sz w:val="24"/>
                <w:lang w:bidi="zh-CN"/>
              </w:rPr>
              <w:t>(TL</w:t>
            </w:r>
            <w:r>
              <w:rPr>
                <w:rFonts w:hint="eastAsia"/>
                <w:color w:val="auto"/>
                <w:sz w:val="24"/>
                <w:vertAlign w:val="subscript"/>
                <w:lang w:bidi="zh-CN"/>
              </w:rPr>
              <w:t>i</w:t>
            </w:r>
            <w:r>
              <w:rPr>
                <w:rFonts w:hint="eastAsia"/>
                <w:color w:val="auto"/>
                <w:sz w:val="24"/>
                <w:lang w:val="en-US" w:bidi="zh-CN"/>
              </w:rPr>
              <w:t>+</w:t>
            </w:r>
            <w:r>
              <w:rPr>
                <w:rFonts w:hint="eastAsia"/>
                <w:color w:val="auto"/>
                <w:sz w:val="24"/>
                <w:lang w:bidi="zh-CN"/>
              </w:rPr>
              <w:t>6)</w:t>
            </w:r>
          </w:p>
          <w:p w14:paraId="77B7E46F">
            <w:pPr>
              <w:spacing w:line="360" w:lineRule="auto"/>
              <w:ind w:firstLine="480" w:firstLineChars="200"/>
              <w:jc w:val="both"/>
              <w:rPr>
                <w:rFonts w:hint="eastAsia"/>
                <w:color w:val="auto"/>
                <w:sz w:val="24"/>
                <w:lang w:bidi="zh-CN"/>
              </w:rPr>
            </w:pPr>
            <w:r>
              <w:rPr>
                <w:rFonts w:hint="eastAsia"/>
                <w:color w:val="auto"/>
                <w:sz w:val="24"/>
                <w:lang w:bidi="zh-CN"/>
              </w:rPr>
              <w:t>式中：L</w:t>
            </w:r>
            <w:r>
              <w:rPr>
                <w:rFonts w:hint="eastAsia"/>
                <w:color w:val="auto"/>
                <w:sz w:val="24"/>
                <w:vertAlign w:val="subscript"/>
                <w:lang w:bidi="zh-CN"/>
              </w:rPr>
              <w:t>p2i</w:t>
            </w:r>
            <w:r>
              <w:rPr>
                <w:rFonts w:hint="eastAsia"/>
                <w:color w:val="auto"/>
                <w:sz w:val="24"/>
                <w:lang w:bidi="zh-CN"/>
              </w:rPr>
              <w:t>(T)——靠近围护结构处室外N个声源i倍频带的叠加声压级，dB；</w:t>
            </w:r>
          </w:p>
          <w:p w14:paraId="4EB6A116">
            <w:pPr>
              <w:spacing w:line="360" w:lineRule="auto"/>
              <w:ind w:firstLine="1200" w:firstLineChars="500"/>
              <w:jc w:val="both"/>
              <w:rPr>
                <w:rFonts w:hint="eastAsia"/>
                <w:color w:val="auto"/>
                <w:sz w:val="24"/>
                <w:lang w:bidi="zh-CN"/>
              </w:rPr>
            </w:pPr>
            <w:r>
              <w:rPr>
                <w:rFonts w:hint="eastAsia"/>
                <w:color w:val="auto"/>
                <w:sz w:val="24"/>
                <w:lang w:bidi="zh-CN"/>
              </w:rPr>
              <w:t>L</w:t>
            </w:r>
            <w:r>
              <w:rPr>
                <w:rFonts w:hint="eastAsia"/>
                <w:color w:val="auto"/>
                <w:sz w:val="24"/>
                <w:vertAlign w:val="subscript"/>
                <w:lang w:bidi="zh-CN"/>
              </w:rPr>
              <w:t>p1i</w:t>
            </w:r>
            <w:r>
              <w:rPr>
                <w:rFonts w:hint="eastAsia"/>
                <w:color w:val="auto"/>
                <w:sz w:val="24"/>
                <w:lang w:bidi="zh-CN"/>
              </w:rPr>
              <w:t>(T)——靠近围护结构处室内N个声源i倍频带的叠加声压级，dB；</w:t>
            </w:r>
          </w:p>
          <w:p w14:paraId="4300EAE9">
            <w:pPr>
              <w:spacing w:line="360" w:lineRule="auto"/>
              <w:ind w:firstLine="1200" w:firstLineChars="500"/>
              <w:jc w:val="both"/>
              <w:rPr>
                <w:rFonts w:hint="eastAsia"/>
                <w:color w:val="auto"/>
                <w:sz w:val="24"/>
                <w:lang w:bidi="zh-CN"/>
              </w:rPr>
            </w:pPr>
            <w:r>
              <w:rPr>
                <w:rFonts w:hint="eastAsia"/>
                <w:color w:val="auto"/>
                <w:sz w:val="24"/>
                <w:lang w:bidi="zh-CN"/>
              </w:rPr>
              <w:t>TL</w:t>
            </w:r>
            <w:r>
              <w:rPr>
                <w:rFonts w:hint="eastAsia"/>
                <w:color w:val="auto"/>
                <w:sz w:val="24"/>
                <w:vertAlign w:val="subscript"/>
                <w:lang w:bidi="zh-CN"/>
              </w:rPr>
              <w:t>i</w:t>
            </w:r>
            <w:r>
              <w:rPr>
                <w:rFonts w:hint="eastAsia"/>
                <w:color w:val="auto"/>
                <w:sz w:val="24"/>
                <w:lang w:bidi="zh-CN"/>
              </w:rPr>
              <w:t>——围护结构i倍频带的隔声量，dB；本项目厂房的隔声量TL为25.2dB，门隔声量为24.8dB。</w:t>
            </w:r>
          </w:p>
          <w:p w14:paraId="50172423">
            <w:pPr>
              <w:spacing w:line="360" w:lineRule="auto"/>
              <w:ind w:firstLine="480" w:firstLineChars="200"/>
              <w:jc w:val="both"/>
              <w:rPr>
                <w:rFonts w:hint="eastAsia"/>
                <w:color w:val="auto"/>
                <w:sz w:val="24"/>
                <w:lang w:bidi="zh-CN"/>
              </w:rPr>
            </w:pPr>
            <w:r>
              <w:rPr>
                <w:rFonts w:hint="eastAsia"/>
                <w:color w:val="auto"/>
                <w:sz w:val="24"/>
                <w:lang w:bidi="zh-CN"/>
              </w:rPr>
              <w:t>然后按式（B.5）将室外声源的声压级和透过面积换算成等效的室外声源，计算出中心位置位于透声面积（S）处的等效声源的倍频带声功率级。</w:t>
            </w:r>
          </w:p>
          <w:p w14:paraId="5A8CC8E3">
            <w:pPr>
              <w:spacing w:line="360" w:lineRule="auto"/>
              <w:ind w:firstLine="0" w:firstLineChars="0"/>
              <w:jc w:val="center"/>
              <w:rPr>
                <w:rFonts w:hint="eastAsia"/>
                <w:color w:val="auto"/>
                <w:sz w:val="24"/>
                <w:lang w:bidi="zh-CN"/>
              </w:rPr>
            </w:pPr>
            <w:r>
              <w:rPr>
                <w:rFonts w:hint="eastAsia"/>
                <w:color w:val="auto"/>
                <w:sz w:val="24"/>
                <w:lang w:bidi="zh-CN"/>
              </w:rPr>
              <w:t>L</w:t>
            </w:r>
            <w:r>
              <w:rPr>
                <w:rFonts w:hint="eastAsia"/>
                <w:color w:val="auto"/>
                <w:sz w:val="24"/>
                <w:vertAlign w:val="subscript"/>
                <w:lang w:bidi="zh-CN"/>
              </w:rPr>
              <w:t>w</w:t>
            </w:r>
            <w:r>
              <w:rPr>
                <w:rFonts w:hint="eastAsia"/>
                <w:color w:val="auto"/>
                <w:sz w:val="24"/>
                <w:lang w:bidi="zh-CN"/>
              </w:rPr>
              <w:t>=L</w:t>
            </w:r>
            <w:r>
              <w:rPr>
                <w:rFonts w:hint="eastAsia"/>
                <w:color w:val="auto"/>
                <w:sz w:val="24"/>
                <w:vertAlign w:val="subscript"/>
                <w:lang w:bidi="zh-CN"/>
              </w:rPr>
              <w:t>p2</w:t>
            </w:r>
            <w:r>
              <w:rPr>
                <w:rFonts w:hint="eastAsia"/>
                <w:color w:val="auto"/>
                <w:sz w:val="24"/>
                <w:lang w:bidi="zh-CN"/>
              </w:rPr>
              <w:t>(T)+10lgS</w:t>
            </w:r>
          </w:p>
          <w:p w14:paraId="0298E3F7">
            <w:pPr>
              <w:spacing w:line="360" w:lineRule="auto"/>
              <w:ind w:firstLine="480" w:firstLineChars="200"/>
              <w:jc w:val="both"/>
              <w:rPr>
                <w:rFonts w:hint="eastAsia"/>
                <w:color w:val="auto"/>
                <w:sz w:val="24"/>
                <w:lang w:bidi="zh-CN"/>
              </w:rPr>
            </w:pPr>
            <w:r>
              <w:rPr>
                <w:rFonts w:hint="eastAsia"/>
                <w:color w:val="auto"/>
                <w:sz w:val="24"/>
                <w:lang w:bidi="zh-CN"/>
              </w:rPr>
              <w:t>式中：L</w:t>
            </w:r>
            <w:r>
              <w:rPr>
                <w:rFonts w:hint="eastAsia"/>
                <w:color w:val="auto"/>
                <w:sz w:val="24"/>
                <w:vertAlign w:val="subscript"/>
                <w:lang w:bidi="zh-CN"/>
              </w:rPr>
              <w:t>w</w:t>
            </w:r>
            <w:r>
              <w:rPr>
                <w:rFonts w:hint="eastAsia"/>
                <w:color w:val="auto"/>
                <w:sz w:val="24"/>
                <w:lang w:bidi="zh-CN"/>
              </w:rPr>
              <w:t>——中心位置位于透声面积（S）处的等效声源的倍频带声功率级，dB；</w:t>
            </w:r>
          </w:p>
          <w:p w14:paraId="2A3C792C">
            <w:pPr>
              <w:spacing w:line="360" w:lineRule="auto"/>
              <w:ind w:firstLine="1200" w:firstLineChars="500"/>
              <w:jc w:val="both"/>
              <w:rPr>
                <w:rFonts w:hint="eastAsia"/>
                <w:color w:val="auto"/>
                <w:sz w:val="24"/>
                <w:lang w:bidi="zh-CN"/>
              </w:rPr>
            </w:pPr>
            <w:r>
              <w:rPr>
                <w:rFonts w:hint="eastAsia"/>
                <w:color w:val="auto"/>
                <w:sz w:val="24"/>
                <w:lang w:bidi="zh-CN"/>
              </w:rPr>
              <w:t>L</w:t>
            </w:r>
            <w:r>
              <w:rPr>
                <w:rFonts w:hint="eastAsia"/>
                <w:color w:val="auto"/>
                <w:sz w:val="24"/>
                <w:vertAlign w:val="subscript"/>
                <w:lang w:bidi="zh-CN"/>
              </w:rPr>
              <w:t>p2</w:t>
            </w:r>
            <w:r>
              <w:rPr>
                <w:rFonts w:hint="eastAsia"/>
                <w:color w:val="auto"/>
                <w:sz w:val="24"/>
                <w:lang w:bidi="zh-CN"/>
              </w:rPr>
              <w:t>(T)——靠近围护结构处室外声源的声压级，dB；</w:t>
            </w:r>
          </w:p>
          <w:p w14:paraId="32E64AEB">
            <w:pPr>
              <w:spacing w:line="360" w:lineRule="auto"/>
              <w:ind w:firstLine="1200" w:firstLineChars="500"/>
              <w:jc w:val="both"/>
              <w:rPr>
                <w:rFonts w:hint="eastAsia"/>
                <w:color w:val="auto"/>
                <w:sz w:val="24"/>
                <w:lang w:bidi="zh-CN"/>
              </w:rPr>
            </w:pPr>
            <w:r>
              <w:rPr>
                <w:rFonts w:hint="eastAsia"/>
                <w:color w:val="auto"/>
                <w:sz w:val="24"/>
                <w:lang w:bidi="zh-CN"/>
              </w:rPr>
              <w:t>S——透声面积，m</w:t>
            </w:r>
            <w:r>
              <w:rPr>
                <w:rFonts w:hint="eastAsia"/>
                <w:color w:val="auto"/>
                <w:sz w:val="24"/>
                <w:vertAlign w:val="superscript"/>
                <w:lang w:bidi="zh-CN"/>
              </w:rPr>
              <w:t>2</w:t>
            </w:r>
            <w:r>
              <w:rPr>
                <w:rFonts w:hint="eastAsia"/>
                <w:color w:val="auto"/>
                <w:sz w:val="24"/>
                <w:lang w:bidi="zh-CN"/>
              </w:rPr>
              <w:t>。</w:t>
            </w:r>
          </w:p>
          <w:p w14:paraId="21DBEE3A">
            <w:pPr>
              <w:spacing w:line="360" w:lineRule="auto"/>
              <w:ind w:firstLine="480" w:firstLineChars="200"/>
              <w:jc w:val="both"/>
              <w:rPr>
                <w:rFonts w:hint="eastAsia"/>
                <w:color w:val="auto"/>
                <w:sz w:val="24"/>
                <w:lang w:bidi="zh-CN"/>
              </w:rPr>
            </w:pPr>
            <w:r>
              <w:rPr>
                <w:rFonts w:hint="eastAsia"/>
                <w:color w:val="auto"/>
                <w:sz w:val="24"/>
                <w:lang w:val="en-US" w:bidi="zh-CN"/>
              </w:rPr>
              <w:t>本项目</w:t>
            </w:r>
            <w:r>
              <w:rPr>
                <w:rFonts w:hint="eastAsia"/>
                <w:color w:val="auto"/>
                <w:sz w:val="24"/>
                <w:lang w:bidi="zh-CN"/>
              </w:rPr>
              <w:t>生产车间厂房共设置</w:t>
            </w:r>
            <w:r>
              <w:rPr>
                <w:rFonts w:hint="eastAsia"/>
                <w:color w:val="auto"/>
                <w:sz w:val="24"/>
                <w:lang w:val="en-US" w:bidi="zh-CN"/>
              </w:rPr>
              <w:t>4</w:t>
            </w:r>
            <w:r>
              <w:rPr>
                <w:rFonts w:hint="eastAsia"/>
                <w:color w:val="auto"/>
                <w:sz w:val="24"/>
                <w:lang w:bidi="zh-CN"/>
              </w:rPr>
              <w:t>个门，其中</w:t>
            </w:r>
            <w:r>
              <w:rPr>
                <w:rFonts w:hint="eastAsia"/>
                <w:color w:val="auto"/>
                <w:sz w:val="24"/>
                <w:lang w:val="en-US" w:bidi="zh-CN"/>
              </w:rPr>
              <w:t>每</w:t>
            </w:r>
            <w:r>
              <w:rPr>
                <w:rFonts w:hint="eastAsia"/>
                <w:color w:val="auto"/>
                <w:sz w:val="24"/>
                <w:lang w:bidi="zh-CN"/>
              </w:rPr>
              <w:t>个大门面积25m</w:t>
            </w:r>
            <w:r>
              <w:rPr>
                <w:rFonts w:hint="eastAsia"/>
                <w:color w:val="auto"/>
                <w:sz w:val="24"/>
                <w:vertAlign w:val="superscript"/>
                <w:lang w:bidi="zh-CN"/>
              </w:rPr>
              <w:t>2</w:t>
            </w:r>
            <w:r>
              <w:rPr>
                <w:rFonts w:hint="eastAsia"/>
                <w:color w:val="auto"/>
                <w:sz w:val="24"/>
                <w:lang w:bidi="zh-CN"/>
              </w:rPr>
              <w:t>/个（2个），S为</w:t>
            </w:r>
            <w:r>
              <w:rPr>
                <w:rFonts w:hint="eastAsia"/>
                <w:color w:val="auto"/>
                <w:sz w:val="24"/>
                <w:lang w:val="en-US" w:bidi="zh-CN"/>
              </w:rPr>
              <w:t>100</w:t>
            </w:r>
            <w:r>
              <w:rPr>
                <w:rFonts w:hint="eastAsia"/>
                <w:color w:val="auto"/>
                <w:sz w:val="24"/>
                <w:lang w:bidi="zh-CN"/>
              </w:rPr>
              <w:t>m</w:t>
            </w:r>
            <w:r>
              <w:rPr>
                <w:rFonts w:hint="eastAsia"/>
                <w:color w:val="auto"/>
                <w:sz w:val="24"/>
                <w:vertAlign w:val="superscript"/>
                <w:lang w:bidi="zh-CN"/>
              </w:rPr>
              <w:t>2</w:t>
            </w:r>
            <w:r>
              <w:rPr>
                <w:rFonts w:hint="eastAsia"/>
                <w:color w:val="auto"/>
                <w:sz w:val="24"/>
                <w:vertAlign w:val="baseline"/>
                <w:lang w:bidi="zh-CN"/>
              </w:rPr>
              <w:t>。</w:t>
            </w:r>
          </w:p>
          <w:p w14:paraId="607E7F23">
            <w:pPr>
              <w:spacing w:line="360" w:lineRule="auto"/>
              <w:ind w:firstLine="480" w:firstLineChars="200"/>
              <w:jc w:val="both"/>
              <w:rPr>
                <w:rFonts w:hint="eastAsia"/>
                <w:color w:val="auto"/>
                <w:sz w:val="24"/>
                <w:lang w:bidi="zh-CN"/>
              </w:rPr>
            </w:pPr>
            <w:r>
              <w:rPr>
                <w:rFonts w:hint="eastAsia"/>
                <w:color w:val="auto"/>
                <w:sz w:val="24"/>
                <w:lang w:bidi="zh-CN"/>
              </w:rPr>
              <w:t>项目主要噪声源对预测点贡献值的计算（作为保险系数）不考虑大气吸收引起的衰减，地面效应引起的衰减，以及其他多方面效应引起的衰减；在只考虑几何发散衰减的情况下，按照《环境影响评价技术导则</w:t>
            </w:r>
            <w:r>
              <w:rPr>
                <w:rFonts w:hint="eastAsia"/>
                <w:color w:val="auto"/>
                <w:sz w:val="24"/>
                <w:lang w:val="en-US" w:bidi="zh-CN"/>
              </w:rPr>
              <w:t xml:space="preserve"> </w:t>
            </w:r>
            <w:r>
              <w:rPr>
                <w:rFonts w:hint="eastAsia"/>
                <w:color w:val="auto"/>
                <w:sz w:val="24"/>
                <w:lang w:bidi="zh-CN"/>
              </w:rPr>
              <w:t>声环境》（HJ2.4-2021）中附录A，式（A.4）计算。</w:t>
            </w:r>
          </w:p>
          <w:p w14:paraId="59D5612A">
            <w:pPr>
              <w:spacing w:line="360" w:lineRule="auto"/>
              <w:ind w:firstLine="0" w:firstLineChars="0"/>
              <w:jc w:val="center"/>
              <w:rPr>
                <w:rFonts w:hint="eastAsia"/>
                <w:color w:val="auto"/>
                <w:sz w:val="24"/>
                <w:lang w:bidi="zh-CN"/>
              </w:rPr>
            </w:pPr>
            <w:r>
              <w:rPr>
                <w:rFonts w:hint="eastAsia"/>
                <w:color w:val="auto"/>
                <w:sz w:val="24"/>
                <w:lang w:bidi="zh-CN"/>
              </w:rPr>
              <w:t>L</w:t>
            </w:r>
            <w:r>
              <w:rPr>
                <w:rFonts w:hint="eastAsia"/>
                <w:color w:val="auto"/>
                <w:sz w:val="24"/>
                <w:vertAlign w:val="subscript"/>
                <w:lang w:bidi="zh-CN"/>
              </w:rPr>
              <w:t>A</w:t>
            </w:r>
            <w:r>
              <w:rPr>
                <w:rFonts w:hint="eastAsia"/>
                <w:color w:val="auto"/>
                <w:sz w:val="24"/>
                <w:lang w:bidi="zh-CN"/>
              </w:rPr>
              <w:t>(r)=L</w:t>
            </w:r>
            <w:r>
              <w:rPr>
                <w:rFonts w:hint="eastAsia"/>
                <w:color w:val="auto"/>
                <w:sz w:val="24"/>
                <w:vertAlign w:val="subscript"/>
                <w:lang w:bidi="zh-CN"/>
              </w:rPr>
              <w:t>A</w:t>
            </w:r>
            <w:r>
              <w:rPr>
                <w:rFonts w:hint="eastAsia"/>
                <w:color w:val="auto"/>
                <w:sz w:val="24"/>
                <w:lang w:bidi="zh-CN"/>
              </w:rPr>
              <w:t>(r</w:t>
            </w:r>
            <w:r>
              <w:rPr>
                <w:rFonts w:hint="eastAsia"/>
                <w:color w:val="auto"/>
                <w:sz w:val="24"/>
                <w:vertAlign w:val="subscript"/>
                <w:lang w:bidi="zh-CN"/>
              </w:rPr>
              <w:t>0</w:t>
            </w:r>
            <w:r>
              <w:rPr>
                <w:rFonts w:hint="eastAsia"/>
                <w:color w:val="auto"/>
                <w:sz w:val="24"/>
                <w:lang w:bidi="zh-CN"/>
              </w:rPr>
              <w:t>)-A</w:t>
            </w:r>
            <w:r>
              <w:rPr>
                <w:rFonts w:hint="eastAsia"/>
                <w:color w:val="auto"/>
                <w:sz w:val="24"/>
                <w:vertAlign w:val="subscript"/>
                <w:lang w:bidi="zh-CN"/>
              </w:rPr>
              <w:t>div</w:t>
            </w:r>
          </w:p>
          <w:p w14:paraId="1F16FA58">
            <w:pPr>
              <w:spacing w:line="360" w:lineRule="auto"/>
              <w:ind w:firstLine="480" w:firstLineChars="200"/>
              <w:jc w:val="both"/>
              <w:rPr>
                <w:rFonts w:hint="eastAsia"/>
                <w:color w:val="auto"/>
                <w:sz w:val="24"/>
                <w:lang w:bidi="zh-CN"/>
              </w:rPr>
            </w:pPr>
            <w:r>
              <w:rPr>
                <w:rFonts w:hint="eastAsia"/>
                <w:color w:val="auto"/>
                <w:sz w:val="24"/>
                <w:lang w:bidi="zh-CN"/>
              </w:rPr>
              <w:t>式中：L</w:t>
            </w:r>
            <w:r>
              <w:rPr>
                <w:rFonts w:hint="eastAsia"/>
                <w:color w:val="auto"/>
                <w:sz w:val="24"/>
                <w:vertAlign w:val="subscript"/>
                <w:lang w:bidi="zh-CN"/>
              </w:rPr>
              <w:t>A</w:t>
            </w:r>
            <w:r>
              <w:rPr>
                <w:rFonts w:hint="eastAsia"/>
                <w:color w:val="auto"/>
                <w:sz w:val="24"/>
                <w:lang w:bidi="zh-CN"/>
              </w:rPr>
              <w:t>(r)—距声源r处的A声级，dB(A)；</w:t>
            </w:r>
          </w:p>
          <w:p w14:paraId="769CE7E9">
            <w:pPr>
              <w:spacing w:line="360" w:lineRule="auto"/>
              <w:ind w:firstLine="1200" w:firstLineChars="500"/>
              <w:jc w:val="both"/>
              <w:rPr>
                <w:rFonts w:hint="eastAsia"/>
                <w:color w:val="auto"/>
                <w:sz w:val="24"/>
                <w:lang w:bidi="zh-CN"/>
              </w:rPr>
            </w:pPr>
            <w:r>
              <w:rPr>
                <w:rFonts w:hint="eastAsia"/>
                <w:color w:val="auto"/>
                <w:sz w:val="24"/>
                <w:lang w:bidi="zh-CN"/>
              </w:rPr>
              <w:t>L</w:t>
            </w:r>
            <w:r>
              <w:rPr>
                <w:rFonts w:hint="eastAsia"/>
                <w:color w:val="auto"/>
                <w:sz w:val="24"/>
                <w:vertAlign w:val="subscript"/>
                <w:lang w:bidi="zh-CN"/>
              </w:rPr>
              <w:t>A</w:t>
            </w:r>
            <w:r>
              <w:rPr>
                <w:rFonts w:hint="eastAsia"/>
                <w:color w:val="auto"/>
                <w:sz w:val="24"/>
                <w:lang w:bidi="zh-CN"/>
              </w:rPr>
              <w:t>(r</w:t>
            </w:r>
            <w:r>
              <w:rPr>
                <w:rFonts w:hint="eastAsia"/>
                <w:color w:val="auto"/>
                <w:sz w:val="24"/>
                <w:vertAlign w:val="subscript"/>
                <w:lang w:bidi="zh-CN"/>
              </w:rPr>
              <w:t>0</w:t>
            </w:r>
            <w:r>
              <w:rPr>
                <w:rFonts w:hint="eastAsia"/>
                <w:color w:val="auto"/>
                <w:sz w:val="24"/>
                <w:lang w:bidi="zh-CN"/>
              </w:rPr>
              <w:t>)—参考位置r</w:t>
            </w:r>
            <w:r>
              <w:rPr>
                <w:rFonts w:hint="eastAsia"/>
                <w:color w:val="auto"/>
                <w:sz w:val="24"/>
                <w:vertAlign w:val="subscript"/>
                <w:lang w:bidi="zh-CN"/>
              </w:rPr>
              <w:t>0</w:t>
            </w:r>
            <w:r>
              <w:rPr>
                <w:rFonts w:hint="eastAsia"/>
                <w:color w:val="auto"/>
                <w:sz w:val="24"/>
                <w:lang w:bidi="zh-CN"/>
              </w:rPr>
              <w:t>处的A声级，dB(A)；</w:t>
            </w:r>
          </w:p>
          <w:p w14:paraId="227A904F">
            <w:pPr>
              <w:spacing w:line="360" w:lineRule="auto"/>
              <w:ind w:firstLine="1200" w:firstLineChars="500"/>
              <w:jc w:val="both"/>
              <w:rPr>
                <w:rFonts w:hint="eastAsia"/>
                <w:color w:val="auto"/>
                <w:sz w:val="24"/>
                <w:lang w:bidi="zh-CN"/>
              </w:rPr>
            </w:pPr>
            <w:r>
              <w:rPr>
                <w:rFonts w:hint="eastAsia"/>
                <w:color w:val="auto"/>
                <w:sz w:val="24"/>
                <w:lang w:bidi="zh-CN"/>
              </w:rPr>
              <w:t>A</w:t>
            </w:r>
            <w:r>
              <w:rPr>
                <w:rFonts w:hint="eastAsia"/>
                <w:color w:val="auto"/>
                <w:sz w:val="24"/>
                <w:vertAlign w:val="subscript"/>
                <w:lang w:bidi="zh-CN"/>
              </w:rPr>
              <w:t>div</w:t>
            </w:r>
            <w:r>
              <w:rPr>
                <w:rFonts w:hint="eastAsia"/>
                <w:color w:val="auto"/>
                <w:sz w:val="24"/>
                <w:lang w:bidi="zh-CN"/>
              </w:rPr>
              <w:t>—几何发散引起的衰减，dB。</w:t>
            </w:r>
          </w:p>
          <w:p w14:paraId="070C56FE">
            <w:pPr>
              <w:spacing w:line="360" w:lineRule="auto"/>
              <w:ind w:firstLine="480" w:firstLineChars="200"/>
              <w:jc w:val="both"/>
              <w:rPr>
                <w:rFonts w:hint="eastAsia"/>
                <w:color w:val="auto"/>
                <w:sz w:val="24"/>
                <w:lang w:bidi="zh-CN"/>
              </w:rPr>
            </w:pPr>
            <w:r>
              <w:rPr>
                <w:rFonts w:hint="eastAsia"/>
                <w:color w:val="auto"/>
                <w:sz w:val="24"/>
                <w:lang w:val="en-US" w:bidi="zh-CN"/>
              </w:rPr>
              <w:t>室内声源等效为室外声源后，声源处于半自由声场，</w:t>
            </w:r>
            <w:r>
              <w:rPr>
                <w:rFonts w:hint="eastAsia"/>
                <w:color w:val="auto"/>
                <w:sz w:val="24"/>
                <w:lang w:bidi="zh-CN"/>
              </w:rPr>
              <w:t>几何发散引起的衰减按照无指向性点声源几何发散衰减计算，</w:t>
            </w:r>
            <w:r>
              <w:rPr>
                <w:rFonts w:hint="eastAsia"/>
                <w:color w:val="auto"/>
                <w:sz w:val="24"/>
                <w:lang w:val="en-US" w:bidi="zh-CN"/>
              </w:rPr>
              <w:t>公式</w:t>
            </w:r>
            <w:r>
              <w:rPr>
                <w:rFonts w:hint="eastAsia"/>
                <w:color w:val="auto"/>
                <w:sz w:val="24"/>
                <w:lang w:bidi="zh-CN"/>
              </w:rPr>
              <w:t>为（A.</w:t>
            </w:r>
            <w:r>
              <w:rPr>
                <w:rFonts w:hint="eastAsia"/>
                <w:color w:val="auto"/>
                <w:sz w:val="24"/>
                <w:lang w:val="en-US" w:bidi="zh-CN"/>
              </w:rPr>
              <w:t>9</w:t>
            </w:r>
            <w:r>
              <w:rPr>
                <w:rFonts w:hint="eastAsia"/>
                <w:color w:val="auto"/>
                <w:sz w:val="24"/>
                <w:lang w:bidi="zh-CN"/>
              </w:rPr>
              <w:t>)</w:t>
            </w:r>
          </w:p>
          <w:p w14:paraId="48C482C2">
            <w:pPr>
              <w:wordWrap w:val="0"/>
              <w:spacing w:line="360" w:lineRule="auto"/>
              <w:ind w:firstLine="0" w:firstLineChars="0"/>
              <w:jc w:val="center"/>
              <w:rPr>
                <w:rFonts w:hint="default" w:eastAsia="宋体"/>
                <w:b/>
                <w:bCs/>
                <w:lang w:val="en-US" w:eastAsia="zh-CN"/>
              </w:rPr>
            </w:pPr>
            <w:r>
              <w:rPr>
                <w:rFonts w:hint="eastAsia" w:eastAsia="宋体"/>
                <w:b w:val="0"/>
                <w:bCs w:val="0"/>
                <w:sz w:val="24"/>
                <w:lang w:val="en-US" w:eastAsia="zh-CN"/>
              </w:rPr>
              <w:t>L</w:t>
            </w:r>
            <w:r>
              <w:rPr>
                <w:rFonts w:hint="eastAsia" w:eastAsia="宋体"/>
                <w:b w:val="0"/>
                <w:bCs w:val="0"/>
                <w:sz w:val="24"/>
                <w:vertAlign w:val="subscript"/>
                <w:lang w:val="en-US" w:eastAsia="zh-CN"/>
              </w:rPr>
              <w:t>p</w:t>
            </w:r>
            <w:r>
              <w:rPr>
                <w:rFonts w:hint="eastAsia" w:eastAsia="宋体"/>
                <w:b w:val="0"/>
                <w:bCs w:val="0"/>
                <w:sz w:val="24"/>
                <w:lang w:val="en-US" w:eastAsia="zh-CN"/>
              </w:rPr>
              <w:t>（r）=L</w:t>
            </w:r>
            <w:r>
              <w:rPr>
                <w:rFonts w:hint="eastAsia" w:eastAsia="宋体"/>
                <w:b w:val="0"/>
                <w:bCs w:val="0"/>
                <w:sz w:val="24"/>
                <w:vertAlign w:val="subscript"/>
                <w:lang w:val="en-US" w:eastAsia="zh-CN"/>
              </w:rPr>
              <w:t>w</w:t>
            </w:r>
            <w:r>
              <w:rPr>
                <w:rFonts w:hint="eastAsia" w:eastAsia="宋体"/>
                <w:b w:val="0"/>
                <w:bCs w:val="0"/>
                <w:sz w:val="24"/>
                <w:lang w:val="en-US" w:eastAsia="zh-CN"/>
              </w:rPr>
              <w:t>-20lgr-8</w:t>
            </w:r>
          </w:p>
          <w:p w14:paraId="571B7779">
            <w:pPr>
              <w:wordWrap w:val="0"/>
              <w:spacing w:line="360" w:lineRule="auto"/>
              <w:ind w:firstLine="480" w:firstLineChars="200"/>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式中：L</w:t>
            </w:r>
            <w:r>
              <w:rPr>
                <w:rFonts w:hint="eastAsia" w:ascii="Times New Roman" w:hAnsi="Times New Roman" w:eastAsia="宋体" w:cs="Times New Roman"/>
                <w:b w:val="0"/>
                <w:bCs w:val="0"/>
                <w:sz w:val="24"/>
                <w:vertAlign w:val="subscript"/>
                <w:lang w:eastAsia="zh-CN"/>
              </w:rPr>
              <w:t>p</w:t>
            </w:r>
            <w:r>
              <w:rPr>
                <w:rFonts w:hint="eastAsia" w:ascii="Times New Roman" w:hAnsi="Times New Roman" w:eastAsia="宋体" w:cs="Times New Roman"/>
                <w:b w:val="0"/>
                <w:bCs w:val="0"/>
                <w:sz w:val="24"/>
                <w:lang w:eastAsia="zh-CN"/>
              </w:rPr>
              <w:t>(r)——预测点处声压级，dB；</w:t>
            </w:r>
          </w:p>
          <w:p w14:paraId="7288720F">
            <w:pPr>
              <w:wordWrap w:val="0"/>
              <w:spacing w:line="360" w:lineRule="auto"/>
              <w:ind w:firstLine="1200" w:firstLineChars="500"/>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L</w:t>
            </w:r>
            <w:r>
              <w:rPr>
                <w:rFonts w:hint="eastAsia" w:ascii="Times New Roman" w:hAnsi="Times New Roman" w:eastAsia="宋体" w:cs="Times New Roman"/>
                <w:b w:val="0"/>
                <w:bCs w:val="0"/>
                <w:sz w:val="24"/>
                <w:vertAlign w:val="subscript"/>
                <w:lang w:eastAsia="zh-CN"/>
              </w:rPr>
              <w:t>w</w:t>
            </w:r>
            <w:r>
              <w:rPr>
                <w:rFonts w:hint="eastAsia" w:ascii="Times New Roman" w:hAnsi="Times New Roman" w:eastAsia="宋体" w:cs="Times New Roman"/>
                <w:b w:val="0"/>
                <w:bCs w:val="0"/>
                <w:sz w:val="24"/>
                <w:lang w:eastAsia="zh-CN"/>
              </w:rPr>
              <w:t>——由点声源产生的倍频带声功率级，dB；</w:t>
            </w:r>
          </w:p>
          <w:p w14:paraId="3260D72C">
            <w:pPr>
              <w:spacing w:line="360" w:lineRule="auto"/>
              <w:ind w:firstLine="1200" w:firstLineChars="500"/>
              <w:jc w:val="both"/>
              <w:rPr>
                <w:rFonts w:hint="eastAsia"/>
                <w:color w:val="auto"/>
                <w:sz w:val="24"/>
                <w:lang w:bidi="zh-CN"/>
              </w:rPr>
            </w:pPr>
            <w:r>
              <w:rPr>
                <w:rFonts w:hint="eastAsia" w:ascii="Times New Roman" w:hAnsi="Times New Roman" w:eastAsia="宋体" w:cs="Times New Roman"/>
                <w:b w:val="0"/>
                <w:bCs w:val="0"/>
                <w:sz w:val="24"/>
                <w:lang w:eastAsia="zh-CN"/>
              </w:rPr>
              <w:t>r——预测点距声源的距离。</w:t>
            </w:r>
          </w:p>
          <w:p w14:paraId="63F03BF4">
            <w:pPr>
              <w:spacing w:line="360" w:lineRule="auto"/>
              <w:ind w:firstLine="480" w:firstLineChars="200"/>
              <w:jc w:val="both"/>
              <w:rPr>
                <w:rFonts w:hint="eastAsia"/>
                <w:color w:val="auto"/>
                <w:sz w:val="24"/>
                <w:lang w:bidi="zh-CN"/>
              </w:rPr>
            </w:pPr>
            <w:r>
              <w:rPr>
                <w:rFonts w:hint="eastAsia"/>
                <w:color w:val="auto"/>
                <w:sz w:val="24"/>
                <w:lang w:val="en-US" w:bidi="zh-CN"/>
              </w:rPr>
              <w:t>本项目厂界无围墙，本次评价不考虑围墙阻隔，不考虑单绕射、双绕射。</w:t>
            </w:r>
            <w:r>
              <w:rPr>
                <w:rFonts w:hint="eastAsia"/>
                <w:color w:val="auto"/>
                <w:sz w:val="24"/>
                <w:lang w:bidi="zh-CN"/>
              </w:rPr>
              <w:t>具体预测结果见下表：</w:t>
            </w:r>
          </w:p>
          <w:p w14:paraId="05B54327">
            <w:pPr>
              <w:numPr>
                <w:ilvl w:val="0"/>
                <w:numId w:val="6"/>
              </w:numPr>
              <w:ind w:left="420" w:leftChars="0" w:hanging="420" w:firstLineChars="0"/>
              <w:jc w:val="center"/>
              <w:rPr>
                <w:rFonts w:hint="eastAsia" w:ascii="Times New Roman" w:hAnsi="Times New Roman" w:eastAsia="宋体" w:cs="Times New Roman"/>
                <w:b/>
                <w:bCs/>
                <w:szCs w:val="21"/>
                <w:highlight w:val="none"/>
                <w:lang w:val="en-US" w:eastAsia="zh-CN"/>
              </w:rPr>
            </w:pPr>
            <w:r>
              <w:rPr>
                <w:rFonts w:hint="eastAsia" w:ascii="Times New Roman" w:hAnsi="Times New Roman" w:eastAsia="宋体" w:cs="Times New Roman"/>
                <w:b/>
                <w:bCs/>
                <w:szCs w:val="21"/>
                <w:highlight w:val="none"/>
                <w:lang w:val="en-US" w:eastAsia="zh-CN"/>
              </w:rPr>
              <w:t>项目噪声预测结果（单位：dB(A)）</w:t>
            </w:r>
          </w:p>
          <w:tbl>
            <w:tblPr>
              <w:tblStyle w:val="26"/>
              <w:tblW w:w="7985"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414"/>
              <w:gridCol w:w="1341"/>
              <w:gridCol w:w="1113"/>
              <w:gridCol w:w="1200"/>
              <w:gridCol w:w="1135"/>
              <w:gridCol w:w="782"/>
            </w:tblGrid>
            <w:tr w14:paraId="0F78064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414" w:type="dxa"/>
                  <w:tcBorders>
                    <w:tl2br w:val="nil"/>
                    <w:tr2bl w:val="nil"/>
                  </w:tcBorders>
                  <w:noWrap w:val="0"/>
                  <w:vAlign w:val="center"/>
                </w:tcPr>
                <w:p w14:paraId="1003907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预测方位</w:t>
                  </w:r>
                </w:p>
              </w:tc>
              <w:tc>
                <w:tcPr>
                  <w:tcW w:w="1341" w:type="dxa"/>
                  <w:tcBorders>
                    <w:tl2br w:val="nil"/>
                    <w:tr2bl w:val="nil"/>
                  </w:tcBorders>
                  <w:noWrap w:val="0"/>
                  <w:vAlign w:val="center"/>
                </w:tcPr>
                <w:p w14:paraId="6C193B0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背景值</w:t>
                  </w:r>
                  <w:r>
                    <w:rPr>
                      <w:rFonts w:hint="default" w:ascii="Times New Roman" w:hAnsi="Times New Roman" w:eastAsia="宋体" w:cs="Times New Roman"/>
                      <w:color w:val="auto"/>
                      <w:sz w:val="21"/>
                      <w:szCs w:val="21"/>
                      <w:highlight w:val="none"/>
                    </w:rPr>
                    <w:t>（dB(A)）</w:t>
                  </w:r>
                </w:p>
              </w:tc>
              <w:tc>
                <w:tcPr>
                  <w:tcW w:w="1113" w:type="dxa"/>
                  <w:tcBorders>
                    <w:tl2br w:val="nil"/>
                    <w:tr2bl w:val="nil"/>
                  </w:tcBorders>
                  <w:noWrap w:val="0"/>
                  <w:vAlign w:val="center"/>
                </w:tcPr>
                <w:p w14:paraId="1968ADC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贡献值（dB(A)）</w:t>
                  </w:r>
                </w:p>
              </w:tc>
              <w:tc>
                <w:tcPr>
                  <w:tcW w:w="1200" w:type="dxa"/>
                  <w:tcBorders>
                    <w:tl2br w:val="nil"/>
                    <w:tr2bl w:val="nil"/>
                  </w:tcBorders>
                  <w:noWrap w:val="0"/>
                  <w:vAlign w:val="center"/>
                </w:tcPr>
                <w:p w14:paraId="4FDDB07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预测值</w:t>
                  </w:r>
                  <w:r>
                    <w:rPr>
                      <w:rFonts w:hint="default" w:ascii="Times New Roman" w:hAnsi="Times New Roman" w:eastAsia="宋体" w:cs="Times New Roman"/>
                      <w:color w:val="auto"/>
                      <w:sz w:val="21"/>
                      <w:szCs w:val="21"/>
                      <w:highlight w:val="none"/>
                    </w:rPr>
                    <w:t>（dB(A)）</w:t>
                  </w:r>
                </w:p>
              </w:tc>
              <w:tc>
                <w:tcPr>
                  <w:tcW w:w="1135" w:type="dxa"/>
                  <w:tcBorders>
                    <w:tl2br w:val="nil"/>
                    <w:tr2bl w:val="nil"/>
                  </w:tcBorders>
                  <w:noWrap w:val="0"/>
                  <w:vAlign w:val="center"/>
                </w:tcPr>
                <w:p w14:paraId="23BD603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标准限值（dB(A)）</w:t>
                  </w:r>
                </w:p>
              </w:tc>
              <w:tc>
                <w:tcPr>
                  <w:tcW w:w="782" w:type="dxa"/>
                  <w:tcBorders>
                    <w:tl2br w:val="nil"/>
                    <w:tr2bl w:val="nil"/>
                  </w:tcBorders>
                  <w:noWrap w:val="0"/>
                  <w:vAlign w:val="center"/>
                </w:tcPr>
                <w:p w14:paraId="5694AF0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r>
            <w:tr w14:paraId="1C2D42D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414" w:type="dxa"/>
                  <w:tcBorders>
                    <w:tl2br w:val="nil"/>
                    <w:tr2bl w:val="nil"/>
                  </w:tcBorders>
                  <w:noWrap w:val="0"/>
                  <w:vAlign w:val="center"/>
                </w:tcPr>
                <w:p w14:paraId="70BD4193">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项目东厂界</w:t>
                  </w:r>
                </w:p>
              </w:tc>
              <w:tc>
                <w:tcPr>
                  <w:tcW w:w="1341" w:type="dxa"/>
                  <w:tcBorders>
                    <w:tl2br w:val="nil"/>
                    <w:tr2bl w:val="nil"/>
                  </w:tcBorders>
                  <w:noWrap w:val="0"/>
                  <w:vAlign w:val="center"/>
                </w:tcPr>
                <w:p w14:paraId="48134F6C">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113" w:type="dxa"/>
                  <w:tcBorders>
                    <w:tl2br w:val="nil"/>
                    <w:tr2bl w:val="nil"/>
                  </w:tcBorders>
                  <w:noWrap w:val="0"/>
                  <w:vAlign w:val="center"/>
                </w:tcPr>
                <w:p w14:paraId="5EB13690">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47.3</w:t>
                  </w:r>
                </w:p>
              </w:tc>
              <w:tc>
                <w:tcPr>
                  <w:tcW w:w="1200" w:type="dxa"/>
                  <w:tcBorders>
                    <w:tl2br w:val="nil"/>
                    <w:tr2bl w:val="nil"/>
                  </w:tcBorders>
                  <w:noWrap w:val="0"/>
                  <w:vAlign w:val="center"/>
                </w:tcPr>
                <w:p w14:paraId="353A6F98">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35" w:type="dxa"/>
                  <w:tcBorders>
                    <w:tl2br w:val="nil"/>
                    <w:tr2bl w:val="nil"/>
                  </w:tcBorders>
                  <w:noWrap w:val="0"/>
                  <w:vAlign w:val="center"/>
                </w:tcPr>
                <w:p w14:paraId="5D36BB68">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782" w:type="dxa"/>
                  <w:tcBorders>
                    <w:tl2br w:val="nil"/>
                    <w:tr2bl w:val="nil"/>
                  </w:tcBorders>
                  <w:noWrap w:val="0"/>
                  <w:vAlign w:val="center"/>
                </w:tcPr>
                <w:p w14:paraId="4EFC3BAA">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594778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414" w:type="dxa"/>
                  <w:tcBorders>
                    <w:tl2br w:val="nil"/>
                    <w:tr2bl w:val="nil"/>
                  </w:tcBorders>
                  <w:noWrap w:val="0"/>
                  <w:vAlign w:val="center"/>
                </w:tcPr>
                <w:p w14:paraId="7D7FEB7F">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项目南厂界</w:t>
                  </w:r>
                </w:p>
              </w:tc>
              <w:tc>
                <w:tcPr>
                  <w:tcW w:w="1341" w:type="dxa"/>
                  <w:tcBorders>
                    <w:tl2br w:val="nil"/>
                    <w:tr2bl w:val="nil"/>
                  </w:tcBorders>
                  <w:noWrap w:val="0"/>
                  <w:vAlign w:val="center"/>
                </w:tcPr>
                <w:p w14:paraId="7AB22552">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113" w:type="dxa"/>
                  <w:tcBorders>
                    <w:tl2br w:val="nil"/>
                    <w:tr2bl w:val="nil"/>
                  </w:tcBorders>
                  <w:noWrap w:val="0"/>
                  <w:vAlign w:val="center"/>
                </w:tcPr>
                <w:p w14:paraId="687A61B7">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49.4</w:t>
                  </w:r>
                </w:p>
              </w:tc>
              <w:tc>
                <w:tcPr>
                  <w:tcW w:w="1200" w:type="dxa"/>
                  <w:tcBorders>
                    <w:tl2br w:val="nil"/>
                    <w:tr2bl w:val="nil"/>
                  </w:tcBorders>
                  <w:noWrap w:val="0"/>
                  <w:vAlign w:val="center"/>
                </w:tcPr>
                <w:p w14:paraId="598AD939">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35" w:type="dxa"/>
                  <w:tcBorders>
                    <w:tl2br w:val="nil"/>
                    <w:tr2bl w:val="nil"/>
                  </w:tcBorders>
                  <w:noWrap w:val="0"/>
                  <w:vAlign w:val="center"/>
                </w:tcPr>
                <w:p w14:paraId="2F1F44F2">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782" w:type="dxa"/>
                  <w:tcBorders>
                    <w:tl2br w:val="nil"/>
                    <w:tr2bl w:val="nil"/>
                  </w:tcBorders>
                  <w:noWrap w:val="0"/>
                  <w:vAlign w:val="center"/>
                </w:tcPr>
                <w:p w14:paraId="4CF56D97">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0A109D4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414" w:type="dxa"/>
                  <w:tcBorders>
                    <w:tl2br w:val="nil"/>
                    <w:tr2bl w:val="nil"/>
                  </w:tcBorders>
                  <w:noWrap w:val="0"/>
                  <w:vAlign w:val="center"/>
                </w:tcPr>
                <w:p w14:paraId="51B2E401">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项目西厂界</w:t>
                  </w:r>
                </w:p>
              </w:tc>
              <w:tc>
                <w:tcPr>
                  <w:tcW w:w="1341" w:type="dxa"/>
                  <w:tcBorders>
                    <w:tl2br w:val="nil"/>
                    <w:tr2bl w:val="nil"/>
                  </w:tcBorders>
                  <w:noWrap w:val="0"/>
                  <w:vAlign w:val="center"/>
                </w:tcPr>
                <w:p w14:paraId="47FC991E">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113" w:type="dxa"/>
                  <w:tcBorders>
                    <w:tl2br w:val="nil"/>
                    <w:tr2bl w:val="nil"/>
                  </w:tcBorders>
                  <w:noWrap w:val="0"/>
                  <w:vAlign w:val="center"/>
                </w:tcPr>
                <w:p w14:paraId="481272AD">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40.2</w:t>
                  </w:r>
                </w:p>
              </w:tc>
              <w:tc>
                <w:tcPr>
                  <w:tcW w:w="1200" w:type="dxa"/>
                  <w:tcBorders>
                    <w:tl2br w:val="nil"/>
                    <w:tr2bl w:val="nil"/>
                  </w:tcBorders>
                  <w:noWrap w:val="0"/>
                  <w:vAlign w:val="center"/>
                </w:tcPr>
                <w:p w14:paraId="0A7D1692">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35" w:type="dxa"/>
                  <w:tcBorders>
                    <w:tl2br w:val="nil"/>
                    <w:tr2bl w:val="nil"/>
                  </w:tcBorders>
                  <w:noWrap w:val="0"/>
                  <w:vAlign w:val="center"/>
                </w:tcPr>
                <w:p w14:paraId="1951BC44">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782" w:type="dxa"/>
                  <w:tcBorders>
                    <w:tl2br w:val="nil"/>
                    <w:tr2bl w:val="nil"/>
                  </w:tcBorders>
                  <w:noWrap w:val="0"/>
                  <w:vAlign w:val="center"/>
                </w:tcPr>
                <w:p w14:paraId="71AA2466">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6167EF4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414" w:type="dxa"/>
                  <w:tcBorders>
                    <w:tl2br w:val="nil"/>
                    <w:tr2bl w:val="nil"/>
                  </w:tcBorders>
                  <w:noWrap w:val="0"/>
                  <w:vAlign w:val="center"/>
                </w:tcPr>
                <w:p w14:paraId="4086763E">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项目北厂界</w:t>
                  </w:r>
                </w:p>
              </w:tc>
              <w:tc>
                <w:tcPr>
                  <w:tcW w:w="1341" w:type="dxa"/>
                  <w:tcBorders>
                    <w:tl2br w:val="nil"/>
                    <w:tr2bl w:val="nil"/>
                  </w:tcBorders>
                  <w:noWrap w:val="0"/>
                  <w:vAlign w:val="center"/>
                </w:tcPr>
                <w:p w14:paraId="6F65B43D">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113" w:type="dxa"/>
                  <w:tcBorders>
                    <w:tl2br w:val="nil"/>
                    <w:tr2bl w:val="nil"/>
                  </w:tcBorders>
                  <w:noWrap w:val="0"/>
                  <w:vAlign w:val="center"/>
                </w:tcPr>
                <w:p w14:paraId="0ED39906">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39.6</w:t>
                  </w:r>
                </w:p>
              </w:tc>
              <w:tc>
                <w:tcPr>
                  <w:tcW w:w="1200" w:type="dxa"/>
                  <w:tcBorders>
                    <w:tl2br w:val="nil"/>
                    <w:tr2bl w:val="nil"/>
                  </w:tcBorders>
                  <w:noWrap w:val="0"/>
                  <w:vAlign w:val="center"/>
                </w:tcPr>
                <w:p w14:paraId="5955B0B3">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35" w:type="dxa"/>
                  <w:tcBorders>
                    <w:tl2br w:val="nil"/>
                    <w:tr2bl w:val="nil"/>
                  </w:tcBorders>
                  <w:noWrap w:val="0"/>
                  <w:vAlign w:val="center"/>
                </w:tcPr>
                <w:p w14:paraId="083E3594">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782" w:type="dxa"/>
                  <w:tcBorders>
                    <w:tl2br w:val="nil"/>
                    <w:tr2bl w:val="nil"/>
                  </w:tcBorders>
                  <w:noWrap w:val="0"/>
                  <w:vAlign w:val="center"/>
                </w:tcPr>
                <w:p w14:paraId="01658C6A">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bl>
          <w:p w14:paraId="48EBDB7A">
            <w:pPr>
              <w:widowControl/>
              <w:autoSpaceDE w:val="0"/>
              <w:autoSpaceDN w:val="0"/>
              <w:spacing w:line="240" w:lineRule="auto"/>
              <w:jc w:val="both"/>
              <w:rPr>
                <w:szCs w:val="21"/>
                <w:highlight w:val="none"/>
              </w:rPr>
            </w:pPr>
            <w:r>
              <w:rPr>
                <w:rFonts w:hint="eastAsia"/>
                <w:b/>
                <w:bCs/>
                <w:szCs w:val="21"/>
                <w:highlight w:val="none"/>
                <w:lang w:val="en-US" w:eastAsia="zh-CN"/>
              </w:rPr>
              <w:t>注：由于</w:t>
            </w:r>
            <w:r>
              <w:rPr>
                <w:rFonts w:hint="eastAsia"/>
                <w:b/>
                <w:bCs/>
                <w:szCs w:val="21"/>
                <w:highlight w:val="none"/>
              </w:rPr>
              <w:t>项目原有设备更换大，</w:t>
            </w:r>
            <w:r>
              <w:rPr>
                <w:rFonts w:hint="eastAsia"/>
                <w:b/>
                <w:bCs/>
                <w:szCs w:val="21"/>
                <w:highlight w:val="none"/>
                <w:lang w:val="en-US" w:eastAsia="zh-CN"/>
              </w:rPr>
              <w:t>本次评价</w:t>
            </w:r>
            <w:r>
              <w:rPr>
                <w:rFonts w:hint="eastAsia"/>
                <w:b/>
                <w:bCs/>
                <w:szCs w:val="21"/>
                <w:highlight w:val="none"/>
              </w:rPr>
              <w:t>噪声进行全厂整体预测。</w:t>
            </w:r>
          </w:p>
          <w:p w14:paraId="46D4EA36">
            <w:pPr>
              <w:spacing w:line="360" w:lineRule="auto"/>
              <w:ind w:firstLine="480" w:firstLineChars="200"/>
              <w:rPr>
                <w:rFonts w:ascii="Times New Roman" w:hAnsi="Times New Roman" w:eastAsia="宋体" w:cs="Times New Roman"/>
                <w:sz w:val="24"/>
                <w:lang w:val="de-DE"/>
              </w:rPr>
            </w:pPr>
            <w:r>
              <w:rPr>
                <w:rFonts w:hint="eastAsia" w:ascii="Times New Roman" w:hAnsi="Times New Roman" w:eastAsia="宋体" w:cs="Times New Roman"/>
                <w:sz w:val="24"/>
                <w:lang w:val="de-DE"/>
              </w:rPr>
              <w:t>根据预测结果可知，项目运营期间仅白天生产，夜间不进行生产，项目厂界噪声满足《工业企业厂界环境噪声排放标准》（</w:t>
            </w:r>
            <w:r>
              <w:rPr>
                <w:rFonts w:ascii="Times New Roman" w:hAnsi="Times New Roman" w:eastAsia="宋体" w:cs="Times New Roman"/>
                <w:sz w:val="24"/>
                <w:lang w:val="de-DE"/>
              </w:rPr>
              <w:t>GB12348-2008</w:t>
            </w:r>
            <w:r>
              <w:rPr>
                <w:rFonts w:hint="eastAsia" w:ascii="Times New Roman" w:hAnsi="Times New Roman" w:eastAsia="宋体" w:cs="Times New Roman"/>
                <w:sz w:val="24"/>
                <w:lang w:val="de-DE"/>
              </w:rPr>
              <w:t>）表</w:t>
            </w:r>
            <w:r>
              <w:rPr>
                <w:rFonts w:ascii="Times New Roman" w:hAnsi="Times New Roman" w:eastAsia="宋体" w:cs="Times New Roman"/>
                <w:sz w:val="24"/>
                <w:lang w:val="de-DE"/>
              </w:rPr>
              <w:t>1</w:t>
            </w:r>
            <w:r>
              <w:rPr>
                <w:rFonts w:hint="eastAsia" w:ascii="Times New Roman" w:hAnsi="Times New Roman" w:eastAsia="宋体" w:cs="Times New Roman"/>
                <w:sz w:val="24"/>
                <w:lang w:val="de-DE"/>
              </w:rPr>
              <w:t>中</w:t>
            </w:r>
            <w:r>
              <w:rPr>
                <w:rFonts w:hint="eastAsia" w:cs="Times New Roman"/>
                <w:sz w:val="24"/>
                <w:lang w:val="en-US" w:eastAsia="zh-CN"/>
              </w:rPr>
              <w:t>3</w:t>
            </w:r>
            <w:r>
              <w:rPr>
                <w:rFonts w:hint="eastAsia" w:ascii="Times New Roman" w:hAnsi="Times New Roman" w:eastAsia="宋体" w:cs="Times New Roman"/>
                <w:sz w:val="24"/>
                <w:lang w:val="de-DE"/>
              </w:rPr>
              <w:t>类区域标准要求。</w:t>
            </w:r>
          </w:p>
          <w:p w14:paraId="6C3FAC1A">
            <w:pPr>
              <w:spacing w:line="360" w:lineRule="auto"/>
              <w:ind w:firstLine="480" w:firstLineChars="200"/>
              <w:rPr>
                <w:rFonts w:ascii="Times New Roman" w:hAnsi="Times New Roman" w:eastAsia="宋体" w:cs="Times New Roman"/>
                <w:sz w:val="24"/>
                <w:lang w:val="de-DE"/>
              </w:rPr>
            </w:pPr>
            <w:r>
              <w:rPr>
                <w:rFonts w:hint="eastAsia" w:ascii="Times New Roman" w:hAnsi="Times New Roman" w:eastAsia="宋体" w:cs="Times New Roman"/>
                <w:sz w:val="24"/>
                <w:lang w:val="de-DE"/>
              </w:rPr>
              <w:t>因此，本项目运营不会对周边声环境产生影响。</w:t>
            </w:r>
          </w:p>
          <w:p w14:paraId="401D68D7">
            <w:pPr>
              <w:spacing w:line="360" w:lineRule="auto"/>
              <w:ind w:firstLine="482" w:firstLineChars="200"/>
              <w:rPr>
                <w:rFonts w:hint="eastAsia" w:ascii="Times New Roman" w:hAnsi="Times New Roman" w:eastAsia="宋体" w:cs="Times New Roman"/>
                <w:b/>
                <w:bCs/>
                <w:sz w:val="24"/>
                <w:lang w:val="zh-CN"/>
              </w:rPr>
            </w:pPr>
            <w:r>
              <w:rPr>
                <w:rFonts w:hint="eastAsia" w:cs="Times New Roman"/>
                <w:b/>
                <w:bCs/>
                <w:sz w:val="24"/>
                <w:lang w:val="en-US" w:eastAsia="zh-CN"/>
              </w:rPr>
              <w:t>3.3</w:t>
            </w:r>
            <w:r>
              <w:rPr>
                <w:rFonts w:hint="eastAsia" w:ascii="Times New Roman" w:hAnsi="Times New Roman" w:eastAsia="宋体" w:cs="Times New Roman"/>
                <w:b/>
                <w:bCs/>
                <w:sz w:val="24"/>
                <w:lang w:val="zh-CN"/>
              </w:rPr>
              <w:t>监测计划</w:t>
            </w:r>
          </w:p>
          <w:p w14:paraId="72C9790B">
            <w:pPr>
              <w:spacing w:line="360" w:lineRule="auto"/>
              <w:ind w:firstLine="480" w:firstLineChars="200"/>
              <w:rPr>
                <w:rFonts w:hint="eastAsia" w:ascii="Times New Roman" w:hAnsi="Times New Roman" w:eastAsia="宋体" w:cs="Times New Roman"/>
                <w:sz w:val="24"/>
                <w:lang w:val="de-DE"/>
              </w:rPr>
            </w:pPr>
            <w:r>
              <w:rPr>
                <w:rFonts w:hint="eastAsia"/>
                <w:bCs/>
                <w:sz w:val="24"/>
              </w:rPr>
              <w:t>根据《排污许可证申请与核发技术规范 总则》（HJ942-2018）、《排污单位自行监测技术指南 总则》（HJ819-2017）中噪声污染源自行监测要求，具体详见下表</w:t>
            </w:r>
            <w:r>
              <w:rPr>
                <w:rFonts w:hint="eastAsia"/>
                <w:bCs/>
                <w:sz w:val="24"/>
                <w:lang w:eastAsia="zh-CN"/>
              </w:rPr>
              <w:t>：</w:t>
            </w:r>
          </w:p>
          <w:p w14:paraId="04252676">
            <w:pPr>
              <w:numPr>
                <w:ilvl w:val="0"/>
                <w:numId w:val="6"/>
              </w:numPr>
              <w:jc w:val="center"/>
              <w:rPr>
                <w:rFonts w:hint="eastAsia"/>
                <w:b/>
                <w:bCs/>
                <w:szCs w:val="21"/>
              </w:rPr>
            </w:pPr>
            <w:r>
              <w:rPr>
                <w:rFonts w:hint="eastAsia"/>
                <w:b/>
                <w:bCs/>
                <w:szCs w:val="21"/>
                <w:lang w:eastAsia="zh-CN"/>
              </w:rPr>
              <w:t>噪声</w:t>
            </w:r>
            <w:r>
              <w:rPr>
                <w:rFonts w:hint="eastAsia"/>
                <w:b/>
                <w:bCs/>
                <w:szCs w:val="21"/>
              </w:rPr>
              <w:t>监测要求表</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439"/>
              <w:gridCol w:w="1361"/>
              <w:gridCol w:w="1382"/>
              <w:gridCol w:w="3517"/>
            </w:tblGrid>
            <w:tr w14:paraId="0C7058D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439" w:type="dxa"/>
                  <w:noWrap w:val="0"/>
                  <w:vAlign w:val="center"/>
                </w:tcPr>
                <w:p w14:paraId="764EC112">
                  <w:pPr>
                    <w:spacing w:line="240" w:lineRule="exact"/>
                    <w:jc w:val="center"/>
                    <w:rPr>
                      <w:rFonts w:hint="eastAsia"/>
                      <w:bCs/>
                      <w:szCs w:val="21"/>
                    </w:rPr>
                  </w:pPr>
                  <w:r>
                    <w:rPr>
                      <w:rFonts w:hint="eastAsia"/>
                      <w:bCs/>
                      <w:szCs w:val="21"/>
                    </w:rPr>
                    <w:t>污染源类别</w:t>
                  </w:r>
                </w:p>
              </w:tc>
              <w:tc>
                <w:tcPr>
                  <w:tcW w:w="1361" w:type="dxa"/>
                  <w:noWrap w:val="0"/>
                  <w:vAlign w:val="center"/>
                </w:tcPr>
                <w:p w14:paraId="3FA80F02">
                  <w:pPr>
                    <w:spacing w:line="240" w:lineRule="exact"/>
                    <w:jc w:val="center"/>
                    <w:rPr>
                      <w:rFonts w:hint="eastAsia"/>
                      <w:bCs/>
                      <w:szCs w:val="21"/>
                    </w:rPr>
                  </w:pPr>
                  <w:r>
                    <w:rPr>
                      <w:rFonts w:hint="eastAsia"/>
                      <w:bCs/>
                      <w:szCs w:val="21"/>
                    </w:rPr>
                    <w:t>监测点位</w:t>
                  </w:r>
                </w:p>
              </w:tc>
              <w:tc>
                <w:tcPr>
                  <w:tcW w:w="1382" w:type="dxa"/>
                  <w:noWrap w:val="0"/>
                  <w:vAlign w:val="center"/>
                </w:tcPr>
                <w:p w14:paraId="59B04725">
                  <w:pPr>
                    <w:spacing w:line="240" w:lineRule="exact"/>
                    <w:jc w:val="center"/>
                    <w:rPr>
                      <w:rFonts w:hint="eastAsia"/>
                      <w:bCs/>
                      <w:szCs w:val="21"/>
                    </w:rPr>
                  </w:pPr>
                  <w:r>
                    <w:rPr>
                      <w:rFonts w:hint="eastAsia"/>
                      <w:bCs/>
                      <w:szCs w:val="21"/>
                    </w:rPr>
                    <w:t>监测项目</w:t>
                  </w:r>
                </w:p>
              </w:tc>
              <w:tc>
                <w:tcPr>
                  <w:tcW w:w="3517" w:type="dxa"/>
                  <w:noWrap w:val="0"/>
                  <w:vAlign w:val="center"/>
                </w:tcPr>
                <w:p w14:paraId="7F7EAADA">
                  <w:pPr>
                    <w:spacing w:line="240" w:lineRule="exact"/>
                    <w:jc w:val="center"/>
                    <w:rPr>
                      <w:rFonts w:hint="eastAsia"/>
                      <w:bCs/>
                      <w:szCs w:val="21"/>
                    </w:rPr>
                  </w:pPr>
                  <w:r>
                    <w:rPr>
                      <w:rFonts w:hint="eastAsia"/>
                      <w:bCs/>
                      <w:szCs w:val="21"/>
                    </w:rPr>
                    <w:t>监测频次</w:t>
                  </w:r>
                </w:p>
              </w:tc>
            </w:tr>
            <w:tr w14:paraId="5D6ECD9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439" w:type="dxa"/>
                  <w:noWrap w:val="0"/>
                  <w:vAlign w:val="center"/>
                </w:tcPr>
                <w:p w14:paraId="2661560C">
                  <w:pPr>
                    <w:spacing w:line="240" w:lineRule="exact"/>
                    <w:jc w:val="center"/>
                    <w:rPr>
                      <w:rFonts w:hint="eastAsia"/>
                      <w:bCs/>
                      <w:szCs w:val="21"/>
                    </w:rPr>
                  </w:pPr>
                  <w:r>
                    <w:rPr>
                      <w:rFonts w:hint="eastAsia"/>
                      <w:bCs/>
                      <w:szCs w:val="21"/>
                    </w:rPr>
                    <w:t>噪声</w:t>
                  </w:r>
                </w:p>
              </w:tc>
              <w:tc>
                <w:tcPr>
                  <w:tcW w:w="1361" w:type="dxa"/>
                  <w:noWrap w:val="0"/>
                  <w:vAlign w:val="center"/>
                </w:tcPr>
                <w:p w14:paraId="4F4FBCBC">
                  <w:pPr>
                    <w:spacing w:line="240" w:lineRule="exact"/>
                    <w:jc w:val="center"/>
                    <w:rPr>
                      <w:rFonts w:hint="eastAsia"/>
                      <w:bCs/>
                      <w:szCs w:val="21"/>
                    </w:rPr>
                  </w:pPr>
                  <w:r>
                    <w:rPr>
                      <w:rFonts w:hint="eastAsia"/>
                      <w:bCs/>
                      <w:szCs w:val="21"/>
                    </w:rPr>
                    <w:t>厂界四周</w:t>
                  </w:r>
                </w:p>
              </w:tc>
              <w:tc>
                <w:tcPr>
                  <w:tcW w:w="1382" w:type="dxa"/>
                  <w:noWrap w:val="0"/>
                  <w:vAlign w:val="center"/>
                </w:tcPr>
                <w:p w14:paraId="703C126C">
                  <w:pPr>
                    <w:spacing w:line="240" w:lineRule="exact"/>
                    <w:jc w:val="center"/>
                    <w:rPr>
                      <w:rFonts w:hint="eastAsia"/>
                      <w:bCs/>
                      <w:szCs w:val="21"/>
                    </w:rPr>
                  </w:pPr>
                  <w:r>
                    <w:rPr>
                      <w:rFonts w:hint="eastAsia"/>
                      <w:bCs/>
                      <w:szCs w:val="21"/>
                    </w:rPr>
                    <w:t>噪声</w:t>
                  </w:r>
                </w:p>
              </w:tc>
              <w:tc>
                <w:tcPr>
                  <w:tcW w:w="3517" w:type="dxa"/>
                  <w:noWrap w:val="0"/>
                  <w:vAlign w:val="center"/>
                </w:tcPr>
                <w:p w14:paraId="67B25AA8">
                  <w:pPr>
                    <w:spacing w:line="240" w:lineRule="exact"/>
                    <w:jc w:val="center"/>
                    <w:rPr>
                      <w:rFonts w:hint="eastAsia" w:eastAsia="宋体"/>
                      <w:bCs/>
                      <w:szCs w:val="21"/>
                      <w:lang w:eastAsia="zh-CN"/>
                    </w:rPr>
                  </w:pPr>
                  <w:r>
                    <w:rPr>
                      <w:rFonts w:hint="eastAsia"/>
                      <w:bCs/>
                      <w:szCs w:val="21"/>
                    </w:rPr>
                    <w:t>竣工验收1次，运营期1次/</w:t>
                  </w:r>
                  <w:r>
                    <w:rPr>
                      <w:rFonts w:hint="eastAsia"/>
                      <w:bCs/>
                      <w:szCs w:val="21"/>
                      <w:lang w:val="en-US" w:eastAsia="zh-CN"/>
                    </w:rPr>
                    <w:t>季度</w:t>
                  </w:r>
                </w:p>
              </w:tc>
            </w:tr>
          </w:tbl>
          <w:p w14:paraId="57A4F11A">
            <w:pPr>
              <w:ind w:firstLine="420" w:firstLineChars="200"/>
              <w:jc w:val="center"/>
              <w:rPr>
                <w:rFonts w:hint="eastAsia"/>
                <w:bCs/>
                <w:szCs w:val="21"/>
              </w:rPr>
            </w:pPr>
          </w:p>
          <w:p w14:paraId="7D9ACFEC">
            <w:pPr>
              <w:widowControl w:val="0"/>
              <w:adjustRightInd w:val="0"/>
              <w:snapToGrid w:val="0"/>
              <w:spacing w:line="360" w:lineRule="auto"/>
              <w:ind w:firstLine="482" w:firstLineChars="200"/>
              <w:rPr>
                <w:rFonts w:hint="eastAsia"/>
                <w:color w:val="auto"/>
                <w:sz w:val="24"/>
                <w:lang w:bidi="zh-CN"/>
              </w:rPr>
            </w:pPr>
            <w:r>
              <w:rPr>
                <w:b/>
                <w:sz w:val="24"/>
              </w:rPr>
              <w:t>综上所述，本项目产生噪声采取以上治理措施治理后，噪声能够得到有效控制，对区域声环境影响较小</w:t>
            </w:r>
            <w:r>
              <w:rPr>
                <w:rFonts w:hint="eastAsia"/>
                <w:b/>
                <w:sz w:val="24"/>
              </w:rPr>
              <w:t>。</w:t>
            </w:r>
          </w:p>
          <w:p w14:paraId="127ED7F2">
            <w:pPr>
              <w:spacing w:line="360" w:lineRule="auto"/>
              <w:ind w:firstLine="482" w:firstLineChars="200"/>
              <w:rPr>
                <w:sz w:val="24"/>
              </w:rPr>
            </w:pPr>
            <w:r>
              <w:rPr>
                <w:rFonts w:hint="eastAsia"/>
                <w:b/>
                <w:sz w:val="24"/>
                <w:lang w:val="en-US" w:eastAsia="zh-CN"/>
              </w:rPr>
              <w:t>4、</w:t>
            </w:r>
            <w:r>
              <w:rPr>
                <w:b/>
                <w:bCs/>
                <w:sz w:val="24"/>
              </w:rPr>
              <w:t>固体废物</w:t>
            </w:r>
            <w:r>
              <w:rPr>
                <w:b/>
                <w:sz w:val="24"/>
              </w:rPr>
              <w:t>排放及治理措施</w:t>
            </w:r>
          </w:p>
          <w:p w14:paraId="3DDDE7E6">
            <w:pPr>
              <w:wordWrap w:val="0"/>
              <w:spacing w:line="360" w:lineRule="auto"/>
              <w:ind w:firstLine="480" w:firstLineChars="200"/>
              <w:rPr>
                <w:rFonts w:hint="eastAsia"/>
                <w:sz w:val="24"/>
              </w:rPr>
            </w:pPr>
            <w:r>
              <w:rPr>
                <w:rFonts w:hint="eastAsia"/>
                <w:sz w:val="24"/>
              </w:rPr>
              <w:t>本项目固体废物分为一般固废和危险废物。其中一般固废包括生活垃圾、餐厨垃圾</w:t>
            </w:r>
            <w:r>
              <w:rPr>
                <w:rFonts w:hint="eastAsia"/>
                <w:sz w:val="24"/>
                <w:lang w:val="en-US" w:eastAsia="zh-CN"/>
              </w:rPr>
              <w:t>及废油脂</w:t>
            </w:r>
            <w:r>
              <w:rPr>
                <w:rFonts w:hint="eastAsia"/>
                <w:sz w:val="24"/>
              </w:rPr>
              <w:t>、筛分废料、拌合残渣、废沥青、沥青混凝土、沉淀池</w:t>
            </w:r>
            <w:r>
              <w:rPr>
                <w:rFonts w:hint="eastAsia"/>
                <w:sz w:val="24"/>
                <w:lang w:val="en-US" w:eastAsia="zh-CN"/>
              </w:rPr>
              <w:t>沉渣</w:t>
            </w:r>
            <w:r>
              <w:rPr>
                <w:rFonts w:hint="eastAsia"/>
                <w:sz w:val="24"/>
              </w:rPr>
              <w:t>、</w:t>
            </w:r>
            <w:r>
              <w:rPr>
                <w:rFonts w:hint="eastAsia"/>
                <w:sz w:val="24"/>
                <w:lang w:val="en-US" w:eastAsia="zh-CN"/>
              </w:rPr>
              <w:t>喷淋塔沉渣、</w:t>
            </w:r>
            <w:r>
              <w:rPr>
                <w:rFonts w:hint="eastAsia"/>
                <w:sz w:val="24"/>
              </w:rPr>
              <w:t>布袋除尘器收尘、车间内沉降粉尘、废布袋；危险废物包括废导热油、废</w:t>
            </w:r>
            <w:r>
              <w:rPr>
                <w:rFonts w:hint="eastAsia"/>
                <w:sz w:val="24"/>
                <w:lang w:val="en-US" w:eastAsia="zh-CN"/>
              </w:rPr>
              <w:t>过滤棉、废活性炭、</w:t>
            </w:r>
            <w:r>
              <w:rPr>
                <w:rFonts w:hint="eastAsia"/>
                <w:sz w:val="24"/>
              </w:rPr>
              <w:t>润滑油、</w:t>
            </w:r>
            <w:r>
              <w:rPr>
                <w:rFonts w:hint="eastAsia"/>
                <w:sz w:val="24"/>
                <w:highlight w:val="none"/>
                <w:lang w:val="en-US" w:eastAsia="zh-CN"/>
              </w:rPr>
              <w:t>废润滑油桶、</w:t>
            </w:r>
            <w:r>
              <w:rPr>
                <w:rFonts w:hint="eastAsia"/>
                <w:sz w:val="24"/>
              </w:rPr>
              <w:t>含油抹布手套</w:t>
            </w:r>
            <w:r>
              <w:rPr>
                <w:rFonts w:hint="eastAsia"/>
                <w:sz w:val="24"/>
                <w:lang w:eastAsia="zh-CN"/>
              </w:rPr>
              <w:t>、</w:t>
            </w:r>
            <w:r>
              <w:rPr>
                <w:rFonts w:hint="eastAsia"/>
                <w:sz w:val="24"/>
                <w:highlight w:val="none"/>
                <w:lang w:val="en-US" w:eastAsia="zh-CN"/>
              </w:rPr>
              <w:t>废包装桶、</w:t>
            </w:r>
            <w:r>
              <w:rPr>
                <w:rFonts w:hint="eastAsia"/>
                <w:sz w:val="24"/>
                <w:lang w:val="en-US" w:eastAsia="zh-CN"/>
              </w:rPr>
              <w:t>隔油池油污</w:t>
            </w:r>
            <w:r>
              <w:rPr>
                <w:rFonts w:hint="eastAsia"/>
                <w:sz w:val="24"/>
              </w:rPr>
              <w:t>等。</w:t>
            </w:r>
          </w:p>
          <w:p w14:paraId="28DC57A6">
            <w:pPr>
              <w:wordWrap w:val="0"/>
              <w:spacing w:line="360" w:lineRule="auto"/>
              <w:ind w:firstLine="482" w:firstLineChars="200"/>
              <w:rPr>
                <w:rFonts w:hint="eastAsia"/>
                <w:b/>
                <w:bCs/>
                <w:sz w:val="24"/>
              </w:rPr>
            </w:pPr>
            <w:r>
              <w:rPr>
                <w:rFonts w:hint="eastAsia"/>
                <w:b/>
                <w:bCs/>
                <w:sz w:val="24"/>
              </w:rPr>
              <w:t>4.1一般固废</w:t>
            </w:r>
          </w:p>
          <w:p w14:paraId="3080E138">
            <w:pPr>
              <w:wordWrap w:val="0"/>
              <w:spacing w:line="360" w:lineRule="auto"/>
              <w:ind w:firstLine="482" w:firstLineChars="200"/>
              <w:rPr>
                <w:rFonts w:hint="eastAsia"/>
                <w:b/>
                <w:bCs/>
                <w:sz w:val="24"/>
              </w:rPr>
            </w:pPr>
            <w:r>
              <w:rPr>
                <w:rFonts w:hint="eastAsia"/>
                <w:b/>
                <w:bCs/>
                <w:sz w:val="24"/>
              </w:rPr>
              <w:t>（1）产生情况</w:t>
            </w:r>
          </w:p>
          <w:p w14:paraId="4606E1D4">
            <w:pPr>
              <w:wordWrap w:val="0"/>
              <w:spacing w:line="360" w:lineRule="auto"/>
              <w:ind w:firstLine="482" w:firstLineChars="200"/>
              <w:rPr>
                <w:rFonts w:hint="eastAsia"/>
                <w:sz w:val="24"/>
              </w:rPr>
            </w:pPr>
            <w:r>
              <w:rPr>
                <w:rFonts w:hint="eastAsia"/>
                <w:b/>
                <w:bCs/>
                <w:sz w:val="24"/>
              </w:rPr>
              <w:t>生活垃圾：</w:t>
            </w:r>
            <w:r>
              <w:rPr>
                <w:rFonts w:hint="eastAsia"/>
                <w:sz w:val="24"/>
              </w:rPr>
              <w:t>生活垃圾量按0.40kg/人·d计算，本次改扩建新增劳动定员10人，改扩建完成后全厂劳动定员40人，产生量为</w:t>
            </w:r>
            <w:r>
              <w:rPr>
                <w:rFonts w:hint="eastAsia"/>
                <w:sz w:val="24"/>
                <w:lang w:val="en-US" w:eastAsia="zh-CN"/>
              </w:rPr>
              <w:t>5.28</w:t>
            </w:r>
            <w:r>
              <w:rPr>
                <w:rFonts w:hint="eastAsia"/>
                <w:sz w:val="24"/>
              </w:rPr>
              <w:t>t/a。</w:t>
            </w:r>
          </w:p>
          <w:p w14:paraId="2B24081C">
            <w:pPr>
              <w:wordWrap w:val="0"/>
              <w:spacing w:line="360" w:lineRule="auto"/>
              <w:ind w:firstLine="482" w:firstLineChars="200"/>
              <w:rPr>
                <w:rFonts w:hint="eastAsia"/>
                <w:sz w:val="24"/>
              </w:rPr>
            </w:pPr>
            <w:r>
              <w:rPr>
                <w:rFonts w:hint="eastAsia"/>
                <w:b/>
                <w:bCs/>
                <w:sz w:val="24"/>
              </w:rPr>
              <w:t>餐厨垃圾及废油脂：</w:t>
            </w:r>
            <w:r>
              <w:rPr>
                <w:rFonts w:hint="eastAsia"/>
                <w:sz w:val="24"/>
              </w:rPr>
              <w:t>本项目设置有员工食堂，餐厨垃圾及废油脂按0.1kg/人·d计，则餐厨垃圾及废油脂产生量为</w:t>
            </w:r>
            <w:r>
              <w:rPr>
                <w:rFonts w:hint="eastAsia"/>
                <w:sz w:val="24"/>
                <w:lang w:val="en-US" w:eastAsia="zh-CN"/>
              </w:rPr>
              <w:t>1.32</w:t>
            </w:r>
            <w:r>
              <w:rPr>
                <w:rFonts w:hint="eastAsia"/>
                <w:sz w:val="24"/>
              </w:rPr>
              <w:t>t/a。</w:t>
            </w:r>
          </w:p>
          <w:p w14:paraId="30948345">
            <w:pPr>
              <w:wordWrap w:val="0"/>
              <w:spacing w:line="360" w:lineRule="auto"/>
              <w:ind w:firstLine="482" w:firstLineChars="200"/>
              <w:rPr>
                <w:rFonts w:hint="eastAsia"/>
                <w:sz w:val="24"/>
              </w:rPr>
            </w:pPr>
            <w:r>
              <w:rPr>
                <w:rFonts w:hint="eastAsia"/>
                <w:b/>
                <w:bCs/>
                <w:sz w:val="24"/>
              </w:rPr>
              <w:t>筛分废料：</w:t>
            </w:r>
            <w:r>
              <w:rPr>
                <w:rFonts w:hint="eastAsia"/>
                <w:sz w:val="24"/>
              </w:rPr>
              <w:t>碎石骨料经干燥后通过提升机进入振动筛，筛分后合格的碎石进入搅拌缸内搅拌，筛选不合格（粒径过大）的碎石则不能进入生产线。根据建设单位提供的资料，振动筛选出来的废石料约占石料原料用量的0.1%，</w:t>
            </w:r>
            <w:r>
              <w:rPr>
                <w:rFonts w:hint="eastAsia"/>
                <w:b w:val="0"/>
                <w:bCs w:val="0"/>
                <w:sz w:val="24"/>
                <w:highlight w:val="none"/>
              </w:rPr>
              <w:t>项目石料原料用量为</w:t>
            </w:r>
            <w:r>
              <w:rPr>
                <w:rFonts w:hint="eastAsia"/>
                <w:b w:val="0"/>
                <w:bCs w:val="0"/>
                <w:sz w:val="24"/>
                <w:highlight w:val="none"/>
                <w:lang w:val="en-US" w:eastAsia="zh-CN"/>
              </w:rPr>
              <w:t>239350</w:t>
            </w:r>
            <w:r>
              <w:rPr>
                <w:rFonts w:hint="eastAsia"/>
                <w:b w:val="0"/>
                <w:bCs w:val="0"/>
                <w:sz w:val="24"/>
                <w:highlight w:val="none"/>
              </w:rPr>
              <w:t>t/a，则筛分废料产生量约</w:t>
            </w:r>
            <w:r>
              <w:rPr>
                <w:rFonts w:hint="eastAsia"/>
                <w:b w:val="0"/>
                <w:bCs w:val="0"/>
                <w:sz w:val="24"/>
                <w:highlight w:val="none"/>
                <w:lang w:val="en-US" w:eastAsia="zh-CN"/>
              </w:rPr>
              <w:t>239.35</w:t>
            </w:r>
            <w:r>
              <w:rPr>
                <w:rFonts w:hint="eastAsia"/>
                <w:b w:val="0"/>
                <w:bCs w:val="0"/>
                <w:sz w:val="24"/>
                <w:highlight w:val="none"/>
              </w:rPr>
              <w:t>t/a，</w:t>
            </w:r>
            <w:r>
              <w:rPr>
                <w:rFonts w:hint="eastAsia"/>
                <w:sz w:val="24"/>
              </w:rPr>
              <w:t>由骨料供应商回收。</w:t>
            </w:r>
          </w:p>
          <w:p w14:paraId="46F33F95">
            <w:pPr>
              <w:wordWrap w:val="0"/>
              <w:spacing w:line="360" w:lineRule="auto"/>
              <w:ind w:firstLine="482" w:firstLineChars="200"/>
              <w:rPr>
                <w:rFonts w:hint="eastAsia"/>
                <w:sz w:val="24"/>
              </w:rPr>
            </w:pPr>
            <w:r>
              <w:rPr>
                <w:rFonts w:hint="eastAsia"/>
                <w:b/>
                <w:bCs/>
                <w:sz w:val="24"/>
              </w:rPr>
              <w:t>拌合残渣、废沥青、沥青混凝土：</w:t>
            </w:r>
            <w:r>
              <w:rPr>
                <w:rFonts w:hint="eastAsia"/>
                <w:sz w:val="24"/>
              </w:rPr>
              <w:t>本项目沥青混凝土搅拌缸会产生少量的拌合残渣，以及生产检测中心试验过程产生的废沥青、废沥青混凝土，根据物料平衡，</w:t>
            </w:r>
            <w:r>
              <w:rPr>
                <w:rFonts w:hint="eastAsia"/>
                <w:sz w:val="24"/>
                <w:highlight w:val="none"/>
              </w:rPr>
              <w:t>拌合残渣、废沥青、沥青混凝土年产生量约为19.</w:t>
            </w:r>
            <w:r>
              <w:rPr>
                <w:rFonts w:hint="eastAsia"/>
                <w:sz w:val="24"/>
                <w:highlight w:val="none"/>
                <w:lang w:val="en-US" w:eastAsia="zh-CN"/>
              </w:rPr>
              <w:t>8498</w:t>
            </w:r>
            <w:r>
              <w:rPr>
                <w:rFonts w:hint="eastAsia"/>
                <w:sz w:val="24"/>
                <w:highlight w:val="none"/>
              </w:rPr>
              <w:t>t/a。</w:t>
            </w:r>
            <w:r>
              <w:rPr>
                <w:rFonts w:hint="eastAsia"/>
                <w:sz w:val="24"/>
              </w:rPr>
              <w:t>收集后返回生产线。</w:t>
            </w:r>
          </w:p>
          <w:p w14:paraId="6E5A3CFD">
            <w:pPr>
              <w:wordWrap w:val="0"/>
              <w:spacing w:line="360" w:lineRule="auto"/>
              <w:ind w:firstLine="482" w:firstLineChars="200"/>
              <w:rPr>
                <w:rFonts w:hint="eastAsia"/>
                <w:sz w:val="24"/>
              </w:rPr>
            </w:pPr>
            <w:r>
              <w:rPr>
                <w:rFonts w:hint="eastAsia"/>
                <w:b/>
                <w:bCs/>
                <w:sz w:val="24"/>
                <w:highlight w:val="none"/>
              </w:rPr>
              <w:t>沉淀池</w:t>
            </w:r>
            <w:r>
              <w:rPr>
                <w:rFonts w:hint="eastAsia"/>
                <w:b/>
                <w:bCs/>
                <w:sz w:val="24"/>
                <w:highlight w:val="none"/>
                <w:lang w:val="en-US" w:eastAsia="zh-CN"/>
              </w:rPr>
              <w:t>沉渣</w:t>
            </w:r>
            <w:r>
              <w:rPr>
                <w:rFonts w:hint="eastAsia"/>
                <w:b/>
                <w:bCs/>
                <w:sz w:val="24"/>
                <w:highlight w:val="none"/>
              </w:rPr>
              <w:t>：</w:t>
            </w:r>
            <w:r>
              <w:rPr>
                <w:rFonts w:hint="eastAsia"/>
                <w:sz w:val="24"/>
                <w:highlight w:val="none"/>
              </w:rPr>
              <w:t>沉淀池沉渣产生量约</w:t>
            </w:r>
            <w:r>
              <w:rPr>
                <w:rFonts w:hint="eastAsia"/>
                <w:sz w:val="24"/>
                <w:highlight w:val="none"/>
                <w:lang w:val="en-US" w:eastAsia="zh-CN"/>
              </w:rPr>
              <w:t>2</w:t>
            </w:r>
            <w:r>
              <w:rPr>
                <w:rFonts w:hint="eastAsia"/>
                <w:sz w:val="24"/>
                <w:highlight w:val="none"/>
              </w:rPr>
              <w:t>t/a；</w:t>
            </w:r>
          </w:p>
          <w:p w14:paraId="248CC883">
            <w:pPr>
              <w:wordWrap w:val="0"/>
              <w:spacing w:line="360" w:lineRule="auto"/>
              <w:ind w:firstLine="482" w:firstLineChars="200"/>
              <w:rPr>
                <w:rFonts w:hint="default" w:eastAsia="宋体"/>
                <w:b w:val="0"/>
                <w:bCs w:val="0"/>
                <w:sz w:val="24"/>
                <w:lang w:val="en-US" w:eastAsia="zh-CN"/>
              </w:rPr>
            </w:pPr>
            <w:r>
              <w:rPr>
                <w:rFonts w:hint="eastAsia"/>
                <w:b/>
                <w:bCs/>
                <w:sz w:val="24"/>
                <w:lang w:val="en-US" w:eastAsia="zh-CN"/>
              </w:rPr>
              <w:t>喷淋塔沉渣：</w:t>
            </w:r>
            <w:r>
              <w:rPr>
                <w:rFonts w:hint="eastAsia"/>
                <w:sz w:val="24"/>
                <w:szCs w:val="24"/>
                <w:lang w:val="en-US" w:eastAsia="zh-CN"/>
              </w:rPr>
              <w:t>本项目沥青搅拌、加热、卸料废气</w:t>
            </w:r>
            <w:r>
              <w:rPr>
                <w:rFonts w:hint="eastAsia"/>
                <w:sz w:val="24"/>
                <w:lang w:val="en-US" w:eastAsia="zh-CN"/>
              </w:rPr>
              <w:t>采用喷淋+干式过滤+活性炭吸附脱附+催化燃烧装置进行处理，喷淋用水为普通的自来水，喷淋水循环使用，定期打捞沉渣，喷淋塔沉渣产生量约为0.02</w:t>
            </w:r>
            <w:r>
              <w:rPr>
                <w:rFonts w:hint="eastAsia"/>
                <w:sz w:val="24"/>
                <w:highlight w:val="none"/>
              </w:rPr>
              <w:t>t/a；</w:t>
            </w:r>
          </w:p>
          <w:p w14:paraId="4946FB06">
            <w:pPr>
              <w:wordWrap w:val="0"/>
              <w:spacing w:line="360" w:lineRule="auto"/>
              <w:ind w:firstLine="482" w:firstLineChars="200"/>
              <w:rPr>
                <w:rFonts w:hint="eastAsia"/>
                <w:sz w:val="24"/>
              </w:rPr>
            </w:pPr>
            <w:r>
              <w:rPr>
                <w:rFonts w:hint="eastAsia"/>
                <w:b/>
                <w:bCs/>
                <w:sz w:val="24"/>
              </w:rPr>
              <w:t>除尘器收尘：</w:t>
            </w:r>
            <w:r>
              <w:rPr>
                <w:rFonts w:hint="eastAsia"/>
                <w:sz w:val="24"/>
              </w:rPr>
              <w:t>本项目</w:t>
            </w:r>
            <w:r>
              <w:rPr>
                <w:rFonts w:hint="eastAsia"/>
                <w:sz w:val="24"/>
                <w:lang w:val="en-US" w:eastAsia="zh-CN"/>
              </w:rPr>
              <w:t>产生粉尘经布袋除尘器</w:t>
            </w:r>
            <w:r>
              <w:rPr>
                <w:rFonts w:hint="eastAsia"/>
                <w:sz w:val="24"/>
              </w:rPr>
              <w:t>处理后会产生除尘灰，根据前文工程分析，</w:t>
            </w:r>
            <w:r>
              <w:rPr>
                <w:rFonts w:hint="eastAsia"/>
                <w:sz w:val="24"/>
                <w:highlight w:val="none"/>
              </w:rPr>
              <w:t>产生量约为528.239</w:t>
            </w:r>
            <w:r>
              <w:rPr>
                <w:rFonts w:hint="eastAsia"/>
                <w:sz w:val="24"/>
                <w:highlight w:val="none"/>
                <w:lang w:val="en-US" w:eastAsia="zh-CN"/>
              </w:rPr>
              <w:t>8</w:t>
            </w:r>
            <w:r>
              <w:rPr>
                <w:rFonts w:hint="eastAsia"/>
                <w:sz w:val="24"/>
                <w:highlight w:val="none"/>
              </w:rPr>
              <w:t>t/a；</w:t>
            </w:r>
          </w:p>
          <w:p w14:paraId="126837DB">
            <w:pPr>
              <w:wordWrap w:val="0"/>
              <w:spacing w:line="360" w:lineRule="auto"/>
              <w:ind w:firstLine="482" w:firstLineChars="200"/>
              <w:rPr>
                <w:rFonts w:hint="eastAsia"/>
                <w:sz w:val="24"/>
              </w:rPr>
            </w:pPr>
            <w:r>
              <w:rPr>
                <w:rFonts w:hint="eastAsia"/>
                <w:b/>
                <w:bCs/>
                <w:sz w:val="24"/>
              </w:rPr>
              <w:t>车间内沉降粉尘：</w:t>
            </w:r>
            <w:r>
              <w:rPr>
                <w:rFonts w:hint="eastAsia"/>
                <w:sz w:val="24"/>
              </w:rPr>
              <w:t>根据前文工程分析，本项目生产过程中产生的粉尘会在车间内自然沉降，定期由人工清扫，</w:t>
            </w:r>
            <w:r>
              <w:rPr>
                <w:rFonts w:hint="eastAsia"/>
                <w:sz w:val="24"/>
                <w:highlight w:val="none"/>
              </w:rPr>
              <w:t>产生量约</w:t>
            </w:r>
            <w:r>
              <w:rPr>
                <w:rFonts w:hint="eastAsia"/>
                <w:sz w:val="24"/>
                <w:highlight w:val="none"/>
                <w:lang w:val="en-US" w:eastAsia="zh-CN"/>
              </w:rPr>
              <w:t>35.1151</w:t>
            </w:r>
            <w:r>
              <w:rPr>
                <w:rFonts w:hint="eastAsia"/>
                <w:sz w:val="24"/>
                <w:highlight w:val="none"/>
              </w:rPr>
              <w:t>t/a；</w:t>
            </w:r>
          </w:p>
          <w:p w14:paraId="4BF0F519">
            <w:pPr>
              <w:wordWrap w:val="0"/>
              <w:spacing w:line="360" w:lineRule="auto"/>
              <w:ind w:firstLine="482" w:firstLineChars="200"/>
              <w:rPr>
                <w:rFonts w:hint="eastAsia"/>
                <w:sz w:val="24"/>
              </w:rPr>
            </w:pPr>
            <w:r>
              <w:rPr>
                <w:rFonts w:hint="eastAsia"/>
                <w:b/>
                <w:bCs/>
                <w:sz w:val="24"/>
              </w:rPr>
              <w:t>废布袋：</w:t>
            </w:r>
            <w:r>
              <w:rPr>
                <w:rFonts w:hint="eastAsia"/>
                <w:sz w:val="24"/>
              </w:rPr>
              <w:t>本项目除尘器的保养维修均由设备厂家定期到厂完成，更换新布袋的同时将废布袋带回厂，废布袋产生量约为0.</w:t>
            </w:r>
            <w:r>
              <w:rPr>
                <w:rFonts w:hint="eastAsia"/>
                <w:sz w:val="24"/>
                <w:lang w:val="en-US" w:eastAsia="zh-CN"/>
              </w:rPr>
              <w:t>8</w:t>
            </w:r>
            <w:r>
              <w:rPr>
                <w:rFonts w:hint="eastAsia"/>
                <w:sz w:val="24"/>
              </w:rPr>
              <w:t>t/a。</w:t>
            </w:r>
          </w:p>
          <w:p w14:paraId="3E3777FA">
            <w:pPr>
              <w:wordWrap w:val="0"/>
              <w:spacing w:line="360" w:lineRule="auto"/>
              <w:ind w:firstLine="482" w:firstLineChars="200"/>
              <w:rPr>
                <w:rFonts w:hint="eastAsia"/>
                <w:b/>
                <w:bCs/>
                <w:sz w:val="24"/>
              </w:rPr>
            </w:pPr>
            <w:r>
              <w:rPr>
                <w:rFonts w:hint="eastAsia"/>
                <w:b/>
                <w:bCs/>
                <w:sz w:val="24"/>
              </w:rPr>
              <w:t>（2）拟采取的治理措施</w:t>
            </w:r>
          </w:p>
          <w:p w14:paraId="5569A33A">
            <w:pPr>
              <w:wordWrap w:val="0"/>
              <w:spacing w:line="360" w:lineRule="auto"/>
              <w:ind w:firstLine="480" w:firstLineChars="200"/>
              <w:rPr>
                <w:rFonts w:hint="eastAsia"/>
                <w:sz w:val="24"/>
              </w:rPr>
            </w:pPr>
            <w:r>
              <w:rPr>
                <w:rFonts w:hint="eastAsia"/>
                <w:sz w:val="24"/>
              </w:rPr>
              <w:t>本项目产生的筛分废料由骨料供应商回收；</w:t>
            </w:r>
            <w:r>
              <w:rPr>
                <w:rFonts w:hint="eastAsia"/>
                <w:sz w:val="24"/>
                <w:highlight w:val="none"/>
                <w:lang w:val="en-US" w:eastAsia="zh-CN"/>
              </w:rPr>
              <w:t>废布袋由设备厂家回收；</w:t>
            </w:r>
            <w:r>
              <w:rPr>
                <w:rFonts w:hint="eastAsia"/>
                <w:sz w:val="24"/>
              </w:rPr>
              <w:t>拌合残渣、废沥青、沥青混凝土、除尘器收尘、车间内沉降粉尘暂存于</w:t>
            </w:r>
            <w:r>
              <w:rPr>
                <w:rFonts w:hint="eastAsia"/>
                <w:sz w:val="24"/>
                <w:lang w:val="en-US" w:eastAsia="zh-CN"/>
              </w:rPr>
              <w:t>砂石骨料仓内</w:t>
            </w:r>
            <w:r>
              <w:rPr>
                <w:rFonts w:hint="eastAsia"/>
                <w:sz w:val="24"/>
              </w:rPr>
              <w:t>，作为原料返回生产线使用</w:t>
            </w:r>
            <w:r>
              <w:rPr>
                <w:rFonts w:hint="eastAsia"/>
                <w:sz w:val="24"/>
                <w:lang w:eastAsia="zh-CN"/>
              </w:rPr>
              <w:t>；</w:t>
            </w:r>
            <w:r>
              <w:rPr>
                <w:rFonts w:hint="eastAsia"/>
                <w:sz w:val="24"/>
              </w:rPr>
              <w:t>沉淀池</w:t>
            </w:r>
            <w:r>
              <w:rPr>
                <w:rFonts w:hint="eastAsia"/>
                <w:sz w:val="24"/>
                <w:lang w:val="en-US" w:eastAsia="zh-CN"/>
              </w:rPr>
              <w:t>沉渣、喷淋塔沉渣定期清掏后回用于生产线；</w:t>
            </w:r>
            <w:r>
              <w:rPr>
                <w:rFonts w:hint="eastAsia"/>
                <w:sz w:val="24"/>
              </w:rPr>
              <w:t>办公区设置垃圾桶</w:t>
            </w:r>
            <w:r>
              <w:rPr>
                <w:rFonts w:hint="eastAsia"/>
                <w:sz w:val="24"/>
                <w:lang w:eastAsia="zh-CN"/>
              </w:rPr>
              <w:t>，</w:t>
            </w:r>
            <w:r>
              <w:rPr>
                <w:rFonts w:hint="eastAsia"/>
                <w:sz w:val="24"/>
              </w:rPr>
              <w:t>生活垃圾</w:t>
            </w:r>
            <w:r>
              <w:rPr>
                <w:rFonts w:hint="eastAsia"/>
                <w:sz w:val="24"/>
                <w:lang w:val="en-US" w:eastAsia="zh-CN"/>
              </w:rPr>
              <w:t>经</w:t>
            </w:r>
            <w:r>
              <w:rPr>
                <w:rFonts w:hint="eastAsia"/>
                <w:sz w:val="24"/>
              </w:rPr>
              <w:t>收集</w:t>
            </w:r>
            <w:r>
              <w:rPr>
                <w:rFonts w:hint="eastAsia"/>
                <w:sz w:val="24"/>
                <w:lang w:val="en-US" w:eastAsia="zh-CN"/>
              </w:rPr>
              <w:t>后同意交由环卫部门清运；食堂内部设置专用收集桶，</w:t>
            </w:r>
            <w:r>
              <w:rPr>
                <w:rFonts w:hint="eastAsia"/>
                <w:sz w:val="24"/>
              </w:rPr>
              <w:t>餐厨垃圾</w:t>
            </w:r>
            <w:r>
              <w:rPr>
                <w:rFonts w:hint="eastAsia"/>
                <w:sz w:val="24"/>
                <w:lang w:val="en-US" w:eastAsia="zh-CN"/>
              </w:rPr>
              <w:t>及废油脂经统一收集后24h内交由有资质单位处置</w:t>
            </w:r>
            <w:r>
              <w:rPr>
                <w:rFonts w:hint="eastAsia"/>
                <w:sz w:val="24"/>
              </w:rPr>
              <w:t>。</w:t>
            </w:r>
          </w:p>
          <w:p w14:paraId="027D86D9">
            <w:pPr>
              <w:wordWrap w:val="0"/>
              <w:spacing w:line="360" w:lineRule="auto"/>
              <w:ind w:firstLine="482" w:firstLineChars="200"/>
              <w:rPr>
                <w:rFonts w:hint="eastAsia"/>
                <w:b/>
                <w:bCs/>
                <w:sz w:val="24"/>
              </w:rPr>
            </w:pPr>
            <w:r>
              <w:rPr>
                <w:rFonts w:hint="eastAsia"/>
                <w:b/>
                <w:bCs/>
                <w:sz w:val="24"/>
              </w:rPr>
              <w:t>4.2危险废物</w:t>
            </w:r>
          </w:p>
          <w:p w14:paraId="2B3E67ED">
            <w:pPr>
              <w:wordWrap w:val="0"/>
              <w:spacing w:line="360" w:lineRule="auto"/>
              <w:ind w:firstLine="482" w:firstLineChars="200"/>
              <w:rPr>
                <w:rFonts w:hint="eastAsia"/>
                <w:b/>
                <w:bCs/>
                <w:sz w:val="24"/>
              </w:rPr>
            </w:pPr>
            <w:r>
              <w:rPr>
                <w:rFonts w:hint="eastAsia"/>
                <w:b/>
                <w:bCs/>
                <w:sz w:val="24"/>
              </w:rPr>
              <w:t>（1）产生情况</w:t>
            </w:r>
          </w:p>
          <w:p w14:paraId="2CC0ED2C">
            <w:pPr>
              <w:wordWrap w:val="0"/>
              <w:spacing w:line="360" w:lineRule="auto"/>
              <w:ind w:firstLine="482" w:firstLineChars="200"/>
              <w:rPr>
                <w:rFonts w:hint="eastAsia"/>
                <w:sz w:val="24"/>
              </w:rPr>
            </w:pPr>
            <w:r>
              <w:rPr>
                <w:rFonts w:hint="eastAsia"/>
                <w:b/>
                <w:bCs/>
                <w:sz w:val="24"/>
              </w:rPr>
              <w:t>废导热油：</w:t>
            </w:r>
            <w:r>
              <w:rPr>
                <w:rFonts w:hint="eastAsia"/>
                <w:sz w:val="24"/>
              </w:rPr>
              <w:t>本项目在沥青加热工序中需要使用导热油作为传热介质，需要定期更换保证其导热性能，本项目导热油3年更换一次，废导热油更换下来后直接交由有资质的回收单位进行回收处理，厂区不贮存，废导热油更换量为5t/3a，属于《国家危险废物名录（202</w:t>
            </w:r>
            <w:r>
              <w:rPr>
                <w:rFonts w:hint="eastAsia"/>
                <w:sz w:val="24"/>
                <w:lang w:val="en-US" w:eastAsia="zh-CN"/>
              </w:rPr>
              <w:t>5</w:t>
            </w:r>
            <w:r>
              <w:rPr>
                <w:rFonts w:hint="eastAsia"/>
                <w:sz w:val="24"/>
              </w:rPr>
              <w:t>版）》中“HW08 900-249-08，其他生产、销售、使用过程中产生的废矿物油及沾染矿物油的废弃包装物”。</w:t>
            </w:r>
          </w:p>
          <w:p w14:paraId="6CC2F4A5">
            <w:pPr>
              <w:wordWrap w:val="0"/>
              <w:spacing w:line="360" w:lineRule="auto"/>
              <w:ind w:firstLine="482" w:firstLineChars="200"/>
              <w:rPr>
                <w:rFonts w:hint="eastAsia"/>
                <w:sz w:val="24"/>
                <w:lang w:val="en-US" w:eastAsia="zh-CN"/>
              </w:rPr>
            </w:pPr>
            <w:r>
              <w:rPr>
                <w:rFonts w:hint="eastAsia"/>
                <w:b/>
                <w:bCs/>
                <w:sz w:val="24"/>
                <w:lang w:val="en-US" w:eastAsia="zh-CN"/>
              </w:rPr>
              <w:t>废活性炭：</w:t>
            </w:r>
            <w:r>
              <w:rPr>
                <w:rFonts w:hint="eastAsia"/>
                <w:sz w:val="24"/>
                <w:lang w:val="en-US" w:eastAsia="zh-CN"/>
              </w:rPr>
              <w:t>本项目沥青搅拌、加热、卸料废气净化过程中会产生废活性炭，因本项目沥青搅拌、加热、卸料废气处理系统配套有活性炭脱附装置，可自行对活性炭进行再生，根据设计资料，活性炭更换周期为1.5a，其产生量约为3.0t/1.5a，约2.0t/a，属于《国家危险废物名录（2025年）》中“HW49 900-039-49，烟气、VOCs治理过程产生的废活性炭”。</w:t>
            </w:r>
          </w:p>
          <w:p w14:paraId="18519A39">
            <w:pPr>
              <w:wordWrap w:val="0"/>
              <w:spacing w:line="360" w:lineRule="auto"/>
              <w:ind w:firstLine="482" w:firstLineChars="200"/>
              <w:rPr>
                <w:rFonts w:hint="eastAsia" w:eastAsia="宋体"/>
                <w:sz w:val="24"/>
                <w:lang w:val="en-US" w:eastAsia="zh-CN"/>
              </w:rPr>
            </w:pPr>
            <w:r>
              <w:rPr>
                <w:rFonts w:hint="eastAsia"/>
                <w:b/>
                <w:bCs/>
                <w:sz w:val="24"/>
                <w:lang w:val="en-US" w:eastAsia="zh-CN"/>
              </w:rPr>
              <w:t>废过滤棉：</w:t>
            </w:r>
            <w:r>
              <w:rPr>
                <w:rFonts w:hint="eastAsia"/>
                <w:sz w:val="24"/>
                <w:szCs w:val="24"/>
                <w:lang w:val="en-US" w:eastAsia="zh-CN"/>
              </w:rPr>
              <w:t>本项目沥青搅拌、加热、卸料废气治理装置采用过滤棉对喷淋后的废气进行过滤，主要去除水分，同时废气中少量油类物质及有害物质被截留，过滤棉需定期更换，</w:t>
            </w:r>
            <w:r>
              <w:rPr>
                <w:rFonts w:hint="eastAsia"/>
                <w:sz w:val="24"/>
                <w:szCs w:val="24"/>
              </w:rPr>
              <w:t>其产生量约为0.0</w:t>
            </w:r>
            <w:r>
              <w:rPr>
                <w:rFonts w:hint="eastAsia"/>
                <w:sz w:val="24"/>
                <w:szCs w:val="24"/>
                <w:lang w:val="en-US" w:eastAsia="zh-CN"/>
              </w:rPr>
              <w:t>1</w:t>
            </w:r>
            <w:r>
              <w:rPr>
                <w:rFonts w:hint="eastAsia"/>
                <w:sz w:val="24"/>
                <w:szCs w:val="24"/>
              </w:rPr>
              <w:t>t/a</w:t>
            </w:r>
            <w:r>
              <w:rPr>
                <w:rFonts w:hint="eastAsia"/>
                <w:sz w:val="24"/>
                <w:szCs w:val="24"/>
                <w:lang w:eastAsia="zh-CN"/>
              </w:rPr>
              <w:t>，</w:t>
            </w:r>
            <w:r>
              <w:rPr>
                <w:rFonts w:hint="eastAsia"/>
                <w:sz w:val="24"/>
                <w:szCs w:val="24"/>
              </w:rPr>
              <w:t>属于</w:t>
            </w:r>
            <w:r>
              <w:rPr>
                <w:rFonts w:hint="eastAsia"/>
                <w:sz w:val="24"/>
                <w:lang w:val="en-US" w:eastAsia="zh-CN"/>
              </w:rPr>
              <w:t>《国家危险废物名录（2025年）》中“HW49 900-041-49，含有或沾染毒性、感染性危险废物的废弃的包装物、容器、过滤吸附介质”</w:t>
            </w:r>
            <w:r>
              <w:rPr>
                <w:rFonts w:hint="eastAsia"/>
                <w:sz w:val="24"/>
                <w:szCs w:val="24"/>
              </w:rPr>
              <w:t>。</w:t>
            </w:r>
          </w:p>
          <w:p w14:paraId="016549DD">
            <w:pPr>
              <w:wordWrap w:val="0"/>
              <w:spacing w:line="360" w:lineRule="auto"/>
              <w:ind w:firstLine="482" w:firstLineChars="200"/>
              <w:rPr>
                <w:rFonts w:hint="eastAsia"/>
                <w:sz w:val="24"/>
              </w:rPr>
            </w:pPr>
            <w:r>
              <w:rPr>
                <w:rFonts w:hint="eastAsia"/>
                <w:b/>
                <w:bCs/>
                <w:sz w:val="24"/>
              </w:rPr>
              <w:t>废润滑油：</w:t>
            </w:r>
            <w:r>
              <w:rPr>
                <w:rFonts w:hint="eastAsia"/>
                <w:sz w:val="24"/>
              </w:rPr>
              <w:t>本项目对生产设备进行日常维护时会产生废润滑油，产生量约为0.5t/a，属于《国家危险废物名录（202</w:t>
            </w:r>
            <w:r>
              <w:rPr>
                <w:rFonts w:hint="eastAsia"/>
                <w:sz w:val="24"/>
                <w:lang w:val="en-US" w:eastAsia="zh-CN"/>
              </w:rPr>
              <w:t>5</w:t>
            </w:r>
            <w:r>
              <w:rPr>
                <w:rFonts w:hint="eastAsia"/>
                <w:sz w:val="24"/>
              </w:rPr>
              <w:t>版）》中“HW08 900-217-08，使用工业齿轮油进行机械设备润滑过程中产生的废润滑油”。</w:t>
            </w:r>
          </w:p>
          <w:p w14:paraId="3DBE6347">
            <w:pPr>
              <w:wordWrap w:val="0"/>
              <w:spacing w:line="360" w:lineRule="auto"/>
              <w:ind w:firstLine="482" w:firstLineChars="200"/>
              <w:rPr>
                <w:rFonts w:hint="eastAsia"/>
                <w:sz w:val="24"/>
              </w:rPr>
            </w:pPr>
            <w:r>
              <w:rPr>
                <w:rFonts w:hint="eastAsia"/>
                <w:b/>
                <w:bCs/>
                <w:sz w:val="24"/>
              </w:rPr>
              <w:t>含油抹布手套：</w:t>
            </w:r>
            <w:r>
              <w:rPr>
                <w:rFonts w:hint="eastAsia"/>
                <w:sz w:val="24"/>
              </w:rPr>
              <w:t>本项目含油抹布手套产生量约为0.01t/a，含油抹布手套属于《国家危险废物名录（202</w:t>
            </w:r>
            <w:r>
              <w:rPr>
                <w:rFonts w:hint="eastAsia"/>
                <w:sz w:val="24"/>
                <w:lang w:val="en-US" w:eastAsia="zh-CN"/>
              </w:rPr>
              <w:t>5</w:t>
            </w:r>
            <w:r>
              <w:rPr>
                <w:rFonts w:hint="eastAsia"/>
                <w:sz w:val="24"/>
              </w:rPr>
              <w:t>版）》中“HW49 900-041-49，含有或沾染毒性、感染性危险废物的废弃包装物、容器、过滤吸附介质”。</w:t>
            </w:r>
          </w:p>
          <w:p w14:paraId="3DE30470">
            <w:pPr>
              <w:wordWrap w:val="0"/>
              <w:spacing w:line="360" w:lineRule="auto"/>
              <w:ind w:firstLine="482" w:firstLineChars="200"/>
              <w:rPr>
                <w:rFonts w:hint="eastAsia"/>
                <w:sz w:val="24"/>
                <w:lang w:val="en-US" w:eastAsia="zh-CN"/>
              </w:rPr>
            </w:pPr>
            <w:r>
              <w:rPr>
                <w:rFonts w:hint="eastAsia"/>
                <w:b/>
                <w:bCs/>
                <w:sz w:val="24"/>
                <w:highlight w:val="none"/>
                <w:lang w:val="en-US" w:eastAsia="zh-CN"/>
              </w:rPr>
              <w:t>废润滑油桶</w:t>
            </w:r>
            <w:r>
              <w:rPr>
                <w:rFonts w:hint="eastAsia"/>
                <w:b/>
                <w:bCs/>
                <w:sz w:val="24"/>
                <w:lang w:val="en-US" w:eastAsia="zh-CN"/>
              </w:rPr>
              <w:t>：</w:t>
            </w:r>
            <w:r>
              <w:rPr>
                <w:rFonts w:hint="eastAsia"/>
                <w:sz w:val="24"/>
                <w:lang w:val="en-US" w:eastAsia="zh-CN"/>
              </w:rPr>
              <w:t>本项目润滑油使用后废润滑油桶产生量约为0.05t/a，废润滑油桶属于《国家危险废物名录（2025版）》中“HW08 900-249-08，其他生产、销售、使用过程中产生的废矿物油及沾染矿物油的废弃包装物”。</w:t>
            </w:r>
          </w:p>
          <w:p w14:paraId="5FC40400">
            <w:pPr>
              <w:wordWrap w:val="0"/>
              <w:spacing w:line="360" w:lineRule="auto"/>
              <w:ind w:firstLine="482" w:firstLineChars="200"/>
              <w:rPr>
                <w:rFonts w:hint="eastAsia"/>
                <w:sz w:val="24"/>
                <w:lang w:val="en-US" w:eastAsia="zh-CN"/>
              </w:rPr>
            </w:pPr>
            <w:r>
              <w:rPr>
                <w:rFonts w:hint="eastAsia"/>
                <w:b/>
                <w:bCs/>
                <w:sz w:val="24"/>
                <w:lang w:val="en-US" w:eastAsia="zh-CN"/>
              </w:rPr>
              <w:t>废包装桶：</w:t>
            </w:r>
            <w:r>
              <w:rPr>
                <w:rFonts w:hint="eastAsia"/>
                <w:sz w:val="24"/>
                <w:lang w:val="en-US" w:eastAsia="zh-CN"/>
              </w:rPr>
              <w:t>本项目乳化剂使用后废包装桶产生量约为7.5t/a，废包装桶属于《国家危险废物名录（2025版）》中“HW49 900-041-49，含有或者沾染毒性、感染性危险废物的废弃的包装物、容器、过滤吸附介质”。</w:t>
            </w:r>
          </w:p>
          <w:p w14:paraId="7CBB7431">
            <w:pPr>
              <w:wordWrap w:val="0"/>
              <w:spacing w:line="360" w:lineRule="auto"/>
              <w:ind w:firstLine="482" w:firstLineChars="200"/>
              <w:rPr>
                <w:rFonts w:hint="default" w:eastAsia="宋体"/>
                <w:sz w:val="24"/>
                <w:lang w:val="en-US" w:eastAsia="zh-CN"/>
              </w:rPr>
            </w:pPr>
            <w:r>
              <w:rPr>
                <w:rFonts w:hint="eastAsia"/>
                <w:b/>
                <w:bCs/>
                <w:sz w:val="24"/>
                <w:lang w:val="en-US" w:eastAsia="zh-CN"/>
              </w:rPr>
              <w:t>隔油池油污：</w:t>
            </w:r>
            <w:r>
              <w:rPr>
                <w:rFonts w:hint="eastAsia"/>
                <w:sz w:val="24"/>
                <w:lang w:val="en-US" w:eastAsia="zh-CN"/>
              </w:rPr>
              <w:t>本项目使用隔油池+三级沉淀池处理车辆清洗废水及生产检测中心试验设备清洗废水，隔油池收集的油污约0.05t/a，属于《国家危险废物名录（2025版）》中“HW08 900-249-08，其他生产、销售、使用过程中产生的废矿物油及沾染矿物油的废弃包装物”。</w:t>
            </w:r>
          </w:p>
          <w:p w14:paraId="5D456517">
            <w:pPr>
              <w:wordWrap w:val="0"/>
              <w:spacing w:line="360" w:lineRule="auto"/>
              <w:ind w:firstLine="482" w:firstLineChars="200"/>
              <w:rPr>
                <w:rFonts w:hint="eastAsia"/>
                <w:b/>
                <w:bCs/>
                <w:sz w:val="24"/>
              </w:rPr>
            </w:pPr>
            <w:r>
              <w:rPr>
                <w:rFonts w:hint="eastAsia"/>
                <w:b/>
                <w:bCs/>
                <w:sz w:val="24"/>
              </w:rPr>
              <w:t>（2）拟采取的治理措施</w:t>
            </w:r>
          </w:p>
          <w:p w14:paraId="428234E2">
            <w:pPr>
              <w:wordWrap w:val="0"/>
              <w:spacing w:line="360" w:lineRule="auto"/>
              <w:ind w:firstLine="480" w:firstLineChars="200"/>
              <w:rPr>
                <w:rFonts w:hint="eastAsia"/>
                <w:sz w:val="24"/>
              </w:rPr>
            </w:pPr>
            <w:r>
              <w:rPr>
                <w:rFonts w:hint="eastAsia"/>
                <w:sz w:val="24"/>
              </w:rPr>
              <w:t>危险废物定期交由具有危废处理资质单位进行处理。本项目</w:t>
            </w:r>
            <w:r>
              <w:rPr>
                <w:rFonts w:hint="eastAsia"/>
                <w:sz w:val="24"/>
                <w:lang w:val="en-US" w:eastAsia="zh-CN"/>
              </w:rPr>
              <w:t>依托厂区西侧已建的</w:t>
            </w:r>
            <w:r>
              <w:rPr>
                <w:rFonts w:hint="eastAsia"/>
                <w:sz w:val="24"/>
              </w:rPr>
              <w:t>1间危废暂存间，面积</w:t>
            </w:r>
            <w:r>
              <w:rPr>
                <w:rFonts w:hint="eastAsia"/>
                <w:sz w:val="24"/>
                <w:lang w:val="en-US" w:eastAsia="zh-CN"/>
              </w:rPr>
              <w:t>1</w:t>
            </w:r>
            <w:r>
              <w:rPr>
                <w:rFonts w:hint="eastAsia"/>
                <w:sz w:val="24"/>
              </w:rPr>
              <w:t>0m</w:t>
            </w:r>
            <w:r>
              <w:rPr>
                <w:rFonts w:hint="eastAsia"/>
                <w:sz w:val="24"/>
                <w:vertAlign w:val="superscript"/>
              </w:rPr>
              <w:t>2</w:t>
            </w:r>
            <w:r>
              <w:rPr>
                <w:rFonts w:hint="eastAsia"/>
                <w:sz w:val="24"/>
              </w:rPr>
              <w:t>，按照《危险废物贮存污染控制标准》（GB18597</w:t>
            </w:r>
            <w:r>
              <w:rPr>
                <w:rFonts w:hint="eastAsia"/>
                <w:sz w:val="24"/>
                <w:lang w:val="en-US" w:eastAsia="zh-CN"/>
              </w:rPr>
              <w:t>-</w:t>
            </w:r>
            <w:r>
              <w:rPr>
                <w:rFonts w:hint="eastAsia"/>
                <w:sz w:val="24"/>
              </w:rPr>
              <w:t>2023）的相关要求设置，要求设置防渗防泄漏围堰，</w:t>
            </w:r>
            <w:r>
              <w:rPr>
                <w:rFonts w:hint="eastAsia"/>
                <w:sz w:val="24"/>
                <w:lang w:val="en-US" w:eastAsia="zh-CN"/>
              </w:rPr>
              <w:t>墙裙及地面进行重点防渗处理，</w:t>
            </w:r>
            <w:r>
              <w:rPr>
                <w:rFonts w:hint="eastAsia"/>
                <w:sz w:val="24"/>
              </w:rPr>
              <w:t>满足“六防”（防风、防晒、防雨、防漏、防渗、防腐）要求。危废集中收集暂存，定期交具有资质的危废单位清运处置。</w:t>
            </w:r>
          </w:p>
          <w:p w14:paraId="208907FE">
            <w:pPr>
              <w:wordWrap w:val="0"/>
              <w:spacing w:line="360" w:lineRule="auto"/>
              <w:ind w:firstLine="482" w:firstLineChars="200"/>
              <w:rPr>
                <w:rFonts w:hint="eastAsia"/>
                <w:sz w:val="24"/>
              </w:rPr>
            </w:pPr>
            <w:r>
              <w:rPr>
                <w:rFonts w:hint="eastAsia"/>
                <w:b/>
                <w:bCs/>
                <w:sz w:val="24"/>
              </w:rPr>
              <w:t>危废暂存间设置要求：</w:t>
            </w:r>
          </w:p>
          <w:p w14:paraId="3718C330">
            <w:pPr>
              <w:wordWrap w:val="0"/>
              <w:spacing w:line="360" w:lineRule="auto"/>
              <w:ind w:firstLine="480" w:firstLineChars="200"/>
              <w:rPr>
                <w:rFonts w:hint="eastAsia"/>
                <w:sz w:val="24"/>
              </w:rPr>
            </w:pPr>
            <w:r>
              <w:rPr>
                <w:rFonts w:hint="eastAsia"/>
                <w:sz w:val="24"/>
              </w:rPr>
              <w:t>①危险废物贮存间</w:t>
            </w:r>
            <w:r>
              <w:rPr>
                <w:rFonts w:hint="eastAsia"/>
                <w:sz w:val="24"/>
                <w:lang w:val="en-US" w:eastAsia="zh-CN"/>
              </w:rPr>
              <w:t>在保证安全的前提下</w:t>
            </w:r>
            <w:r>
              <w:rPr>
                <w:rFonts w:hint="eastAsia"/>
                <w:sz w:val="24"/>
              </w:rPr>
              <w:t>密闭建设，设置墙面裙角、围堰，地面应做好硬化及“六防”（防风、防晒、防雨、防漏、防渗、防腐）。</w:t>
            </w:r>
          </w:p>
          <w:p w14:paraId="54B6AC03">
            <w:pPr>
              <w:wordWrap w:val="0"/>
              <w:spacing w:line="360" w:lineRule="auto"/>
              <w:ind w:firstLine="480" w:firstLineChars="200"/>
              <w:rPr>
                <w:rFonts w:hint="eastAsia"/>
                <w:sz w:val="24"/>
              </w:rPr>
            </w:pPr>
            <w:r>
              <w:rPr>
                <w:rFonts w:hint="eastAsia"/>
                <w:sz w:val="24"/>
              </w:rPr>
              <w:t>②危险废物贮存间门口需张贴标准规范的危险废物标识和危废信息板，屋内张贴企业《危险废物管理制度》。</w:t>
            </w:r>
          </w:p>
          <w:p w14:paraId="6ECBED9A">
            <w:pPr>
              <w:wordWrap w:val="0"/>
              <w:spacing w:line="360" w:lineRule="auto"/>
              <w:ind w:firstLine="480" w:firstLineChars="200"/>
              <w:rPr>
                <w:rFonts w:hint="eastAsia"/>
                <w:sz w:val="24"/>
              </w:rPr>
            </w:pPr>
            <w:r>
              <w:rPr>
                <w:rFonts w:hint="eastAsia"/>
                <w:sz w:val="24"/>
              </w:rPr>
              <w:t>③危险废物贮存间应设置隔离安全门锁，门锁需按照“双人双锁”制度管理。(两把钥匙分别由两个危废负责人管理，不得一人管理)</w:t>
            </w:r>
          </w:p>
          <w:p w14:paraId="09602D0C">
            <w:pPr>
              <w:wordWrap w:val="0"/>
              <w:spacing w:line="360" w:lineRule="auto"/>
              <w:ind w:firstLine="480" w:firstLineChars="200"/>
              <w:rPr>
                <w:rFonts w:hint="eastAsia"/>
                <w:sz w:val="24"/>
              </w:rPr>
            </w:pPr>
            <w:r>
              <w:rPr>
                <w:rFonts w:hint="eastAsia"/>
                <w:sz w:val="24"/>
              </w:rPr>
              <w:t>④不同种类危险废物应有明显的过道划分，墙上张贴危废名称，液态危废需盛装容器放至防泄漏托盘内并在容器粘贴危险废物标签，固态危废包装需完好无破损并系挂危险废物标签，并按要求填写。</w:t>
            </w:r>
          </w:p>
          <w:p w14:paraId="57FD4BE2">
            <w:pPr>
              <w:wordWrap w:val="0"/>
              <w:spacing w:line="360" w:lineRule="auto"/>
              <w:ind w:firstLine="480" w:firstLineChars="200"/>
              <w:rPr>
                <w:rFonts w:hint="eastAsia"/>
                <w:sz w:val="24"/>
              </w:rPr>
            </w:pPr>
            <w:r>
              <w:rPr>
                <w:rFonts w:hint="eastAsia"/>
                <w:sz w:val="24"/>
              </w:rPr>
              <w:t>⑤建立台账并悬挂于危废暂存间内，转入及转出（处置、自利用）需要填写危废种类、数量、时间及负责人员姓名。</w:t>
            </w:r>
          </w:p>
          <w:p w14:paraId="6F259490">
            <w:pPr>
              <w:wordWrap w:val="0"/>
              <w:spacing w:line="360" w:lineRule="auto"/>
              <w:ind w:firstLine="480" w:firstLineChars="200"/>
              <w:rPr>
                <w:rFonts w:hint="eastAsia"/>
                <w:sz w:val="24"/>
              </w:rPr>
            </w:pPr>
            <w:r>
              <w:rPr>
                <w:rFonts w:hint="eastAsia"/>
                <w:sz w:val="24"/>
              </w:rPr>
              <w:t>⑥危险废物贮存间内禁止存放除危险废物及应急工具以外的其他物品。</w:t>
            </w:r>
          </w:p>
          <w:p w14:paraId="196F5C4D">
            <w:pPr>
              <w:wordWrap w:val="0"/>
              <w:spacing w:line="360" w:lineRule="auto"/>
              <w:ind w:firstLine="482" w:firstLineChars="200"/>
              <w:rPr>
                <w:rFonts w:hint="eastAsia"/>
                <w:sz w:val="24"/>
              </w:rPr>
            </w:pPr>
            <w:r>
              <w:rPr>
                <w:rFonts w:hint="eastAsia"/>
                <w:b/>
                <w:bCs/>
                <w:sz w:val="24"/>
              </w:rPr>
              <w:t>危险废物收集和暂存要求：</w:t>
            </w:r>
          </w:p>
          <w:p w14:paraId="51E208D7">
            <w:pPr>
              <w:wordWrap w:val="0"/>
              <w:spacing w:line="360" w:lineRule="auto"/>
              <w:ind w:firstLine="480" w:firstLineChars="200"/>
              <w:rPr>
                <w:rFonts w:hint="eastAsia"/>
                <w:sz w:val="24"/>
              </w:rPr>
            </w:pPr>
            <w:r>
              <w:rPr>
                <w:rFonts w:hint="eastAsia"/>
                <w:sz w:val="24"/>
              </w:rPr>
              <w:t>本次环评对本项目危险废物收集和暂存提出如下要求：</w:t>
            </w:r>
          </w:p>
          <w:p w14:paraId="4CBF2D41">
            <w:pPr>
              <w:wordWrap w:val="0"/>
              <w:spacing w:line="360" w:lineRule="auto"/>
              <w:ind w:firstLine="480" w:firstLineChars="200"/>
              <w:rPr>
                <w:rFonts w:hint="eastAsia"/>
                <w:sz w:val="24"/>
              </w:rPr>
            </w:pPr>
            <w:r>
              <w:rPr>
                <w:rFonts w:hint="eastAsia"/>
                <w:sz w:val="24"/>
              </w:rPr>
              <w:t>①危险废物的收集必须按照危险废物的相关规定进行，各种固废单独隔离存放，禁止与其它原料或废物混合存放。各种废物包装贮存需按照国家相应要求处置，贮存场所按照规定设置警示标识。危险废物在厂内存放期间，应使用完好无损容器盛装；用以存放装置液体、半固体危险废物容器的地方，必须有耐腐蚀的硬化地面，且表面无裂痕。</w:t>
            </w:r>
          </w:p>
          <w:p w14:paraId="05E073B3">
            <w:pPr>
              <w:wordWrap w:val="0"/>
              <w:spacing w:line="360" w:lineRule="auto"/>
              <w:ind w:firstLine="480" w:firstLineChars="200"/>
              <w:rPr>
                <w:rFonts w:hint="eastAsia"/>
                <w:sz w:val="24"/>
              </w:rPr>
            </w:pPr>
            <w:r>
              <w:rPr>
                <w:rFonts w:hint="eastAsia"/>
                <w:sz w:val="24"/>
              </w:rPr>
              <w:t>②危险废物存入贮存设施前应对危险废物类别和特性与危险废物标签等危险废物识别标志的一致性进行核验，不一致的或类别、特性不明的不应存入。</w:t>
            </w:r>
          </w:p>
          <w:p w14:paraId="62B132CF">
            <w:pPr>
              <w:wordWrap w:val="0"/>
              <w:spacing w:line="360" w:lineRule="auto"/>
              <w:ind w:firstLine="480" w:firstLineChars="200"/>
              <w:rPr>
                <w:rFonts w:hint="eastAsia"/>
                <w:sz w:val="24"/>
              </w:rPr>
            </w:pPr>
            <w:r>
              <w:rPr>
                <w:rFonts w:hint="eastAsia"/>
                <w:sz w:val="24"/>
              </w:rPr>
              <w:t>③应定期检查危险废物的贮存状况，及时清理贮存设施地面，更换破损泄漏的危险废物贮存容器和包装物，保证堆存危险废物的防雨、防风、防扬尘等设施功能完好。</w:t>
            </w:r>
          </w:p>
          <w:p w14:paraId="488232CB">
            <w:pPr>
              <w:wordWrap w:val="0"/>
              <w:spacing w:line="360" w:lineRule="auto"/>
              <w:ind w:firstLine="480" w:firstLineChars="200"/>
              <w:rPr>
                <w:rFonts w:hint="eastAsia"/>
                <w:sz w:val="24"/>
              </w:rPr>
            </w:pPr>
            <w:r>
              <w:rPr>
                <w:rFonts w:hint="eastAsia"/>
                <w:sz w:val="24"/>
              </w:rPr>
              <w:t>④作业设备及车辆等结束作业离开贮存设施时，应对其残留的危险废物进行清理，清理的废物或清洗废水应收集处理。</w:t>
            </w:r>
          </w:p>
          <w:p w14:paraId="1613520C">
            <w:pPr>
              <w:wordWrap w:val="0"/>
              <w:spacing w:line="360" w:lineRule="auto"/>
              <w:ind w:firstLine="480" w:firstLineChars="200"/>
              <w:rPr>
                <w:rFonts w:hint="eastAsia"/>
                <w:sz w:val="24"/>
              </w:rPr>
            </w:pPr>
            <w:r>
              <w:rPr>
                <w:rFonts w:hint="eastAsia"/>
                <w:sz w:val="24"/>
              </w:rPr>
              <w:t>⑤贮存设施运行期间，按《危险废物管理计划和管理台账制定技术导则》（HJ1259-2022）建立危险废物管理台账并保存。</w:t>
            </w:r>
          </w:p>
          <w:p w14:paraId="1C0FF8EB">
            <w:pPr>
              <w:wordWrap w:val="0"/>
              <w:spacing w:line="360" w:lineRule="auto"/>
              <w:ind w:firstLine="480" w:firstLineChars="200"/>
              <w:rPr>
                <w:rFonts w:hint="eastAsia"/>
                <w:sz w:val="24"/>
              </w:rPr>
            </w:pPr>
            <w:r>
              <w:rPr>
                <w:rFonts w:hint="eastAsia"/>
                <w:sz w:val="24"/>
              </w:rPr>
              <w:t>⑥贮存设施所有者或运营者应建立贮存设施环境管理制度、管理人员岗位职责制度、设施运行操作制度、人员岗位培训制度</w:t>
            </w:r>
          </w:p>
          <w:p w14:paraId="56A7C8A2">
            <w:pPr>
              <w:wordWrap w:val="0"/>
              <w:spacing w:line="360" w:lineRule="auto"/>
              <w:ind w:firstLine="480" w:firstLineChars="200"/>
              <w:rPr>
                <w:rFonts w:hint="eastAsia"/>
                <w:sz w:val="24"/>
              </w:rPr>
            </w:pPr>
            <w:r>
              <w:rPr>
                <w:rFonts w:hint="eastAsia"/>
                <w:sz w:val="24"/>
              </w:rPr>
              <w:t>⑦在办理环保竣工验收前，应依据危险废物种类，与有危废处理资质的单位签订危险废物委托清运处理协议，必须确保各类危险废物实现无害化处置。</w:t>
            </w:r>
          </w:p>
          <w:p w14:paraId="64C30A78">
            <w:pPr>
              <w:wordWrap w:val="0"/>
              <w:spacing w:line="360" w:lineRule="auto"/>
              <w:ind w:firstLine="480" w:firstLineChars="200"/>
              <w:rPr>
                <w:rFonts w:hint="eastAsia"/>
                <w:sz w:val="24"/>
              </w:rPr>
            </w:pPr>
            <w:r>
              <w:rPr>
                <w:rFonts w:hint="eastAsia"/>
                <w:sz w:val="24"/>
              </w:rPr>
              <w:t>⑧危险废物暂存时间不得超过一年。废物转运时必须安全转移，防止撒漏，有具有相应处理资质的单位接手。企业应严格按照《危险废物转移管理办法》（部令第23号，2021年11月30日）中规定的对危险废物进行处理处置办法。</w:t>
            </w:r>
          </w:p>
          <w:p w14:paraId="68672CC7">
            <w:pPr>
              <w:wordWrap w:val="0"/>
              <w:spacing w:line="360" w:lineRule="auto"/>
              <w:ind w:firstLine="480" w:firstLineChars="200"/>
              <w:rPr>
                <w:rFonts w:hint="eastAsia"/>
                <w:sz w:val="24"/>
                <w:lang w:eastAsia="zh-CN"/>
              </w:rPr>
            </w:pPr>
            <w:r>
              <w:rPr>
                <w:rFonts w:hint="eastAsia"/>
                <w:sz w:val="24"/>
              </w:rPr>
              <w:t>危险废物产生及收集情况见下表</w:t>
            </w:r>
            <w:r>
              <w:rPr>
                <w:rFonts w:hint="eastAsia"/>
                <w:sz w:val="24"/>
                <w:lang w:eastAsia="zh-CN"/>
              </w:rPr>
              <w:t>：</w:t>
            </w:r>
          </w:p>
          <w:p w14:paraId="7A71EB90">
            <w:pPr>
              <w:numPr>
                <w:ilvl w:val="0"/>
                <w:numId w:val="6"/>
              </w:numPr>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危险废物汇总表</w:t>
            </w:r>
          </w:p>
          <w:tbl>
            <w:tblPr>
              <w:tblStyle w:val="27"/>
              <w:tblW w:w="7877" w:type="dxa"/>
              <w:tblInd w:w="5"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27"/>
              <w:gridCol w:w="1005"/>
              <w:gridCol w:w="716"/>
              <w:gridCol w:w="716"/>
              <w:gridCol w:w="716"/>
              <w:gridCol w:w="716"/>
              <w:gridCol w:w="716"/>
              <w:gridCol w:w="716"/>
              <w:gridCol w:w="716"/>
              <w:gridCol w:w="716"/>
              <w:gridCol w:w="717"/>
            </w:tblGrid>
            <w:tr w14:paraId="012460B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27" w:type="dxa"/>
                  <w:tcBorders>
                    <w:tl2br w:val="nil"/>
                    <w:tr2bl w:val="nil"/>
                  </w:tcBorders>
                  <w:vAlign w:val="center"/>
                </w:tcPr>
                <w:p w14:paraId="1844DD5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序号</w:t>
                  </w:r>
                </w:p>
              </w:tc>
              <w:tc>
                <w:tcPr>
                  <w:tcW w:w="1005" w:type="dxa"/>
                  <w:tcBorders>
                    <w:tl2br w:val="nil"/>
                    <w:tr2bl w:val="nil"/>
                  </w:tcBorders>
                  <w:vAlign w:val="center"/>
                </w:tcPr>
                <w:p w14:paraId="09B54AB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危险废物名称</w:t>
                  </w:r>
                </w:p>
              </w:tc>
              <w:tc>
                <w:tcPr>
                  <w:tcW w:w="716" w:type="dxa"/>
                  <w:tcBorders>
                    <w:tl2br w:val="nil"/>
                    <w:tr2bl w:val="nil"/>
                  </w:tcBorders>
                  <w:vAlign w:val="center"/>
                </w:tcPr>
                <w:p w14:paraId="6F947413">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危险废物类别</w:t>
                  </w:r>
                </w:p>
              </w:tc>
              <w:tc>
                <w:tcPr>
                  <w:tcW w:w="716" w:type="dxa"/>
                  <w:tcBorders>
                    <w:tl2br w:val="nil"/>
                    <w:tr2bl w:val="nil"/>
                  </w:tcBorders>
                  <w:vAlign w:val="center"/>
                </w:tcPr>
                <w:p w14:paraId="1A829849">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危险废物代码</w:t>
                  </w:r>
                </w:p>
              </w:tc>
              <w:tc>
                <w:tcPr>
                  <w:tcW w:w="716" w:type="dxa"/>
                  <w:tcBorders>
                    <w:tl2br w:val="nil"/>
                    <w:tr2bl w:val="nil"/>
                  </w:tcBorders>
                  <w:vAlign w:val="center"/>
                </w:tcPr>
                <w:p w14:paraId="15A872D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产生量（t/a）</w:t>
                  </w:r>
                </w:p>
              </w:tc>
              <w:tc>
                <w:tcPr>
                  <w:tcW w:w="716" w:type="dxa"/>
                  <w:tcBorders>
                    <w:tl2br w:val="nil"/>
                    <w:tr2bl w:val="nil"/>
                  </w:tcBorders>
                  <w:vAlign w:val="center"/>
                </w:tcPr>
                <w:p w14:paraId="4834A0C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产生工序及装置</w:t>
                  </w:r>
                </w:p>
              </w:tc>
              <w:tc>
                <w:tcPr>
                  <w:tcW w:w="716" w:type="dxa"/>
                  <w:tcBorders>
                    <w:tl2br w:val="nil"/>
                    <w:tr2bl w:val="nil"/>
                  </w:tcBorders>
                  <w:vAlign w:val="center"/>
                </w:tcPr>
                <w:p w14:paraId="67C8B85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形态</w:t>
                  </w:r>
                </w:p>
              </w:tc>
              <w:tc>
                <w:tcPr>
                  <w:tcW w:w="716" w:type="dxa"/>
                  <w:tcBorders>
                    <w:tl2br w:val="nil"/>
                    <w:tr2bl w:val="nil"/>
                  </w:tcBorders>
                  <w:vAlign w:val="center"/>
                </w:tcPr>
                <w:p w14:paraId="2624C4F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有害成分</w:t>
                  </w:r>
                </w:p>
              </w:tc>
              <w:tc>
                <w:tcPr>
                  <w:tcW w:w="716" w:type="dxa"/>
                  <w:tcBorders>
                    <w:tl2br w:val="nil"/>
                    <w:tr2bl w:val="nil"/>
                  </w:tcBorders>
                  <w:vAlign w:val="center"/>
                </w:tcPr>
                <w:p w14:paraId="7F426BA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产废周期</w:t>
                  </w:r>
                </w:p>
              </w:tc>
              <w:tc>
                <w:tcPr>
                  <w:tcW w:w="716" w:type="dxa"/>
                  <w:tcBorders>
                    <w:tl2br w:val="nil"/>
                    <w:tr2bl w:val="nil"/>
                  </w:tcBorders>
                  <w:vAlign w:val="center"/>
                </w:tcPr>
                <w:p w14:paraId="107D4D9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危险特性</w:t>
                  </w:r>
                </w:p>
              </w:tc>
              <w:tc>
                <w:tcPr>
                  <w:tcW w:w="717" w:type="dxa"/>
                  <w:tcBorders>
                    <w:tl2br w:val="nil"/>
                    <w:tr2bl w:val="nil"/>
                  </w:tcBorders>
                  <w:vAlign w:val="center"/>
                </w:tcPr>
                <w:p w14:paraId="74795FC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污染防治措施</w:t>
                  </w:r>
                </w:p>
              </w:tc>
            </w:tr>
            <w:tr w14:paraId="0B38FAA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27" w:type="dxa"/>
                  <w:tcBorders>
                    <w:tl2br w:val="nil"/>
                    <w:tr2bl w:val="nil"/>
                  </w:tcBorders>
                  <w:vAlign w:val="center"/>
                </w:tcPr>
                <w:p w14:paraId="79D1EE04">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1</w:t>
                  </w:r>
                </w:p>
              </w:tc>
              <w:tc>
                <w:tcPr>
                  <w:tcW w:w="1005" w:type="dxa"/>
                  <w:tcBorders>
                    <w:tl2br w:val="nil"/>
                    <w:tr2bl w:val="nil"/>
                  </w:tcBorders>
                  <w:vAlign w:val="center"/>
                </w:tcPr>
                <w:p w14:paraId="03C9DA13">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废导热油</w:t>
                  </w:r>
                </w:p>
              </w:tc>
              <w:tc>
                <w:tcPr>
                  <w:tcW w:w="716" w:type="dxa"/>
                  <w:tcBorders>
                    <w:tl2br w:val="nil"/>
                    <w:tr2bl w:val="nil"/>
                  </w:tcBorders>
                  <w:vAlign w:val="center"/>
                </w:tcPr>
                <w:p w14:paraId="1103A2F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HW08</w:t>
                  </w:r>
                </w:p>
              </w:tc>
              <w:tc>
                <w:tcPr>
                  <w:tcW w:w="716" w:type="dxa"/>
                  <w:tcBorders>
                    <w:tl2br w:val="nil"/>
                    <w:tr2bl w:val="nil"/>
                  </w:tcBorders>
                  <w:vAlign w:val="center"/>
                </w:tcPr>
                <w:p w14:paraId="4B014E04">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900-249-08</w:t>
                  </w:r>
                </w:p>
              </w:tc>
              <w:tc>
                <w:tcPr>
                  <w:tcW w:w="716" w:type="dxa"/>
                  <w:tcBorders>
                    <w:tl2br w:val="nil"/>
                    <w:tr2bl w:val="nil"/>
                  </w:tcBorders>
                  <w:vAlign w:val="center"/>
                </w:tcPr>
                <w:p w14:paraId="57CB3EA4">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5t/</w:t>
                  </w:r>
                  <w:r>
                    <w:rPr>
                      <w:rFonts w:hint="eastAsia" w:ascii="Times New Roman" w:hAnsi="Times New Roman" w:eastAsia="宋体" w:cs="Times New Roman"/>
                      <w:sz w:val="21"/>
                      <w:szCs w:val="21"/>
                      <w:vertAlign w:val="baseline"/>
                      <w:lang w:val="en-US" w:eastAsia="zh-CN"/>
                    </w:rPr>
                    <w:t>3</w:t>
                  </w:r>
                  <w:r>
                    <w:rPr>
                      <w:rFonts w:hint="default" w:ascii="Times New Roman" w:hAnsi="Times New Roman" w:eastAsia="宋体" w:cs="Times New Roman"/>
                      <w:sz w:val="21"/>
                      <w:szCs w:val="21"/>
                      <w:vertAlign w:val="baseline"/>
                      <w:lang w:eastAsia="zh-CN"/>
                    </w:rPr>
                    <w:t>a</w:t>
                  </w:r>
                </w:p>
              </w:tc>
              <w:tc>
                <w:tcPr>
                  <w:tcW w:w="716" w:type="dxa"/>
                  <w:tcBorders>
                    <w:tl2br w:val="nil"/>
                    <w:tr2bl w:val="nil"/>
                  </w:tcBorders>
                  <w:vAlign w:val="center"/>
                </w:tcPr>
                <w:p w14:paraId="79FDD5B3">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导热油炉</w:t>
                  </w:r>
                </w:p>
              </w:tc>
              <w:tc>
                <w:tcPr>
                  <w:tcW w:w="716" w:type="dxa"/>
                  <w:tcBorders>
                    <w:tl2br w:val="nil"/>
                    <w:tr2bl w:val="nil"/>
                  </w:tcBorders>
                  <w:vAlign w:val="center"/>
                </w:tcPr>
                <w:p w14:paraId="7BEBB0C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液态</w:t>
                  </w:r>
                </w:p>
              </w:tc>
              <w:tc>
                <w:tcPr>
                  <w:tcW w:w="716" w:type="dxa"/>
                  <w:tcBorders>
                    <w:tl2br w:val="nil"/>
                    <w:tr2bl w:val="nil"/>
                  </w:tcBorders>
                  <w:vAlign w:val="center"/>
                </w:tcPr>
                <w:p w14:paraId="48BDF1E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废矿物油</w:t>
                  </w:r>
                </w:p>
              </w:tc>
              <w:tc>
                <w:tcPr>
                  <w:tcW w:w="716" w:type="dxa"/>
                  <w:tcBorders>
                    <w:tl2br w:val="nil"/>
                    <w:tr2bl w:val="nil"/>
                  </w:tcBorders>
                  <w:vAlign w:val="center"/>
                </w:tcPr>
                <w:p w14:paraId="747B4F7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3年</w:t>
                  </w:r>
                </w:p>
              </w:tc>
              <w:tc>
                <w:tcPr>
                  <w:tcW w:w="716" w:type="dxa"/>
                  <w:tcBorders>
                    <w:tl2br w:val="nil"/>
                    <w:tr2bl w:val="nil"/>
                  </w:tcBorders>
                  <w:vAlign w:val="center"/>
                </w:tcPr>
                <w:p w14:paraId="086B839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T/I</w:t>
                  </w:r>
                </w:p>
              </w:tc>
              <w:tc>
                <w:tcPr>
                  <w:tcW w:w="717" w:type="dxa"/>
                  <w:vMerge w:val="restart"/>
                  <w:tcBorders>
                    <w:tl2br w:val="nil"/>
                    <w:tr2bl w:val="nil"/>
                  </w:tcBorders>
                  <w:vAlign w:val="center"/>
                </w:tcPr>
                <w:p w14:paraId="7E80BA3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资质单位处置</w:t>
                  </w:r>
                </w:p>
              </w:tc>
            </w:tr>
            <w:tr w14:paraId="3C516F6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27" w:type="dxa"/>
                  <w:tcBorders>
                    <w:tl2br w:val="nil"/>
                    <w:tr2bl w:val="nil"/>
                  </w:tcBorders>
                  <w:vAlign w:val="center"/>
                </w:tcPr>
                <w:p w14:paraId="414BD19D">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w:t>
                  </w:r>
                </w:p>
              </w:tc>
              <w:tc>
                <w:tcPr>
                  <w:tcW w:w="1005" w:type="dxa"/>
                  <w:tcBorders>
                    <w:tl2br w:val="nil"/>
                    <w:tr2bl w:val="nil"/>
                  </w:tcBorders>
                  <w:vAlign w:val="center"/>
                </w:tcPr>
                <w:p w14:paraId="58E735A4">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废活性炭</w:t>
                  </w:r>
                </w:p>
              </w:tc>
              <w:tc>
                <w:tcPr>
                  <w:tcW w:w="716" w:type="dxa"/>
                  <w:tcBorders>
                    <w:tl2br w:val="nil"/>
                    <w:tr2bl w:val="nil"/>
                  </w:tcBorders>
                  <w:vAlign w:val="center"/>
                </w:tcPr>
                <w:p w14:paraId="56DC350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HW49</w:t>
                  </w:r>
                </w:p>
              </w:tc>
              <w:tc>
                <w:tcPr>
                  <w:tcW w:w="716" w:type="dxa"/>
                  <w:tcBorders>
                    <w:tl2br w:val="nil"/>
                    <w:tr2bl w:val="nil"/>
                  </w:tcBorders>
                  <w:vAlign w:val="center"/>
                </w:tcPr>
                <w:p w14:paraId="54B56E89">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900-039-49</w:t>
                  </w:r>
                </w:p>
              </w:tc>
              <w:tc>
                <w:tcPr>
                  <w:tcW w:w="716" w:type="dxa"/>
                  <w:tcBorders>
                    <w:tl2br w:val="nil"/>
                    <w:tr2bl w:val="nil"/>
                  </w:tcBorders>
                  <w:vAlign w:val="center"/>
                </w:tcPr>
                <w:p w14:paraId="7397BFD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w:t>
                  </w:r>
                </w:p>
              </w:tc>
              <w:tc>
                <w:tcPr>
                  <w:tcW w:w="716" w:type="dxa"/>
                  <w:vMerge w:val="restart"/>
                  <w:tcBorders>
                    <w:tl2br w:val="nil"/>
                    <w:tr2bl w:val="nil"/>
                  </w:tcBorders>
                  <w:vAlign w:val="center"/>
                </w:tcPr>
                <w:p w14:paraId="1777A48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废气治理</w:t>
                  </w:r>
                </w:p>
              </w:tc>
              <w:tc>
                <w:tcPr>
                  <w:tcW w:w="716" w:type="dxa"/>
                  <w:tcBorders>
                    <w:tl2br w:val="nil"/>
                    <w:tr2bl w:val="nil"/>
                  </w:tcBorders>
                  <w:vAlign w:val="center"/>
                </w:tcPr>
                <w:p w14:paraId="34D45D53">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固态</w:t>
                  </w:r>
                </w:p>
              </w:tc>
              <w:tc>
                <w:tcPr>
                  <w:tcW w:w="716" w:type="dxa"/>
                  <w:vMerge w:val="restart"/>
                  <w:tcBorders>
                    <w:tl2br w:val="nil"/>
                    <w:tr2bl w:val="nil"/>
                  </w:tcBorders>
                  <w:vAlign w:val="center"/>
                </w:tcPr>
                <w:p w14:paraId="1B7C115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挥发性有机物</w:t>
                  </w:r>
                </w:p>
              </w:tc>
              <w:tc>
                <w:tcPr>
                  <w:tcW w:w="716" w:type="dxa"/>
                  <w:tcBorders>
                    <w:tl2br w:val="nil"/>
                    <w:tr2bl w:val="nil"/>
                  </w:tcBorders>
                  <w:vAlign w:val="center"/>
                </w:tcPr>
                <w:p w14:paraId="1B48491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1.5年</w:t>
                  </w:r>
                </w:p>
              </w:tc>
              <w:tc>
                <w:tcPr>
                  <w:tcW w:w="716" w:type="dxa"/>
                  <w:tcBorders>
                    <w:tl2br w:val="nil"/>
                    <w:tr2bl w:val="nil"/>
                  </w:tcBorders>
                  <w:vAlign w:val="center"/>
                </w:tcPr>
                <w:p w14:paraId="17D9F6C3">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T/I</w:t>
                  </w:r>
                </w:p>
              </w:tc>
              <w:tc>
                <w:tcPr>
                  <w:tcW w:w="717" w:type="dxa"/>
                  <w:vMerge w:val="continue"/>
                  <w:tcBorders>
                    <w:tl2br w:val="nil"/>
                    <w:tr2bl w:val="nil"/>
                  </w:tcBorders>
                  <w:vAlign w:val="center"/>
                </w:tcPr>
                <w:p w14:paraId="0F2ED35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r>
            <w:tr w14:paraId="08C71E8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27" w:type="dxa"/>
                  <w:tcBorders>
                    <w:tl2br w:val="nil"/>
                    <w:tr2bl w:val="nil"/>
                  </w:tcBorders>
                  <w:vAlign w:val="center"/>
                </w:tcPr>
                <w:p w14:paraId="2DD28BF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w:t>
                  </w:r>
                </w:p>
              </w:tc>
              <w:tc>
                <w:tcPr>
                  <w:tcW w:w="1005" w:type="dxa"/>
                  <w:tcBorders>
                    <w:tl2br w:val="nil"/>
                    <w:tr2bl w:val="nil"/>
                  </w:tcBorders>
                  <w:vAlign w:val="center"/>
                </w:tcPr>
                <w:p w14:paraId="30F5D568">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废过滤棉</w:t>
                  </w:r>
                </w:p>
              </w:tc>
              <w:tc>
                <w:tcPr>
                  <w:tcW w:w="716" w:type="dxa"/>
                  <w:tcBorders>
                    <w:tl2br w:val="nil"/>
                    <w:tr2bl w:val="nil"/>
                  </w:tcBorders>
                  <w:vAlign w:val="center"/>
                </w:tcPr>
                <w:p w14:paraId="137615F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HW49</w:t>
                  </w:r>
                </w:p>
              </w:tc>
              <w:tc>
                <w:tcPr>
                  <w:tcW w:w="716" w:type="dxa"/>
                  <w:tcBorders>
                    <w:tl2br w:val="nil"/>
                    <w:tr2bl w:val="nil"/>
                  </w:tcBorders>
                  <w:vAlign w:val="center"/>
                </w:tcPr>
                <w:p w14:paraId="2DD493D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900-041-49</w:t>
                  </w:r>
                </w:p>
              </w:tc>
              <w:tc>
                <w:tcPr>
                  <w:tcW w:w="716" w:type="dxa"/>
                  <w:tcBorders>
                    <w:tl2br w:val="nil"/>
                    <w:tr2bl w:val="nil"/>
                  </w:tcBorders>
                  <w:vAlign w:val="center"/>
                </w:tcPr>
                <w:p w14:paraId="4075CA0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0.01</w:t>
                  </w:r>
                </w:p>
              </w:tc>
              <w:tc>
                <w:tcPr>
                  <w:tcW w:w="716" w:type="dxa"/>
                  <w:vMerge w:val="continue"/>
                  <w:tcBorders>
                    <w:tl2br w:val="nil"/>
                    <w:tr2bl w:val="nil"/>
                  </w:tcBorders>
                  <w:vAlign w:val="center"/>
                </w:tcPr>
                <w:p w14:paraId="60304CE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716" w:type="dxa"/>
                  <w:tcBorders>
                    <w:tl2br w:val="nil"/>
                    <w:tr2bl w:val="nil"/>
                  </w:tcBorders>
                  <w:vAlign w:val="center"/>
                </w:tcPr>
                <w:p w14:paraId="3A79033A">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固态</w:t>
                  </w:r>
                </w:p>
              </w:tc>
              <w:tc>
                <w:tcPr>
                  <w:tcW w:w="716" w:type="dxa"/>
                  <w:vMerge w:val="continue"/>
                  <w:tcBorders>
                    <w:tl2br w:val="nil"/>
                    <w:tr2bl w:val="nil"/>
                  </w:tcBorders>
                  <w:vAlign w:val="center"/>
                </w:tcPr>
                <w:p w14:paraId="346E8E8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716" w:type="dxa"/>
                  <w:tcBorders>
                    <w:tl2br w:val="nil"/>
                    <w:tr2bl w:val="nil"/>
                  </w:tcBorders>
                  <w:vAlign w:val="center"/>
                </w:tcPr>
                <w:p w14:paraId="152494D4">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季度</w:t>
                  </w:r>
                </w:p>
              </w:tc>
              <w:tc>
                <w:tcPr>
                  <w:tcW w:w="716" w:type="dxa"/>
                  <w:tcBorders>
                    <w:tl2br w:val="nil"/>
                    <w:tr2bl w:val="nil"/>
                  </w:tcBorders>
                  <w:vAlign w:val="center"/>
                </w:tcPr>
                <w:p w14:paraId="092D592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T/I</w:t>
                  </w:r>
                </w:p>
              </w:tc>
              <w:tc>
                <w:tcPr>
                  <w:tcW w:w="717" w:type="dxa"/>
                  <w:vMerge w:val="continue"/>
                  <w:tcBorders>
                    <w:tl2br w:val="nil"/>
                    <w:tr2bl w:val="nil"/>
                  </w:tcBorders>
                  <w:vAlign w:val="center"/>
                </w:tcPr>
                <w:p w14:paraId="0B05351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r>
            <w:tr w14:paraId="656492A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27" w:type="dxa"/>
                  <w:tcBorders>
                    <w:tl2br w:val="nil"/>
                    <w:tr2bl w:val="nil"/>
                  </w:tcBorders>
                  <w:vAlign w:val="center"/>
                </w:tcPr>
                <w:p w14:paraId="5E3AA62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w:t>
                  </w:r>
                </w:p>
              </w:tc>
              <w:tc>
                <w:tcPr>
                  <w:tcW w:w="1005" w:type="dxa"/>
                  <w:tcBorders>
                    <w:tl2br w:val="nil"/>
                    <w:tr2bl w:val="nil"/>
                  </w:tcBorders>
                  <w:vAlign w:val="center"/>
                </w:tcPr>
                <w:p w14:paraId="6E49CD3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废润滑油</w:t>
                  </w:r>
                </w:p>
              </w:tc>
              <w:tc>
                <w:tcPr>
                  <w:tcW w:w="716" w:type="dxa"/>
                  <w:tcBorders>
                    <w:tl2br w:val="nil"/>
                    <w:tr2bl w:val="nil"/>
                  </w:tcBorders>
                  <w:vAlign w:val="center"/>
                </w:tcPr>
                <w:p w14:paraId="21D011F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HW08</w:t>
                  </w:r>
                </w:p>
              </w:tc>
              <w:tc>
                <w:tcPr>
                  <w:tcW w:w="716" w:type="dxa"/>
                  <w:tcBorders>
                    <w:tl2br w:val="nil"/>
                    <w:tr2bl w:val="nil"/>
                  </w:tcBorders>
                  <w:vAlign w:val="center"/>
                </w:tcPr>
                <w:p w14:paraId="010BA2DA">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900-217-08</w:t>
                  </w:r>
                </w:p>
              </w:tc>
              <w:tc>
                <w:tcPr>
                  <w:tcW w:w="716" w:type="dxa"/>
                  <w:tcBorders>
                    <w:tl2br w:val="nil"/>
                    <w:tr2bl w:val="nil"/>
                  </w:tcBorders>
                  <w:vAlign w:val="center"/>
                </w:tcPr>
                <w:p w14:paraId="2DBC8E9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0.5</w:t>
                  </w:r>
                </w:p>
              </w:tc>
              <w:tc>
                <w:tcPr>
                  <w:tcW w:w="716" w:type="dxa"/>
                  <w:vMerge w:val="restart"/>
                  <w:tcBorders>
                    <w:tl2br w:val="nil"/>
                    <w:tr2bl w:val="nil"/>
                  </w:tcBorders>
                  <w:vAlign w:val="center"/>
                </w:tcPr>
                <w:p w14:paraId="57990BC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设备维修</w:t>
                  </w:r>
                </w:p>
              </w:tc>
              <w:tc>
                <w:tcPr>
                  <w:tcW w:w="716" w:type="dxa"/>
                  <w:tcBorders>
                    <w:tl2br w:val="nil"/>
                    <w:tr2bl w:val="nil"/>
                  </w:tcBorders>
                  <w:vAlign w:val="center"/>
                </w:tcPr>
                <w:p w14:paraId="48B3375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val="en-US" w:eastAsia="zh-CN"/>
                    </w:rPr>
                    <w:t>液态</w:t>
                  </w:r>
                </w:p>
              </w:tc>
              <w:tc>
                <w:tcPr>
                  <w:tcW w:w="716" w:type="dxa"/>
                  <w:tcBorders>
                    <w:tl2br w:val="nil"/>
                    <w:tr2bl w:val="nil"/>
                  </w:tcBorders>
                  <w:vAlign w:val="center"/>
                </w:tcPr>
                <w:p w14:paraId="2F959833">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废矿物油</w:t>
                  </w:r>
                </w:p>
              </w:tc>
              <w:tc>
                <w:tcPr>
                  <w:tcW w:w="716" w:type="dxa"/>
                  <w:tcBorders>
                    <w:tl2br w:val="nil"/>
                    <w:tr2bl w:val="nil"/>
                  </w:tcBorders>
                  <w:vAlign w:val="center"/>
                </w:tcPr>
                <w:p w14:paraId="500DF58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val="en-US" w:eastAsia="zh-CN"/>
                    </w:rPr>
                    <w:t>季度</w:t>
                  </w:r>
                </w:p>
              </w:tc>
              <w:tc>
                <w:tcPr>
                  <w:tcW w:w="716" w:type="dxa"/>
                  <w:tcBorders>
                    <w:tl2br w:val="nil"/>
                    <w:tr2bl w:val="nil"/>
                  </w:tcBorders>
                  <w:vAlign w:val="center"/>
                </w:tcPr>
                <w:p w14:paraId="5656891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T/I</w:t>
                  </w:r>
                </w:p>
              </w:tc>
              <w:tc>
                <w:tcPr>
                  <w:tcW w:w="717" w:type="dxa"/>
                  <w:vMerge w:val="continue"/>
                  <w:tcBorders>
                    <w:tl2br w:val="nil"/>
                    <w:tr2bl w:val="nil"/>
                  </w:tcBorders>
                  <w:vAlign w:val="center"/>
                </w:tcPr>
                <w:p w14:paraId="6077A0A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r>
            <w:tr w14:paraId="0FE0658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27" w:type="dxa"/>
                  <w:tcBorders>
                    <w:tl2br w:val="nil"/>
                    <w:tr2bl w:val="nil"/>
                  </w:tcBorders>
                  <w:vAlign w:val="center"/>
                </w:tcPr>
                <w:p w14:paraId="660695A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5</w:t>
                  </w:r>
                </w:p>
              </w:tc>
              <w:tc>
                <w:tcPr>
                  <w:tcW w:w="1005" w:type="dxa"/>
                  <w:tcBorders>
                    <w:tl2br w:val="nil"/>
                    <w:tr2bl w:val="nil"/>
                  </w:tcBorders>
                  <w:vAlign w:val="center"/>
                </w:tcPr>
                <w:p w14:paraId="2E9677B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含油抹布手套</w:t>
                  </w:r>
                </w:p>
              </w:tc>
              <w:tc>
                <w:tcPr>
                  <w:tcW w:w="716" w:type="dxa"/>
                  <w:tcBorders>
                    <w:tl2br w:val="nil"/>
                    <w:tr2bl w:val="nil"/>
                  </w:tcBorders>
                  <w:vAlign w:val="center"/>
                </w:tcPr>
                <w:p w14:paraId="548597D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HW49</w:t>
                  </w:r>
                </w:p>
              </w:tc>
              <w:tc>
                <w:tcPr>
                  <w:tcW w:w="716" w:type="dxa"/>
                  <w:tcBorders>
                    <w:tl2br w:val="nil"/>
                    <w:tr2bl w:val="nil"/>
                  </w:tcBorders>
                  <w:vAlign w:val="center"/>
                </w:tcPr>
                <w:p w14:paraId="2F616B7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900-041-49</w:t>
                  </w:r>
                </w:p>
              </w:tc>
              <w:tc>
                <w:tcPr>
                  <w:tcW w:w="716" w:type="dxa"/>
                  <w:tcBorders>
                    <w:tl2br w:val="nil"/>
                    <w:tr2bl w:val="nil"/>
                  </w:tcBorders>
                  <w:vAlign w:val="center"/>
                </w:tcPr>
                <w:p w14:paraId="2DB89FF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0.01</w:t>
                  </w:r>
                </w:p>
              </w:tc>
              <w:tc>
                <w:tcPr>
                  <w:tcW w:w="716" w:type="dxa"/>
                  <w:vMerge w:val="continue"/>
                  <w:tcBorders>
                    <w:tl2br w:val="nil"/>
                    <w:tr2bl w:val="nil"/>
                  </w:tcBorders>
                  <w:vAlign w:val="center"/>
                </w:tcPr>
                <w:p w14:paraId="61DED07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716" w:type="dxa"/>
                  <w:tcBorders>
                    <w:tl2br w:val="nil"/>
                    <w:tr2bl w:val="nil"/>
                  </w:tcBorders>
                  <w:vAlign w:val="center"/>
                </w:tcPr>
                <w:p w14:paraId="0812871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固态</w:t>
                  </w:r>
                </w:p>
              </w:tc>
              <w:tc>
                <w:tcPr>
                  <w:tcW w:w="716" w:type="dxa"/>
                  <w:tcBorders>
                    <w:tl2br w:val="nil"/>
                    <w:tr2bl w:val="nil"/>
                  </w:tcBorders>
                  <w:vAlign w:val="center"/>
                </w:tcPr>
                <w:p w14:paraId="1B020DC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废矿物油</w:t>
                  </w:r>
                </w:p>
              </w:tc>
              <w:tc>
                <w:tcPr>
                  <w:tcW w:w="716" w:type="dxa"/>
                  <w:tcBorders>
                    <w:tl2br w:val="nil"/>
                    <w:tr2bl w:val="nil"/>
                  </w:tcBorders>
                  <w:vAlign w:val="center"/>
                </w:tcPr>
                <w:p w14:paraId="1E1A743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val="en-US" w:eastAsia="zh-CN"/>
                    </w:rPr>
                    <w:t>季度</w:t>
                  </w:r>
                </w:p>
              </w:tc>
              <w:tc>
                <w:tcPr>
                  <w:tcW w:w="716" w:type="dxa"/>
                  <w:tcBorders>
                    <w:tl2br w:val="nil"/>
                    <w:tr2bl w:val="nil"/>
                  </w:tcBorders>
                  <w:vAlign w:val="center"/>
                </w:tcPr>
                <w:p w14:paraId="3177BB9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T/I</w:t>
                  </w:r>
                </w:p>
              </w:tc>
              <w:tc>
                <w:tcPr>
                  <w:tcW w:w="717" w:type="dxa"/>
                  <w:vMerge w:val="continue"/>
                  <w:tcBorders>
                    <w:tl2br w:val="nil"/>
                    <w:tr2bl w:val="nil"/>
                  </w:tcBorders>
                  <w:vAlign w:val="center"/>
                </w:tcPr>
                <w:p w14:paraId="0F7F2899">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r>
            <w:tr w14:paraId="2A98439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27" w:type="dxa"/>
                  <w:tcBorders>
                    <w:tl2br w:val="nil"/>
                    <w:tr2bl w:val="nil"/>
                  </w:tcBorders>
                  <w:vAlign w:val="center"/>
                </w:tcPr>
                <w:p w14:paraId="3C98CAB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6</w:t>
                  </w:r>
                </w:p>
              </w:tc>
              <w:tc>
                <w:tcPr>
                  <w:tcW w:w="1005" w:type="dxa"/>
                  <w:tcBorders>
                    <w:tl2br w:val="nil"/>
                    <w:tr2bl w:val="nil"/>
                  </w:tcBorders>
                  <w:vAlign w:val="center"/>
                </w:tcPr>
                <w:p w14:paraId="7B82CBFD">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废润滑油桶</w:t>
                  </w:r>
                </w:p>
              </w:tc>
              <w:tc>
                <w:tcPr>
                  <w:tcW w:w="716" w:type="dxa"/>
                  <w:tcBorders>
                    <w:tl2br w:val="nil"/>
                    <w:tr2bl w:val="nil"/>
                  </w:tcBorders>
                  <w:vAlign w:val="center"/>
                </w:tcPr>
                <w:p w14:paraId="34634EE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HW08</w:t>
                  </w:r>
                </w:p>
              </w:tc>
              <w:tc>
                <w:tcPr>
                  <w:tcW w:w="716" w:type="dxa"/>
                  <w:tcBorders>
                    <w:tl2br w:val="nil"/>
                    <w:tr2bl w:val="nil"/>
                  </w:tcBorders>
                  <w:vAlign w:val="center"/>
                </w:tcPr>
                <w:p w14:paraId="69756468">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900-249-08</w:t>
                  </w:r>
                </w:p>
              </w:tc>
              <w:tc>
                <w:tcPr>
                  <w:tcW w:w="716" w:type="dxa"/>
                  <w:tcBorders>
                    <w:tl2br w:val="nil"/>
                    <w:tr2bl w:val="nil"/>
                  </w:tcBorders>
                  <w:vAlign w:val="center"/>
                </w:tcPr>
                <w:p w14:paraId="6B67AFE8">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0.05</w:t>
                  </w:r>
                </w:p>
              </w:tc>
              <w:tc>
                <w:tcPr>
                  <w:tcW w:w="716" w:type="dxa"/>
                  <w:vMerge w:val="continue"/>
                  <w:tcBorders>
                    <w:tl2br w:val="nil"/>
                    <w:tr2bl w:val="nil"/>
                  </w:tcBorders>
                  <w:vAlign w:val="center"/>
                </w:tcPr>
                <w:p w14:paraId="581CBE2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716" w:type="dxa"/>
                  <w:tcBorders>
                    <w:tl2br w:val="nil"/>
                    <w:tr2bl w:val="nil"/>
                  </w:tcBorders>
                  <w:vAlign w:val="center"/>
                </w:tcPr>
                <w:p w14:paraId="6332211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固态</w:t>
                  </w:r>
                </w:p>
              </w:tc>
              <w:tc>
                <w:tcPr>
                  <w:tcW w:w="716" w:type="dxa"/>
                  <w:tcBorders>
                    <w:tl2br w:val="nil"/>
                    <w:tr2bl w:val="nil"/>
                  </w:tcBorders>
                  <w:vAlign w:val="center"/>
                </w:tcPr>
                <w:p w14:paraId="7256DE1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废矿物油</w:t>
                  </w:r>
                </w:p>
              </w:tc>
              <w:tc>
                <w:tcPr>
                  <w:tcW w:w="716" w:type="dxa"/>
                  <w:tcBorders>
                    <w:tl2br w:val="nil"/>
                    <w:tr2bl w:val="nil"/>
                  </w:tcBorders>
                  <w:shd w:val="clear" w:color="auto" w:fill="auto"/>
                  <w:vAlign w:val="center"/>
                </w:tcPr>
                <w:p w14:paraId="4FF077C4">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季度</w:t>
                  </w:r>
                </w:p>
              </w:tc>
              <w:tc>
                <w:tcPr>
                  <w:tcW w:w="716" w:type="dxa"/>
                  <w:tcBorders>
                    <w:tl2br w:val="nil"/>
                    <w:tr2bl w:val="nil"/>
                  </w:tcBorders>
                  <w:shd w:val="clear" w:color="auto" w:fill="auto"/>
                  <w:vAlign w:val="center"/>
                </w:tcPr>
                <w:p w14:paraId="528D29B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eastAsia="zh-CN"/>
                    </w:rPr>
                    <w:t>T/I</w:t>
                  </w:r>
                </w:p>
              </w:tc>
              <w:tc>
                <w:tcPr>
                  <w:tcW w:w="717" w:type="dxa"/>
                  <w:vMerge w:val="continue"/>
                  <w:tcBorders>
                    <w:tl2br w:val="nil"/>
                    <w:tr2bl w:val="nil"/>
                  </w:tcBorders>
                  <w:vAlign w:val="center"/>
                </w:tcPr>
                <w:p w14:paraId="63ABB96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r>
            <w:tr w14:paraId="05E2B3B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27" w:type="dxa"/>
                  <w:tcBorders>
                    <w:tl2br w:val="nil"/>
                    <w:tr2bl w:val="nil"/>
                  </w:tcBorders>
                  <w:vAlign w:val="center"/>
                </w:tcPr>
                <w:p w14:paraId="67ACA68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7</w:t>
                  </w:r>
                </w:p>
              </w:tc>
              <w:tc>
                <w:tcPr>
                  <w:tcW w:w="1005" w:type="dxa"/>
                  <w:tcBorders>
                    <w:tl2br w:val="nil"/>
                    <w:tr2bl w:val="nil"/>
                  </w:tcBorders>
                  <w:vAlign w:val="center"/>
                </w:tcPr>
                <w:p w14:paraId="699CB5E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废包装桶</w:t>
                  </w:r>
                </w:p>
              </w:tc>
              <w:tc>
                <w:tcPr>
                  <w:tcW w:w="716" w:type="dxa"/>
                  <w:tcBorders>
                    <w:tl2br w:val="nil"/>
                    <w:tr2bl w:val="nil"/>
                  </w:tcBorders>
                  <w:vAlign w:val="center"/>
                </w:tcPr>
                <w:p w14:paraId="438E33D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HW49</w:t>
                  </w:r>
                </w:p>
              </w:tc>
              <w:tc>
                <w:tcPr>
                  <w:tcW w:w="716" w:type="dxa"/>
                  <w:tcBorders>
                    <w:tl2br w:val="nil"/>
                    <w:tr2bl w:val="nil"/>
                  </w:tcBorders>
                  <w:vAlign w:val="center"/>
                </w:tcPr>
                <w:p w14:paraId="06C062DA">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900-041-49</w:t>
                  </w:r>
                </w:p>
              </w:tc>
              <w:tc>
                <w:tcPr>
                  <w:tcW w:w="716" w:type="dxa"/>
                  <w:tcBorders>
                    <w:tl2br w:val="nil"/>
                    <w:tr2bl w:val="nil"/>
                  </w:tcBorders>
                  <w:vAlign w:val="center"/>
                </w:tcPr>
                <w:p w14:paraId="607C4AE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7.5</w:t>
                  </w:r>
                </w:p>
              </w:tc>
              <w:tc>
                <w:tcPr>
                  <w:tcW w:w="716" w:type="dxa"/>
                  <w:tcBorders>
                    <w:tl2br w:val="nil"/>
                    <w:tr2bl w:val="nil"/>
                  </w:tcBorders>
                  <w:vAlign w:val="center"/>
                </w:tcPr>
                <w:p w14:paraId="391FDBBA">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原料使用</w:t>
                  </w:r>
                </w:p>
              </w:tc>
              <w:tc>
                <w:tcPr>
                  <w:tcW w:w="716" w:type="dxa"/>
                  <w:tcBorders>
                    <w:tl2br w:val="nil"/>
                    <w:tr2bl w:val="nil"/>
                  </w:tcBorders>
                  <w:vAlign w:val="center"/>
                </w:tcPr>
                <w:p w14:paraId="263DDE8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固态</w:t>
                  </w:r>
                </w:p>
              </w:tc>
              <w:tc>
                <w:tcPr>
                  <w:tcW w:w="716" w:type="dxa"/>
                  <w:tcBorders>
                    <w:tl2br w:val="nil"/>
                    <w:tr2bl w:val="nil"/>
                  </w:tcBorders>
                  <w:vAlign w:val="center"/>
                </w:tcPr>
                <w:p w14:paraId="44C4BE1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废酸</w:t>
                  </w:r>
                </w:p>
              </w:tc>
              <w:tc>
                <w:tcPr>
                  <w:tcW w:w="716" w:type="dxa"/>
                  <w:tcBorders>
                    <w:tl2br w:val="nil"/>
                    <w:tr2bl w:val="nil"/>
                  </w:tcBorders>
                  <w:shd w:val="clear" w:color="auto" w:fill="auto"/>
                  <w:vAlign w:val="center"/>
                </w:tcPr>
                <w:p w14:paraId="1C154E4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天</w:t>
                  </w:r>
                </w:p>
              </w:tc>
              <w:tc>
                <w:tcPr>
                  <w:tcW w:w="716" w:type="dxa"/>
                  <w:tcBorders>
                    <w:tl2br w:val="nil"/>
                    <w:tr2bl w:val="nil"/>
                  </w:tcBorders>
                  <w:shd w:val="clear" w:color="auto" w:fill="auto"/>
                  <w:vAlign w:val="center"/>
                </w:tcPr>
                <w:p w14:paraId="7F3FAB5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T/I</w:t>
                  </w:r>
                </w:p>
              </w:tc>
              <w:tc>
                <w:tcPr>
                  <w:tcW w:w="717" w:type="dxa"/>
                  <w:vMerge w:val="continue"/>
                  <w:tcBorders>
                    <w:tl2br w:val="nil"/>
                    <w:tr2bl w:val="nil"/>
                  </w:tcBorders>
                  <w:vAlign w:val="center"/>
                </w:tcPr>
                <w:p w14:paraId="750B20C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r>
            <w:tr w14:paraId="0360DD5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27" w:type="dxa"/>
                  <w:tcBorders>
                    <w:tl2br w:val="nil"/>
                    <w:tr2bl w:val="nil"/>
                  </w:tcBorders>
                  <w:vAlign w:val="center"/>
                </w:tcPr>
                <w:p w14:paraId="10B102DA">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8</w:t>
                  </w:r>
                </w:p>
              </w:tc>
              <w:tc>
                <w:tcPr>
                  <w:tcW w:w="1005" w:type="dxa"/>
                  <w:tcBorders>
                    <w:tl2br w:val="nil"/>
                    <w:tr2bl w:val="nil"/>
                  </w:tcBorders>
                  <w:vAlign w:val="center"/>
                </w:tcPr>
                <w:p w14:paraId="0A150F8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隔油池油污</w:t>
                  </w:r>
                </w:p>
              </w:tc>
              <w:tc>
                <w:tcPr>
                  <w:tcW w:w="716" w:type="dxa"/>
                  <w:tcBorders>
                    <w:tl2br w:val="nil"/>
                    <w:tr2bl w:val="nil"/>
                  </w:tcBorders>
                  <w:vAlign w:val="center"/>
                </w:tcPr>
                <w:p w14:paraId="7BEF47F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HW08</w:t>
                  </w:r>
                </w:p>
              </w:tc>
              <w:tc>
                <w:tcPr>
                  <w:tcW w:w="716" w:type="dxa"/>
                  <w:tcBorders>
                    <w:tl2br w:val="nil"/>
                    <w:tr2bl w:val="nil"/>
                  </w:tcBorders>
                  <w:vAlign w:val="center"/>
                </w:tcPr>
                <w:p w14:paraId="0D094E3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900-249-08</w:t>
                  </w:r>
                </w:p>
              </w:tc>
              <w:tc>
                <w:tcPr>
                  <w:tcW w:w="716" w:type="dxa"/>
                  <w:tcBorders>
                    <w:tl2br w:val="nil"/>
                    <w:tr2bl w:val="nil"/>
                  </w:tcBorders>
                  <w:vAlign w:val="center"/>
                </w:tcPr>
                <w:p w14:paraId="25D723AA">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0.05</w:t>
                  </w:r>
                </w:p>
              </w:tc>
              <w:tc>
                <w:tcPr>
                  <w:tcW w:w="716" w:type="dxa"/>
                  <w:tcBorders>
                    <w:tl2br w:val="nil"/>
                    <w:tr2bl w:val="nil"/>
                  </w:tcBorders>
                  <w:vAlign w:val="center"/>
                </w:tcPr>
                <w:p w14:paraId="39A0975D">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废水处理</w:t>
                  </w:r>
                </w:p>
              </w:tc>
              <w:tc>
                <w:tcPr>
                  <w:tcW w:w="716" w:type="dxa"/>
                  <w:tcBorders>
                    <w:tl2br w:val="nil"/>
                    <w:tr2bl w:val="nil"/>
                  </w:tcBorders>
                  <w:vAlign w:val="center"/>
                </w:tcPr>
                <w:p w14:paraId="63E3787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液态</w:t>
                  </w:r>
                </w:p>
              </w:tc>
              <w:tc>
                <w:tcPr>
                  <w:tcW w:w="716" w:type="dxa"/>
                  <w:tcBorders>
                    <w:tl2br w:val="nil"/>
                    <w:tr2bl w:val="nil"/>
                  </w:tcBorders>
                  <w:vAlign w:val="center"/>
                </w:tcPr>
                <w:p w14:paraId="7DA8800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废矿物油</w:t>
                  </w:r>
                </w:p>
              </w:tc>
              <w:tc>
                <w:tcPr>
                  <w:tcW w:w="716" w:type="dxa"/>
                  <w:tcBorders>
                    <w:tl2br w:val="nil"/>
                    <w:tr2bl w:val="nil"/>
                  </w:tcBorders>
                  <w:shd w:val="clear" w:color="auto" w:fill="auto"/>
                  <w:vAlign w:val="center"/>
                </w:tcPr>
                <w:p w14:paraId="1A8369A4">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季度</w:t>
                  </w:r>
                </w:p>
              </w:tc>
              <w:tc>
                <w:tcPr>
                  <w:tcW w:w="716" w:type="dxa"/>
                  <w:tcBorders>
                    <w:tl2br w:val="nil"/>
                    <w:tr2bl w:val="nil"/>
                  </w:tcBorders>
                  <w:shd w:val="clear" w:color="auto" w:fill="auto"/>
                  <w:vAlign w:val="center"/>
                </w:tcPr>
                <w:p w14:paraId="6B6B0F74">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T/I</w:t>
                  </w:r>
                </w:p>
              </w:tc>
              <w:tc>
                <w:tcPr>
                  <w:tcW w:w="717" w:type="dxa"/>
                  <w:vMerge w:val="continue"/>
                  <w:tcBorders>
                    <w:tl2br w:val="nil"/>
                    <w:tr2bl w:val="nil"/>
                  </w:tcBorders>
                  <w:vAlign w:val="center"/>
                </w:tcPr>
                <w:p w14:paraId="772E07E9">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r>
          </w:tbl>
          <w:p w14:paraId="25DB6105">
            <w:pPr>
              <w:wordWrap w:val="0"/>
              <w:spacing w:line="240" w:lineRule="auto"/>
              <w:ind w:firstLine="420" w:firstLineChars="200"/>
              <w:jc w:val="center"/>
              <w:rPr>
                <w:rFonts w:hint="eastAsia"/>
                <w:sz w:val="21"/>
                <w:szCs w:val="21"/>
                <w:lang w:eastAsia="zh-CN"/>
              </w:rPr>
            </w:pPr>
          </w:p>
          <w:p w14:paraId="745DCE0A">
            <w:pPr>
              <w:wordWrap w:val="0"/>
              <w:spacing w:line="360" w:lineRule="auto"/>
              <w:ind w:firstLine="480" w:firstLineChars="200"/>
              <w:rPr>
                <w:rFonts w:hint="eastAsia"/>
                <w:sz w:val="24"/>
                <w:lang w:eastAsia="zh-CN"/>
              </w:rPr>
            </w:pPr>
            <w:r>
              <w:rPr>
                <w:rFonts w:hint="eastAsia"/>
                <w:sz w:val="24"/>
                <w:lang w:eastAsia="zh-CN"/>
              </w:rPr>
              <w:t>项目危险废物暂存间基本情况见下表：</w:t>
            </w:r>
          </w:p>
          <w:p w14:paraId="4B09532D">
            <w:pPr>
              <w:numPr>
                <w:ilvl w:val="0"/>
                <w:numId w:val="6"/>
              </w:numPr>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危废暂存间基本情况表</w:t>
            </w:r>
          </w:p>
          <w:tbl>
            <w:tblPr>
              <w:tblStyle w:val="27"/>
              <w:tblW w:w="787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407"/>
              <w:gridCol w:w="1387"/>
              <w:gridCol w:w="900"/>
              <w:gridCol w:w="1313"/>
              <w:gridCol w:w="712"/>
              <w:gridCol w:w="725"/>
              <w:gridCol w:w="638"/>
              <w:gridCol w:w="795"/>
            </w:tblGrid>
            <w:tr w14:paraId="21764AF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407" w:type="dxa"/>
                  <w:tcBorders>
                    <w:tl2br w:val="nil"/>
                    <w:tr2bl w:val="nil"/>
                  </w:tcBorders>
                  <w:vAlign w:val="center"/>
                </w:tcPr>
                <w:p w14:paraId="4F479F6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危险废物贮存场所名称</w:t>
                  </w:r>
                </w:p>
              </w:tc>
              <w:tc>
                <w:tcPr>
                  <w:tcW w:w="1387" w:type="dxa"/>
                  <w:tcBorders>
                    <w:tl2br w:val="nil"/>
                    <w:tr2bl w:val="nil"/>
                  </w:tcBorders>
                  <w:vAlign w:val="center"/>
                </w:tcPr>
                <w:p w14:paraId="03C68FFE">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危险废物名称</w:t>
                  </w:r>
                </w:p>
              </w:tc>
              <w:tc>
                <w:tcPr>
                  <w:tcW w:w="900" w:type="dxa"/>
                  <w:tcBorders>
                    <w:tl2br w:val="nil"/>
                    <w:tr2bl w:val="nil"/>
                  </w:tcBorders>
                  <w:vAlign w:val="center"/>
                </w:tcPr>
                <w:p w14:paraId="28E6CF2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危险废物类别</w:t>
                  </w:r>
                </w:p>
              </w:tc>
              <w:tc>
                <w:tcPr>
                  <w:tcW w:w="1313" w:type="dxa"/>
                  <w:tcBorders>
                    <w:tl2br w:val="nil"/>
                    <w:tr2bl w:val="nil"/>
                  </w:tcBorders>
                  <w:vAlign w:val="center"/>
                </w:tcPr>
                <w:p w14:paraId="06253154">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危险废物代码</w:t>
                  </w:r>
                </w:p>
              </w:tc>
              <w:tc>
                <w:tcPr>
                  <w:tcW w:w="712" w:type="dxa"/>
                  <w:tcBorders>
                    <w:tl2br w:val="nil"/>
                    <w:tr2bl w:val="nil"/>
                  </w:tcBorders>
                  <w:vAlign w:val="center"/>
                </w:tcPr>
                <w:p w14:paraId="3D4ACE39">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位置</w:t>
                  </w:r>
                </w:p>
              </w:tc>
              <w:tc>
                <w:tcPr>
                  <w:tcW w:w="725" w:type="dxa"/>
                  <w:tcBorders>
                    <w:tl2br w:val="nil"/>
                    <w:tr2bl w:val="nil"/>
                  </w:tcBorders>
                  <w:vAlign w:val="center"/>
                </w:tcPr>
                <w:p w14:paraId="7ADA054D">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占地面积</w:t>
                  </w:r>
                </w:p>
              </w:tc>
              <w:tc>
                <w:tcPr>
                  <w:tcW w:w="638" w:type="dxa"/>
                  <w:tcBorders>
                    <w:tl2br w:val="nil"/>
                    <w:tr2bl w:val="nil"/>
                  </w:tcBorders>
                  <w:vAlign w:val="center"/>
                </w:tcPr>
                <w:p w14:paraId="0A86424A">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贮存能力</w:t>
                  </w:r>
                </w:p>
              </w:tc>
              <w:tc>
                <w:tcPr>
                  <w:tcW w:w="795" w:type="dxa"/>
                  <w:tcBorders>
                    <w:tl2br w:val="nil"/>
                    <w:tr2bl w:val="nil"/>
                  </w:tcBorders>
                  <w:vAlign w:val="center"/>
                </w:tcPr>
                <w:p w14:paraId="61CCD95E">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贮存周期</w:t>
                  </w:r>
                </w:p>
              </w:tc>
            </w:tr>
            <w:tr w14:paraId="688DCAD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407" w:type="dxa"/>
                  <w:vMerge w:val="restart"/>
                  <w:tcBorders>
                    <w:tl2br w:val="nil"/>
                    <w:tr2bl w:val="nil"/>
                  </w:tcBorders>
                  <w:vAlign w:val="center"/>
                </w:tcPr>
                <w:p w14:paraId="405C3404">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危废暂存间</w:t>
                  </w:r>
                </w:p>
              </w:tc>
              <w:tc>
                <w:tcPr>
                  <w:tcW w:w="1387" w:type="dxa"/>
                  <w:tcBorders>
                    <w:tl2br w:val="nil"/>
                    <w:tr2bl w:val="nil"/>
                  </w:tcBorders>
                  <w:vAlign w:val="center"/>
                </w:tcPr>
                <w:p w14:paraId="21381E7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废导热油</w:t>
                  </w:r>
                </w:p>
              </w:tc>
              <w:tc>
                <w:tcPr>
                  <w:tcW w:w="900" w:type="dxa"/>
                  <w:tcBorders>
                    <w:tl2br w:val="nil"/>
                    <w:tr2bl w:val="nil"/>
                  </w:tcBorders>
                  <w:vAlign w:val="center"/>
                </w:tcPr>
                <w:p w14:paraId="6899ECED">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HW08</w:t>
                  </w:r>
                </w:p>
              </w:tc>
              <w:tc>
                <w:tcPr>
                  <w:tcW w:w="1313" w:type="dxa"/>
                  <w:tcBorders>
                    <w:tl2br w:val="nil"/>
                    <w:tr2bl w:val="nil"/>
                  </w:tcBorders>
                  <w:vAlign w:val="center"/>
                </w:tcPr>
                <w:p w14:paraId="5DF57CA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900-249-08</w:t>
                  </w:r>
                </w:p>
              </w:tc>
              <w:tc>
                <w:tcPr>
                  <w:tcW w:w="712" w:type="dxa"/>
                  <w:vMerge w:val="restart"/>
                  <w:tcBorders>
                    <w:tl2br w:val="nil"/>
                    <w:tr2bl w:val="nil"/>
                  </w:tcBorders>
                  <w:vAlign w:val="center"/>
                </w:tcPr>
                <w:p w14:paraId="3A7BEBE4">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厂区西侧</w:t>
                  </w:r>
                </w:p>
              </w:tc>
              <w:tc>
                <w:tcPr>
                  <w:tcW w:w="725" w:type="dxa"/>
                  <w:vMerge w:val="restart"/>
                  <w:tcBorders>
                    <w:tl2br w:val="nil"/>
                    <w:tr2bl w:val="nil"/>
                  </w:tcBorders>
                  <w:vAlign w:val="center"/>
                </w:tcPr>
                <w:p w14:paraId="79EE3D7A">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10m</w:t>
                  </w:r>
                  <w:r>
                    <w:rPr>
                      <w:rFonts w:hint="eastAsia" w:ascii="Times New Roman" w:hAnsi="Times New Roman" w:eastAsia="宋体" w:cs="Times New Roman"/>
                      <w:sz w:val="21"/>
                      <w:szCs w:val="21"/>
                      <w:vertAlign w:val="superscript"/>
                      <w:lang w:val="en-US" w:eastAsia="zh-CN"/>
                    </w:rPr>
                    <w:t>2</w:t>
                  </w:r>
                </w:p>
              </w:tc>
              <w:tc>
                <w:tcPr>
                  <w:tcW w:w="638" w:type="dxa"/>
                  <w:vMerge w:val="restart"/>
                  <w:tcBorders>
                    <w:tl2br w:val="nil"/>
                    <w:tr2bl w:val="nil"/>
                  </w:tcBorders>
                  <w:vAlign w:val="center"/>
                </w:tcPr>
                <w:p w14:paraId="556C5E6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10t</w:t>
                  </w:r>
                </w:p>
              </w:tc>
              <w:tc>
                <w:tcPr>
                  <w:tcW w:w="795" w:type="dxa"/>
                  <w:vMerge w:val="restart"/>
                  <w:tcBorders>
                    <w:tl2br w:val="nil"/>
                    <w:tr2bl w:val="nil"/>
                  </w:tcBorders>
                  <w:vAlign w:val="center"/>
                </w:tcPr>
                <w:p w14:paraId="07B9EF19">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季度</w:t>
                  </w:r>
                </w:p>
              </w:tc>
            </w:tr>
            <w:tr w14:paraId="115A213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407" w:type="dxa"/>
                  <w:vMerge w:val="continue"/>
                  <w:tcBorders>
                    <w:tl2br w:val="nil"/>
                    <w:tr2bl w:val="nil"/>
                  </w:tcBorders>
                  <w:vAlign w:val="center"/>
                </w:tcPr>
                <w:p w14:paraId="3C10DB8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1387" w:type="dxa"/>
                  <w:tcBorders>
                    <w:tl2br w:val="nil"/>
                    <w:tr2bl w:val="nil"/>
                  </w:tcBorders>
                  <w:vAlign w:val="center"/>
                </w:tcPr>
                <w:p w14:paraId="3194318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废活性炭</w:t>
                  </w:r>
                </w:p>
              </w:tc>
              <w:tc>
                <w:tcPr>
                  <w:tcW w:w="900" w:type="dxa"/>
                  <w:tcBorders>
                    <w:tl2br w:val="nil"/>
                    <w:tr2bl w:val="nil"/>
                  </w:tcBorders>
                  <w:vAlign w:val="center"/>
                </w:tcPr>
                <w:p w14:paraId="792270E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HW49</w:t>
                  </w:r>
                </w:p>
              </w:tc>
              <w:tc>
                <w:tcPr>
                  <w:tcW w:w="1313" w:type="dxa"/>
                  <w:tcBorders>
                    <w:tl2br w:val="nil"/>
                    <w:tr2bl w:val="nil"/>
                  </w:tcBorders>
                  <w:vAlign w:val="center"/>
                </w:tcPr>
                <w:p w14:paraId="00E3CFA8">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900-039-49</w:t>
                  </w:r>
                </w:p>
              </w:tc>
              <w:tc>
                <w:tcPr>
                  <w:tcW w:w="712" w:type="dxa"/>
                  <w:vMerge w:val="continue"/>
                  <w:tcBorders>
                    <w:tl2br w:val="nil"/>
                    <w:tr2bl w:val="nil"/>
                  </w:tcBorders>
                  <w:vAlign w:val="center"/>
                </w:tcPr>
                <w:p w14:paraId="030F5B0D">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725" w:type="dxa"/>
                  <w:vMerge w:val="continue"/>
                  <w:tcBorders>
                    <w:tl2br w:val="nil"/>
                    <w:tr2bl w:val="nil"/>
                  </w:tcBorders>
                  <w:vAlign w:val="center"/>
                </w:tcPr>
                <w:p w14:paraId="78279FB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638" w:type="dxa"/>
                  <w:vMerge w:val="continue"/>
                  <w:tcBorders>
                    <w:tl2br w:val="nil"/>
                    <w:tr2bl w:val="nil"/>
                  </w:tcBorders>
                  <w:vAlign w:val="center"/>
                </w:tcPr>
                <w:p w14:paraId="255E697A">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795" w:type="dxa"/>
                  <w:vMerge w:val="continue"/>
                  <w:tcBorders>
                    <w:tl2br w:val="nil"/>
                    <w:tr2bl w:val="nil"/>
                  </w:tcBorders>
                  <w:vAlign w:val="center"/>
                </w:tcPr>
                <w:p w14:paraId="4DC910C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r>
            <w:tr w14:paraId="0356A82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407" w:type="dxa"/>
                  <w:vMerge w:val="continue"/>
                  <w:tcBorders>
                    <w:tl2br w:val="nil"/>
                    <w:tr2bl w:val="nil"/>
                  </w:tcBorders>
                  <w:vAlign w:val="center"/>
                </w:tcPr>
                <w:p w14:paraId="526E6BA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1387" w:type="dxa"/>
                  <w:tcBorders>
                    <w:tl2br w:val="nil"/>
                    <w:tr2bl w:val="nil"/>
                  </w:tcBorders>
                  <w:vAlign w:val="center"/>
                </w:tcPr>
                <w:p w14:paraId="3963214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废过滤棉</w:t>
                  </w:r>
                </w:p>
              </w:tc>
              <w:tc>
                <w:tcPr>
                  <w:tcW w:w="900" w:type="dxa"/>
                  <w:tcBorders>
                    <w:tl2br w:val="nil"/>
                    <w:tr2bl w:val="nil"/>
                  </w:tcBorders>
                  <w:vAlign w:val="center"/>
                </w:tcPr>
                <w:p w14:paraId="445D087A">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HW49</w:t>
                  </w:r>
                </w:p>
              </w:tc>
              <w:tc>
                <w:tcPr>
                  <w:tcW w:w="1313" w:type="dxa"/>
                  <w:tcBorders>
                    <w:tl2br w:val="nil"/>
                    <w:tr2bl w:val="nil"/>
                  </w:tcBorders>
                  <w:vAlign w:val="center"/>
                </w:tcPr>
                <w:p w14:paraId="0CE0E91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900-041-49</w:t>
                  </w:r>
                </w:p>
              </w:tc>
              <w:tc>
                <w:tcPr>
                  <w:tcW w:w="712" w:type="dxa"/>
                  <w:vMerge w:val="continue"/>
                  <w:tcBorders>
                    <w:tl2br w:val="nil"/>
                    <w:tr2bl w:val="nil"/>
                  </w:tcBorders>
                  <w:vAlign w:val="center"/>
                </w:tcPr>
                <w:p w14:paraId="2943C02E">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725" w:type="dxa"/>
                  <w:vMerge w:val="continue"/>
                  <w:tcBorders>
                    <w:tl2br w:val="nil"/>
                    <w:tr2bl w:val="nil"/>
                  </w:tcBorders>
                  <w:vAlign w:val="center"/>
                </w:tcPr>
                <w:p w14:paraId="4C80C4F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638" w:type="dxa"/>
                  <w:vMerge w:val="continue"/>
                  <w:tcBorders>
                    <w:tl2br w:val="nil"/>
                    <w:tr2bl w:val="nil"/>
                  </w:tcBorders>
                  <w:vAlign w:val="center"/>
                </w:tcPr>
                <w:p w14:paraId="601A65A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795" w:type="dxa"/>
                  <w:vMerge w:val="continue"/>
                  <w:tcBorders>
                    <w:tl2br w:val="nil"/>
                    <w:tr2bl w:val="nil"/>
                  </w:tcBorders>
                  <w:vAlign w:val="center"/>
                </w:tcPr>
                <w:p w14:paraId="7699BDF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r>
            <w:tr w14:paraId="2AB19AD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407" w:type="dxa"/>
                  <w:vMerge w:val="continue"/>
                  <w:tcBorders>
                    <w:tl2br w:val="nil"/>
                    <w:tr2bl w:val="nil"/>
                  </w:tcBorders>
                  <w:vAlign w:val="center"/>
                </w:tcPr>
                <w:p w14:paraId="3D9DD414">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1387" w:type="dxa"/>
                  <w:tcBorders>
                    <w:tl2br w:val="nil"/>
                    <w:tr2bl w:val="nil"/>
                  </w:tcBorders>
                  <w:vAlign w:val="center"/>
                </w:tcPr>
                <w:p w14:paraId="7909C63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废润滑油</w:t>
                  </w:r>
                </w:p>
              </w:tc>
              <w:tc>
                <w:tcPr>
                  <w:tcW w:w="900" w:type="dxa"/>
                  <w:tcBorders>
                    <w:tl2br w:val="nil"/>
                    <w:tr2bl w:val="nil"/>
                  </w:tcBorders>
                  <w:vAlign w:val="center"/>
                </w:tcPr>
                <w:p w14:paraId="481A8598">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HW08</w:t>
                  </w:r>
                </w:p>
              </w:tc>
              <w:tc>
                <w:tcPr>
                  <w:tcW w:w="1313" w:type="dxa"/>
                  <w:tcBorders>
                    <w:tl2br w:val="nil"/>
                    <w:tr2bl w:val="nil"/>
                  </w:tcBorders>
                  <w:vAlign w:val="center"/>
                </w:tcPr>
                <w:p w14:paraId="6722737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900-217-08</w:t>
                  </w:r>
                </w:p>
              </w:tc>
              <w:tc>
                <w:tcPr>
                  <w:tcW w:w="712" w:type="dxa"/>
                  <w:vMerge w:val="continue"/>
                  <w:tcBorders>
                    <w:tl2br w:val="nil"/>
                    <w:tr2bl w:val="nil"/>
                  </w:tcBorders>
                  <w:vAlign w:val="center"/>
                </w:tcPr>
                <w:p w14:paraId="41F0412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725" w:type="dxa"/>
                  <w:vMerge w:val="continue"/>
                  <w:tcBorders>
                    <w:tl2br w:val="nil"/>
                    <w:tr2bl w:val="nil"/>
                  </w:tcBorders>
                  <w:vAlign w:val="center"/>
                </w:tcPr>
                <w:p w14:paraId="5049134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638" w:type="dxa"/>
                  <w:vMerge w:val="continue"/>
                  <w:tcBorders>
                    <w:tl2br w:val="nil"/>
                    <w:tr2bl w:val="nil"/>
                  </w:tcBorders>
                  <w:vAlign w:val="center"/>
                </w:tcPr>
                <w:p w14:paraId="092648EA">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795" w:type="dxa"/>
                  <w:vMerge w:val="continue"/>
                  <w:tcBorders>
                    <w:tl2br w:val="nil"/>
                    <w:tr2bl w:val="nil"/>
                  </w:tcBorders>
                  <w:vAlign w:val="center"/>
                </w:tcPr>
                <w:p w14:paraId="6F8EEF9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r>
            <w:tr w14:paraId="2BB38DA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407" w:type="dxa"/>
                  <w:vMerge w:val="continue"/>
                  <w:tcBorders>
                    <w:tl2br w:val="nil"/>
                    <w:tr2bl w:val="nil"/>
                  </w:tcBorders>
                  <w:vAlign w:val="center"/>
                </w:tcPr>
                <w:p w14:paraId="2C4D77C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1387" w:type="dxa"/>
                  <w:tcBorders>
                    <w:tl2br w:val="nil"/>
                    <w:tr2bl w:val="nil"/>
                  </w:tcBorders>
                  <w:vAlign w:val="center"/>
                </w:tcPr>
                <w:p w14:paraId="5D7377FA">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含油抹布手套</w:t>
                  </w:r>
                </w:p>
              </w:tc>
              <w:tc>
                <w:tcPr>
                  <w:tcW w:w="900" w:type="dxa"/>
                  <w:tcBorders>
                    <w:tl2br w:val="nil"/>
                    <w:tr2bl w:val="nil"/>
                  </w:tcBorders>
                  <w:vAlign w:val="center"/>
                </w:tcPr>
                <w:p w14:paraId="61891FA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HW49</w:t>
                  </w:r>
                </w:p>
              </w:tc>
              <w:tc>
                <w:tcPr>
                  <w:tcW w:w="1313" w:type="dxa"/>
                  <w:tcBorders>
                    <w:tl2br w:val="nil"/>
                    <w:tr2bl w:val="nil"/>
                  </w:tcBorders>
                  <w:vAlign w:val="center"/>
                </w:tcPr>
                <w:p w14:paraId="352100D8">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900-041-49</w:t>
                  </w:r>
                </w:p>
              </w:tc>
              <w:tc>
                <w:tcPr>
                  <w:tcW w:w="712" w:type="dxa"/>
                  <w:vMerge w:val="continue"/>
                  <w:tcBorders>
                    <w:tl2br w:val="nil"/>
                    <w:tr2bl w:val="nil"/>
                  </w:tcBorders>
                  <w:vAlign w:val="center"/>
                </w:tcPr>
                <w:p w14:paraId="5A55F493">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725" w:type="dxa"/>
                  <w:vMerge w:val="continue"/>
                  <w:tcBorders>
                    <w:tl2br w:val="nil"/>
                    <w:tr2bl w:val="nil"/>
                  </w:tcBorders>
                  <w:vAlign w:val="center"/>
                </w:tcPr>
                <w:p w14:paraId="11D69069">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638" w:type="dxa"/>
                  <w:vMerge w:val="continue"/>
                  <w:tcBorders>
                    <w:tl2br w:val="nil"/>
                    <w:tr2bl w:val="nil"/>
                  </w:tcBorders>
                  <w:vAlign w:val="center"/>
                </w:tcPr>
                <w:p w14:paraId="465D0464">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795" w:type="dxa"/>
                  <w:vMerge w:val="continue"/>
                  <w:tcBorders>
                    <w:tl2br w:val="nil"/>
                    <w:tr2bl w:val="nil"/>
                  </w:tcBorders>
                  <w:vAlign w:val="center"/>
                </w:tcPr>
                <w:p w14:paraId="57F7FFB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r>
            <w:tr w14:paraId="6A38BCE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407" w:type="dxa"/>
                  <w:vMerge w:val="continue"/>
                  <w:tcBorders>
                    <w:tl2br w:val="nil"/>
                    <w:tr2bl w:val="nil"/>
                  </w:tcBorders>
                  <w:vAlign w:val="center"/>
                </w:tcPr>
                <w:p w14:paraId="5C4D84AE">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1387" w:type="dxa"/>
                  <w:tcBorders>
                    <w:tl2br w:val="nil"/>
                    <w:tr2bl w:val="nil"/>
                  </w:tcBorders>
                  <w:vAlign w:val="center"/>
                </w:tcPr>
                <w:p w14:paraId="11B0B50A">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废润滑油桶</w:t>
                  </w:r>
                </w:p>
              </w:tc>
              <w:tc>
                <w:tcPr>
                  <w:tcW w:w="900" w:type="dxa"/>
                  <w:tcBorders>
                    <w:tl2br w:val="nil"/>
                    <w:tr2bl w:val="nil"/>
                  </w:tcBorders>
                  <w:vAlign w:val="center"/>
                </w:tcPr>
                <w:p w14:paraId="2BE7BBF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HW08</w:t>
                  </w:r>
                </w:p>
              </w:tc>
              <w:tc>
                <w:tcPr>
                  <w:tcW w:w="1313" w:type="dxa"/>
                  <w:tcBorders>
                    <w:tl2br w:val="nil"/>
                    <w:tr2bl w:val="nil"/>
                  </w:tcBorders>
                  <w:vAlign w:val="center"/>
                </w:tcPr>
                <w:p w14:paraId="3E49AFE8">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900-249-08</w:t>
                  </w:r>
                </w:p>
              </w:tc>
              <w:tc>
                <w:tcPr>
                  <w:tcW w:w="712" w:type="dxa"/>
                  <w:vMerge w:val="continue"/>
                  <w:tcBorders>
                    <w:tl2br w:val="nil"/>
                    <w:tr2bl w:val="nil"/>
                  </w:tcBorders>
                  <w:vAlign w:val="center"/>
                </w:tcPr>
                <w:p w14:paraId="66D9B08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725" w:type="dxa"/>
                  <w:vMerge w:val="continue"/>
                  <w:tcBorders>
                    <w:tl2br w:val="nil"/>
                    <w:tr2bl w:val="nil"/>
                  </w:tcBorders>
                  <w:vAlign w:val="center"/>
                </w:tcPr>
                <w:p w14:paraId="7AE08D6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638" w:type="dxa"/>
                  <w:vMerge w:val="continue"/>
                  <w:tcBorders>
                    <w:tl2br w:val="nil"/>
                    <w:tr2bl w:val="nil"/>
                  </w:tcBorders>
                  <w:vAlign w:val="center"/>
                </w:tcPr>
                <w:p w14:paraId="5BCF7AC9">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795" w:type="dxa"/>
                  <w:vMerge w:val="continue"/>
                  <w:tcBorders>
                    <w:tl2br w:val="nil"/>
                    <w:tr2bl w:val="nil"/>
                  </w:tcBorders>
                  <w:vAlign w:val="center"/>
                </w:tcPr>
                <w:p w14:paraId="1288BCB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r>
            <w:tr w14:paraId="5DA62E3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407" w:type="dxa"/>
                  <w:vMerge w:val="continue"/>
                  <w:tcBorders>
                    <w:tl2br w:val="nil"/>
                    <w:tr2bl w:val="nil"/>
                  </w:tcBorders>
                  <w:vAlign w:val="center"/>
                </w:tcPr>
                <w:p w14:paraId="206C783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1387" w:type="dxa"/>
                  <w:tcBorders>
                    <w:tl2br w:val="nil"/>
                    <w:tr2bl w:val="nil"/>
                  </w:tcBorders>
                  <w:vAlign w:val="center"/>
                </w:tcPr>
                <w:p w14:paraId="7EB23DA8">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废包装桶</w:t>
                  </w:r>
                </w:p>
              </w:tc>
              <w:tc>
                <w:tcPr>
                  <w:tcW w:w="900" w:type="dxa"/>
                  <w:tcBorders>
                    <w:tl2br w:val="nil"/>
                    <w:tr2bl w:val="nil"/>
                  </w:tcBorders>
                  <w:vAlign w:val="center"/>
                </w:tcPr>
                <w:p w14:paraId="59E6F0EA">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HW49</w:t>
                  </w:r>
                </w:p>
              </w:tc>
              <w:tc>
                <w:tcPr>
                  <w:tcW w:w="1313" w:type="dxa"/>
                  <w:tcBorders>
                    <w:tl2br w:val="nil"/>
                    <w:tr2bl w:val="nil"/>
                  </w:tcBorders>
                  <w:vAlign w:val="center"/>
                </w:tcPr>
                <w:p w14:paraId="2E35938E">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900-041-49</w:t>
                  </w:r>
                </w:p>
              </w:tc>
              <w:tc>
                <w:tcPr>
                  <w:tcW w:w="712" w:type="dxa"/>
                  <w:vMerge w:val="continue"/>
                  <w:tcBorders>
                    <w:tl2br w:val="nil"/>
                    <w:tr2bl w:val="nil"/>
                  </w:tcBorders>
                  <w:vAlign w:val="center"/>
                </w:tcPr>
                <w:p w14:paraId="78E26F6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725" w:type="dxa"/>
                  <w:vMerge w:val="continue"/>
                  <w:tcBorders>
                    <w:tl2br w:val="nil"/>
                    <w:tr2bl w:val="nil"/>
                  </w:tcBorders>
                  <w:vAlign w:val="center"/>
                </w:tcPr>
                <w:p w14:paraId="554D3A6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638" w:type="dxa"/>
                  <w:vMerge w:val="continue"/>
                  <w:tcBorders>
                    <w:tl2br w:val="nil"/>
                    <w:tr2bl w:val="nil"/>
                  </w:tcBorders>
                  <w:vAlign w:val="center"/>
                </w:tcPr>
                <w:p w14:paraId="140E442E">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795" w:type="dxa"/>
                  <w:vMerge w:val="continue"/>
                  <w:tcBorders>
                    <w:tl2br w:val="nil"/>
                    <w:tr2bl w:val="nil"/>
                  </w:tcBorders>
                  <w:vAlign w:val="center"/>
                </w:tcPr>
                <w:p w14:paraId="7C1A8AD4">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r>
            <w:tr w14:paraId="765C0D2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407" w:type="dxa"/>
                  <w:vMerge w:val="continue"/>
                  <w:tcBorders>
                    <w:tl2br w:val="nil"/>
                    <w:tr2bl w:val="nil"/>
                  </w:tcBorders>
                  <w:vAlign w:val="center"/>
                </w:tcPr>
                <w:p w14:paraId="768F94A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1387" w:type="dxa"/>
                  <w:tcBorders>
                    <w:tl2br w:val="nil"/>
                    <w:tr2bl w:val="nil"/>
                  </w:tcBorders>
                  <w:vAlign w:val="center"/>
                </w:tcPr>
                <w:p w14:paraId="0543849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隔油池油污</w:t>
                  </w:r>
                </w:p>
              </w:tc>
              <w:tc>
                <w:tcPr>
                  <w:tcW w:w="900" w:type="dxa"/>
                  <w:tcBorders>
                    <w:tl2br w:val="nil"/>
                    <w:tr2bl w:val="nil"/>
                  </w:tcBorders>
                  <w:vAlign w:val="center"/>
                </w:tcPr>
                <w:p w14:paraId="26E3A1F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HW08</w:t>
                  </w:r>
                </w:p>
              </w:tc>
              <w:tc>
                <w:tcPr>
                  <w:tcW w:w="1313" w:type="dxa"/>
                  <w:tcBorders>
                    <w:tl2br w:val="nil"/>
                    <w:tr2bl w:val="nil"/>
                  </w:tcBorders>
                  <w:vAlign w:val="center"/>
                </w:tcPr>
                <w:p w14:paraId="63E7021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900-249-08</w:t>
                  </w:r>
                </w:p>
              </w:tc>
              <w:tc>
                <w:tcPr>
                  <w:tcW w:w="712" w:type="dxa"/>
                  <w:vMerge w:val="continue"/>
                  <w:tcBorders>
                    <w:tl2br w:val="nil"/>
                    <w:tr2bl w:val="nil"/>
                  </w:tcBorders>
                  <w:vAlign w:val="center"/>
                </w:tcPr>
                <w:p w14:paraId="7D6EE71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725" w:type="dxa"/>
                  <w:vMerge w:val="continue"/>
                  <w:tcBorders>
                    <w:tl2br w:val="nil"/>
                    <w:tr2bl w:val="nil"/>
                  </w:tcBorders>
                  <w:vAlign w:val="center"/>
                </w:tcPr>
                <w:p w14:paraId="51EC4BED">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638" w:type="dxa"/>
                  <w:vMerge w:val="continue"/>
                  <w:tcBorders>
                    <w:tl2br w:val="nil"/>
                    <w:tr2bl w:val="nil"/>
                  </w:tcBorders>
                  <w:vAlign w:val="center"/>
                </w:tcPr>
                <w:p w14:paraId="4D93C39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c>
                <w:tcPr>
                  <w:tcW w:w="795" w:type="dxa"/>
                  <w:vMerge w:val="continue"/>
                  <w:tcBorders>
                    <w:tl2br w:val="nil"/>
                    <w:tr2bl w:val="nil"/>
                  </w:tcBorders>
                  <w:vAlign w:val="center"/>
                </w:tcPr>
                <w:p w14:paraId="57762B9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eastAsia="zh-CN"/>
                    </w:rPr>
                  </w:pPr>
                </w:p>
              </w:tc>
            </w:tr>
          </w:tbl>
          <w:p w14:paraId="0A7844CD">
            <w:pPr>
              <w:wordWrap w:val="0"/>
              <w:spacing w:line="240" w:lineRule="auto"/>
              <w:ind w:firstLine="420" w:firstLineChars="200"/>
              <w:jc w:val="center"/>
              <w:rPr>
                <w:rFonts w:hint="eastAsia"/>
                <w:sz w:val="21"/>
                <w:szCs w:val="21"/>
                <w:lang w:eastAsia="zh-CN"/>
              </w:rPr>
            </w:pPr>
          </w:p>
          <w:p w14:paraId="4164B67F">
            <w:pPr>
              <w:wordWrap w:val="0"/>
              <w:spacing w:line="360" w:lineRule="auto"/>
              <w:ind w:firstLine="480" w:firstLineChars="200"/>
              <w:rPr>
                <w:rFonts w:hint="eastAsia"/>
                <w:sz w:val="24"/>
                <w:lang w:eastAsia="zh-CN"/>
              </w:rPr>
            </w:pPr>
            <w:r>
              <w:rPr>
                <w:rFonts w:hint="eastAsia"/>
                <w:sz w:val="24"/>
                <w:lang w:eastAsia="zh-CN"/>
              </w:rPr>
              <w:t>本项目固体废物产生及处理情况见下表：</w:t>
            </w:r>
          </w:p>
          <w:p w14:paraId="2AA924E0">
            <w:pPr>
              <w:numPr>
                <w:ilvl w:val="0"/>
                <w:numId w:val="6"/>
              </w:numPr>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本项目固体废物产生及处理情况表</w:t>
            </w:r>
          </w:p>
          <w:tbl>
            <w:tblPr>
              <w:tblStyle w:val="27"/>
              <w:tblW w:w="7877" w:type="dxa"/>
              <w:tblInd w:w="5"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3276"/>
              <w:gridCol w:w="1975"/>
              <w:gridCol w:w="2626"/>
            </w:tblGrid>
            <w:tr w14:paraId="7F4BCBC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276" w:type="dxa"/>
                  <w:tcBorders>
                    <w:tl2br w:val="nil"/>
                    <w:tr2bl w:val="nil"/>
                  </w:tcBorders>
                  <w:vAlign w:val="center"/>
                </w:tcPr>
                <w:p w14:paraId="03DCCA98">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vertAlign w:val="baseline"/>
                      <w:lang w:eastAsia="zh-CN"/>
                    </w:rPr>
                    <w:t>废物名称</w:t>
                  </w:r>
                </w:p>
              </w:tc>
              <w:tc>
                <w:tcPr>
                  <w:tcW w:w="1975" w:type="dxa"/>
                  <w:tcBorders>
                    <w:tl2br w:val="nil"/>
                    <w:tr2bl w:val="nil"/>
                  </w:tcBorders>
                  <w:vAlign w:val="center"/>
                </w:tcPr>
                <w:p w14:paraId="601E910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vertAlign w:val="baseline"/>
                      <w:lang w:eastAsia="zh-CN"/>
                    </w:rPr>
                    <w:t>产生量（t/a）</w:t>
                  </w:r>
                </w:p>
              </w:tc>
              <w:tc>
                <w:tcPr>
                  <w:tcW w:w="2626" w:type="dxa"/>
                  <w:tcBorders>
                    <w:tl2br w:val="nil"/>
                    <w:tr2bl w:val="nil"/>
                  </w:tcBorders>
                  <w:vAlign w:val="center"/>
                </w:tcPr>
                <w:p w14:paraId="509F641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vertAlign w:val="baseline"/>
                      <w:lang w:eastAsia="zh-CN"/>
                    </w:rPr>
                    <w:t>处理措施</w:t>
                  </w:r>
                </w:p>
              </w:tc>
            </w:tr>
            <w:tr w14:paraId="7C70ECF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276" w:type="dxa"/>
                  <w:tcBorders>
                    <w:tl2br w:val="nil"/>
                    <w:tr2bl w:val="nil"/>
                  </w:tcBorders>
                  <w:vAlign w:val="center"/>
                </w:tcPr>
                <w:p w14:paraId="4A54FB7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vertAlign w:val="baseline"/>
                      <w:lang w:eastAsia="zh-CN"/>
                    </w:rPr>
                    <w:t>生活垃圾</w:t>
                  </w:r>
                </w:p>
              </w:tc>
              <w:tc>
                <w:tcPr>
                  <w:tcW w:w="1975" w:type="dxa"/>
                  <w:tcBorders>
                    <w:tl2br w:val="nil"/>
                    <w:tr2bl w:val="nil"/>
                  </w:tcBorders>
                  <w:vAlign w:val="center"/>
                </w:tcPr>
                <w:p w14:paraId="225B0A0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vertAlign w:val="baseline"/>
                      <w:lang w:eastAsia="zh-CN"/>
                    </w:rPr>
                    <w:t>5.28</w:t>
                  </w:r>
                </w:p>
              </w:tc>
              <w:tc>
                <w:tcPr>
                  <w:tcW w:w="2626" w:type="dxa"/>
                  <w:tcBorders>
                    <w:tl2br w:val="nil"/>
                    <w:tr2bl w:val="nil"/>
                  </w:tcBorders>
                  <w:vAlign w:val="center"/>
                </w:tcPr>
                <w:p w14:paraId="08237C08">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eastAsia="zh-CN"/>
                    </w:rPr>
                    <w:t>环卫部门</w:t>
                  </w:r>
                  <w:r>
                    <w:rPr>
                      <w:rFonts w:hint="eastAsia" w:ascii="Times New Roman" w:hAnsi="Times New Roman" w:eastAsia="宋体" w:cs="Times New Roman"/>
                      <w:sz w:val="21"/>
                      <w:szCs w:val="21"/>
                      <w:highlight w:val="none"/>
                      <w:vertAlign w:val="baseline"/>
                      <w:lang w:val="en-US" w:eastAsia="zh-CN"/>
                    </w:rPr>
                    <w:t>清运</w:t>
                  </w:r>
                </w:p>
              </w:tc>
            </w:tr>
            <w:tr w14:paraId="60DDFA8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276" w:type="dxa"/>
                  <w:tcBorders>
                    <w:tl2br w:val="nil"/>
                    <w:tr2bl w:val="nil"/>
                  </w:tcBorders>
                  <w:vAlign w:val="center"/>
                </w:tcPr>
                <w:p w14:paraId="029E2D5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vertAlign w:val="baseline"/>
                      <w:lang w:eastAsia="zh-CN"/>
                    </w:rPr>
                    <w:t>餐厨垃圾及废油脂</w:t>
                  </w:r>
                </w:p>
              </w:tc>
              <w:tc>
                <w:tcPr>
                  <w:tcW w:w="1975" w:type="dxa"/>
                  <w:tcBorders>
                    <w:tl2br w:val="nil"/>
                    <w:tr2bl w:val="nil"/>
                  </w:tcBorders>
                  <w:vAlign w:val="center"/>
                </w:tcPr>
                <w:p w14:paraId="1FE7F9A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vertAlign w:val="baseline"/>
                      <w:lang w:eastAsia="zh-CN"/>
                    </w:rPr>
                    <w:t>1.32</w:t>
                  </w:r>
                </w:p>
              </w:tc>
              <w:tc>
                <w:tcPr>
                  <w:tcW w:w="2626" w:type="dxa"/>
                  <w:tcBorders>
                    <w:tl2br w:val="nil"/>
                    <w:tr2bl w:val="nil"/>
                  </w:tcBorders>
                  <w:vAlign w:val="center"/>
                </w:tcPr>
                <w:p w14:paraId="599DE3A3">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交由有资质单位处置</w:t>
                  </w:r>
                </w:p>
              </w:tc>
            </w:tr>
            <w:tr w14:paraId="52211BA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276" w:type="dxa"/>
                  <w:tcBorders>
                    <w:tl2br w:val="nil"/>
                    <w:tr2bl w:val="nil"/>
                  </w:tcBorders>
                  <w:vAlign w:val="center"/>
                </w:tcPr>
                <w:p w14:paraId="6E65F799">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vertAlign w:val="baseline"/>
                      <w:lang w:eastAsia="zh-CN"/>
                    </w:rPr>
                    <w:t>沉淀池沉渣</w:t>
                  </w:r>
                </w:p>
              </w:tc>
              <w:tc>
                <w:tcPr>
                  <w:tcW w:w="1975" w:type="dxa"/>
                  <w:tcBorders>
                    <w:tl2br w:val="nil"/>
                    <w:tr2bl w:val="nil"/>
                  </w:tcBorders>
                  <w:vAlign w:val="center"/>
                </w:tcPr>
                <w:p w14:paraId="579BF44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2</w:t>
                  </w:r>
                </w:p>
              </w:tc>
              <w:tc>
                <w:tcPr>
                  <w:tcW w:w="2626" w:type="dxa"/>
                  <w:tcBorders>
                    <w:tl2br w:val="nil"/>
                    <w:tr2bl w:val="nil"/>
                  </w:tcBorders>
                  <w:vAlign w:val="center"/>
                </w:tcPr>
                <w:p w14:paraId="25BAAEA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回用于生产</w:t>
                  </w:r>
                </w:p>
              </w:tc>
            </w:tr>
            <w:tr w14:paraId="31CC342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276" w:type="dxa"/>
                  <w:tcBorders>
                    <w:tl2br w:val="nil"/>
                    <w:tr2bl w:val="nil"/>
                  </w:tcBorders>
                  <w:vAlign w:val="center"/>
                </w:tcPr>
                <w:p w14:paraId="7C579EF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喷淋塔沉渣</w:t>
                  </w:r>
                </w:p>
              </w:tc>
              <w:tc>
                <w:tcPr>
                  <w:tcW w:w="1975" w:type="dxa"/>
                  <w:tcBorders>
                    <w:tl2br w:val="nil"/>
                    <w:tr2bl w:val="nil"/>
                  </w:tcBorders>
                  <w:vAlign w:val="center"/>
                </w:tcPr>
                <w:p w14:paraId="18CB999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0.02</w:t>
                  </w:r>
                </w:p>
              </w:tc>
              <w:tc>
                <w:tcPr>
                  <w:tcW w:w="2626" w:type="dxa"/>
                  <w:tcBorders>
                    <w:tl2br w:val="nil"/>
                    <w:tr2bl w:val="nil"/>
                  </w:tcBorders>
                  <w:vAlign w:val="center"/>
                </w:tcPr>
                <w:p w14:paraId="568762F8">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回用于生产</w:t>
                  </w:r>
                </w:p>
              </w:tc>
            </w:tr>
            <w:tr w14:paraId="3EF1334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276" w:type="dxa"/>
                  <w:tcBorders>
                    <w:tl2br w:val="nil"/>
                    <w:tr2bl w:val="nil"/>
                  </w:tcBorders>
                  <w:vAlign w:val="center"/>
                </w:tcPr>
                <w:p w14:paraId="0D4042D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vertAlign w:val="baseline"/>
                      <w:lang w:eastAsia="zh-CN"/>
                    </w:rPr>
                    <w:t>筛分废料</w:t>
                  </w:r>
                </w:p>
              </w:tc>
              <w:tc>
                <w:tcPr>
                  <w:tcW w:w="1975" w:type="dxa"/>
                  <w:tcBorders>
                    <w:tl2br w:val="nil"/>
                    <w:tr2bl w:val="nil"/>
                  </w:tcBorders>
                  <w:vAlign w:val="center"/>
                </w:tcPr>
                <w:p w14:paraId="5FE9340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vertAlign w:val="baseline"/>
                      <w:lang w:eastAsia="zh-CN"/>
                    </w:rPr>
                    <w:t>239.35</w:t>
                  </w:r>
                </w:p>
              </w:tc>
              <w:tc>
                <w:tcPr>
                  <w:tcW w:w="2626" w:type="dxa"/>
                  <w:tcBorders>
                    <w:tl2br w:val="nil"/>
                    <w:tr2bl w:val="nil"/>
                  </w:tcBorders>
                  <w:vAlign w:val="center"/>
                </w:tcPr>
                <w:p w14:paraId="24D5D9D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骨料供应商回收</w:t>
                  </w:r>
                </w:p>
              </w:tc>
            </w:tr>
            <w:tr w14:paraId="75BAE14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276" w:type="dxa"/>
                  <w:tcBorders>
                    <w:tl2br w:val="nil"/>
                    <w:tr2bl w:val="nil"/>
                  </w:tcBorders>
                  <w:vAlign w:val="center"/>
                </w:tcPr>
                <w:p w14:paraId="378DA15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vertAlign w:val="baseline"/>
                      <w:lang w:eastAsia="zh-CN"/>
                    </w:rPr>
                    <w:t>拌合残渣、废沥青、沥青混凝土</w:t>
                  </w:r>
                </w:p>
              </w:tc>
              <w:tc>
                <w:tcPr>
                  <w:tcW w:w="1975" w:type="dxa"/>
                  <w:tcBorders>
                    <w:tl2br w:val="nil"/>
                    <w:tr2bl w:val="nil"/>
                  </w:tcBorders>
                  <w:vAlign w:val="center"/>
                </w:tcPr>
                <w:p w14:paraId="4A9C78F4">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19.8498</w:t>
                  </w:r>
                </w:p>
              </w:tc>
              <w:tc>
                <w:tcPr>
                  <w:tcW w:w="2626" w:type="dxa"/>
                  <w:vMerge w:val="restart"/>
                  <w:tcBorders>
                    <w:tl2br w:val="nil"/>
                    <w:tr2bl w:val="nil"/>
                  </w:tcBorders>
                  <w:vAlign w:val="center"/>
                </w:tcPr>
                <w:p w14:paraId="7FFC05B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r>
                    <w:rPr>
                      <w:rFonts w:hint="eastAsia" w:ascii="Times New Roman" w:hAnsi="Times New Roman" w:eastAsia="宋体" w:cs="Times New Roman"/>
                      <w:sz w:val="21"/>
                      <w:szCs w:val="21"/>
                      <w:highlight w:val="none"/>
                      <w:vertAlign w:val="baseline"/>
                      <w:lang w:val="en-US" w:eastAsia="zh-CN"/>
                    </w:rPr>
                    <w:t>回用于生产</w:t>
                  </w:r>
                </w:p>
              </w:tc>
            </w:tr>
            <w:tr w14:paraId="7523E2A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276" w:type="dxa"/>
                  <w:tcBorders>
                    <w:tl2br w:val="nil"/>
                    <w:tr2bl w:val="nil"/>
                  </w:tcBorders>
                  <w:vAlign w:val="center"/>
                </w:tcPr>
                <w:p w14:paraId="4BCAA81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vertAlign w:val="baseline"/>
                      <w:lang w:eastAsia="zh-CN"/>
                    </w:rPr>
                    <w:t>除尘器收尘</w:t>
                  </w:r>
                </w:p>
              </w:tc>
              <w:tc>
                <w:tcPr>
                  <w:tcW w:w="1975" w:type="dxa"/>
                  <w:tcBorders>
                    <w:tl2br w:val="nil"/>
                    <w:tr2bl w:val="nil"/>
                  </w:tcBorders>
                  <w:vAlign w:val="center"/>
                </w:tcPr>
                <w:p w14:paraId="69EDC739">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vertAlign w:val="baseline"/>
                      <w:lang w:eastAsia="zh-CN"/>
                    </w:rPr>
                    <w:t>528.2398</w:t>
                  </w:r>
                </w:p>
              </w:tc>
              <w:tc>
                <w:tcPr>
                  <w:tcW w:w="2626" w:type="dxa"/>
                  <w:vMerge w:val="continue"/>
                  <w:tcBorders>
                    <w:tl2br w:val="nil"/>
                    <w:tr2bl w:val="nil"/>
                  </w:tcBorders>
                  <w:vAlign w:val="center"/>
                </w:tcPr>
                <w:p w14:paraId="472F8B2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p>
              </w:tc>
            </w:tr>
            <w:tr w14:paraId="643541A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276" w:type="dxa"/>
                  <w:tcBorders>
                    <w:tl2br w:val="nil"/>
                    <w:tr2bl w:val="nil"/>
                  </w:tcBorders>
                  <w:vAlign w:val="center"/>
                </w:tcPr>
                <w:p w14:paraId="3637207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vertAlign w:val="baseline"/>
                      <w:lang w:eastAsia="zh-CN"/>
                    </w:rPr>
                    <w:t>车间内沉降粉尘</w:t>
                  </w:r>
                </w:p>
              </w:tc>
              <w:tc>
                <w:tcPr>
                  <w:tcW w:w="1975" w:type="dxa"/>
                  <w:tcBorders>
                    <w:tl2br w:val="nil"/>
                    <w:tr2bl w:val="nil"/>
                  </w:tcBorders>
                  <w:vAlign w:val="center"/>
                </w:tcPr>
                <w:p w14:paraId="4DDDA45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vertAlign w:val="baseline"/>
                      <w:lang w:eastAsia="zh-CN"/>
                    </w:rPr>
                    <w:t>35.1151</w:t>
                  </w:r>
                </w:p>
              </w:tc>
              <w:tc>
                <w:tcPr>
                  <w:tcW w:w="2626" w:type="dxa"/>
                  <w:vMerge w:val="continue"/>
                  <w:tcBorders>
                    <w:tl2br w:val="nil"/>
                    <w:tr2bl w:val="nil"/>
                  </w:tcBorders>
                  <w:vAlign w:val="center"/>
                </w:tcPr>
                <w:p w14:paraId="4F8FB37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p>
              </w:tc>
            </w:tr>
            <w:tr w14:paraId="3821687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276" w:type="dxa"/>
                  <w:tcBorders>
                    <w:tl2br w:val="nil"/>
                    <w:tr2bl w:val="nil"/>
                  </w:tcBorders>
                  <w:vAlign w:val="center"/>
                </w:tcPr>
                <w:p w14:paraId="5E93869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vertAlign w:val="baseline"/>
                      <w:lang w:eastAsia="zh-CN"/>
                    </w:rPr>
                    <w:t>废布袋</w:t>
                  </w:r>
                </w:p>
              </w:tc>
              <w:tc>
                <w:tcPr>
                  <w:tcW w:w="1975" w:type="dxa"/>
                  <w:tcBorders>
                    <w:tl2br w:val="nil"/>
                    <w:tr2bl w:val="nil"/>
                  </w:tcBorders>
                  <w:vAlign w:val="center"/>
                </w:tcPr>
                <w:p w14:paraId="31F2FFE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0.8</w:t>
                  </w:r>
                </w:p>
              </w:tc>
              <w:tc>
                <w:tcPr>
                  <w:tcW w:w="2626" w:type="dxa"/>
                  <w:tcBorders>
                    <w:tl2br w:val="nil"/>
                    <w:tr2bl w:val="nil"/>
                  </w:tcBorders>
                  <w:vAlign w:val="center"/>
                </w:tcPr>
                <w:p w14:paraId="13839DF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vertAlign w:val="baseline"/>
                      <w:lang w:eastAsia="zh-CN"/>
                    </w:rPr>
                    <w:t>设备厂家回收</w:t>
                  </w:r>
                </w:p>
              </w:tc>
            </w:tr>
            <w:tr w14:paraId="5B0B003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276" w:type="dxa"/>
                  <w:tcBorders>
                    <w:tl2br w:val="nil"/>
                    <w:tr2bl w:val="nil"/>
                  </w:tcBorders>
                  <w:vAlign w:val="center"/>
                </w:tcPr>
                <w:p w14:paraId="0963503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vertAlign w:val="baseline"/>
                      <w:lang w:eastAsia="zh-CN"/>
                    </w:rPr>
                    <w:t>废导热油</w:t>
                  </w:r>
                </w:p>
              </w:tc>
              <w:tc>
                <w:tcPr>
                  <w:tcW w:w="1975" w:type="dxa"/>
                  <w:tcBorders>
                    <w:tl2br w:val="nil"/>
                    <w:tr2bl w:val="nil"/>
                  </w:tcBorders>
                  <w:shd w:val="clear" w:color="auto" w:fill="auto"/>
                  <w:vAlign w:val="center"/>
                </w:tcPr>
                <w:p w14:paraId="6CE5430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5t/</w:t>
                  </w:r>
                  <w:r>
                    <w:rPr>
                      <w:rFonts w:hint="eastAsia" w:ascii="Times New Roman" w:hAnsi="Times New Roman" w:eastAsia="宋体" w:cs="Times New Roman"/>
                      <w:sz w:val="21"/>
                      <w:szCs w:val="21"/>
                      <w:highlight w:val="none"/>
                      <w:vertAlign w:val="baseline"/>
                      <w:lang w:val="en-US" w:eastAsia="zh-CN"/>
                    </w:rPr>
                    <w:t>3</w:t>
                  </w:r>
                  <w:r>
                    <w:rPr>
                      <w:rFonts w:hint="default" w:ascii="Times New Roman" w:hAnsi="Times New Roman" w:eastAsia="宋体" w:cs="Times New Roman"/>
                      <w:sz w:val="21"/>
                      <w:szCs w:val="21"/>
                      <w:highlight w:val="none"/>
                      <w:vertAlign w:val="baseline"/>
                      <w:lang w:eastAsia="zh-CN"/>
                    </w:rPr>
                    <w:t>a</w:t>
                  </w:r>
                </w:p>
              </w:tc>
              <w:tc>
                <w:tcPr>
                  <w:tcW w:w="2626" w:type="dxa"/>
                  <w:vMerge w:val="restart"/>
                  <w:tcBorders>
                    <w:tl2br w:val="nil"/>
                    <w:tr2bl w:val="nil"/>
                  </w:tcBorders>
                  <w:vAlign w:val="center"/>
                </w:tcPr>
                <w:p w14:paraId="2CD6189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危废暂存间分类收集暂存，定期交由</w:t>
                  </w:r>
                  <w:r>
                    <w:rPr>
                      <w:rFonts w:hint="eastAsia" w:ascii="Times New Roman" w:hAnsi="Times New Roman" w:eastAsia="宋体" w:cs="Times New Roman"/>
                      <w:sz w:val="21"/>
                      <w:szCs w:val="21"/>
                      <w:highlight w:val="none"/>
                      <w:vertAlign w:val="baseline"/>
                      <w:lang w:val="en-US" w:eastAsia="zh-CN"/>
                    </w:rPr>
                    <w:t>资质单位处置</w:t>
                  </w:r>
                </w:p>
              </w:tc>
            </w:tr>
            <w:tr w14:paraId="08F159A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276" w:type="dxa"/>
                  <w:tcBorders>
                    <w:tl2br w:val="nil"/>
                    <w:tr2bl w:val="nil"/>
                  </w:tcBorders>
                  <w:vAlign w:val="center"/>
                </w:tcPr>
                <w:p w14:paraId="6D8AE79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vertAlign w:val="baseline"/>
                      <w:lang w:eastAsia="zh-CN"/>
                    </w:rPr>
                    <w:t>废活性炭</w:t>
                  </w:r>
                </w:p>
              </w:tc>
              <w:tc>
                <w:tcPr>
                  <w:tcW w:w="1975" w:type="dxa"/>
                  <w:tcBorders>
                    <w:tl2br w:val="nil"/>
                    <w:tr2bl w:val="nil"/>
                  </w:tcBorders>
                  <w:shd w:val="clear" w:color="auto" w:fill="auto"/>
                  <w:vAlign w:val="center"/>
                </w:tcPr>
                <w:p w14:paraId="194FE6E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2</w:t>
                  </w:r>
                </w:p>
              </w:tc>
              <w:tc>
                <w:tcPr>
                  <w:tcW w:w="2626" w:type="dxa"/>
                  <w:vMerge w:val="continue"/>
                  <w:tcBorders>
                    <w:tl2br w:val="nil"/>
                    <w:tr2bl w:val="nil"/>
                  </w:tcBorders>
                  <w:vAlign w:val="center"/>
                </w:tcPr>
                <w:p w14:paraId="6B588F09">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p>
              </w:tc>
            </w:tr>
            <w:tr w14:paraId="7496A29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276" w:type="dxa"/>
                  <w:tcBorders>
                    <w:tl2br w:val="nil"/>
                    <w:tr2bl w:val="nil"/>
                  </w:tcBorders>
                  <w:vAlign w:val="center"/>
                </w:tcPr>
                <w:p w14:paraId="7A50766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vertAlign w:val="baseline"/>
                      <w:lang w:eastAsia="zh-CN"/>
                    </w:rPr>
                    <w:t>废过滤棉</w:t>
                  </w:r>
                </w:p>
              </w:tc>
              <w:tc>
                <w:tcPr>
                  <w:tcW w:w="1975" w:type="dxa"/>
                  <w:tcBorders>
                    <w:tl2br w:val="nil"/>
                    <w:tr2bl w:val="nil"/>
                  </w:tcBorders>
                  <w:shd w:val="clear" w:color="auto" w:fill="auto"/>
                  <w:vAlign w:val="center"/>
                </w:tcPr>
                <w:p w14:paraId="0699E28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0.01</w:t>
                  </w:r>
                </w:p>
              </w:tc>
              <w:tc>
                <w:tcPr>
                  <w:tcW w:w="2626" w:type="dxa"/>
                  <w:vMerge w:val="continue"/>
                  <w:tcBorders>
                    <w:tl2br w:val="nil"/>
                    <w:tr2bl w:val="nil"/>
                  </w:tcBorders>
                  <w:vAlign w:val="center"/>
                </w:tcPr>
                <w:p w14:paraId="2C093634">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p>
              </w:tc>
            </w:tr>
            <w:tr w14:paraId="6FC0FCF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276" w:type="dxa"/>
                  <w:tcBorders>
                    <w:tl2br w:val="nil"/>
                    <w:tr2bl w:val="nil"/>
                  </w:tcBorders>
                  <w:vAlign w:val="center"/>
                </w:tcPr>
                <w:p w14:paraId="636E539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vertAlign w:val="baseline"/>
                      <w:lang w:eastAsia="zh-CN"/>
                    </w:rPr>
                    <w:t>废润滑油</w:t>
                  </w:r>
                </w:p>
              </w:tc>
              <w:tc>
                <w:tcPr>
                  <w:tcW w:w="1975" w:type="dxa"/>
                  <w:tcBorders>
                    <w:tl2br w:val="nil"/>
                    <w:tr2bl w:val="nil"/>
                  </w:tcBorders>
                  <w:shd w:val="clear" w:color="auto" w:fill="auto"/>
                  <w:vAlign w:val="center"/>
                </w:tcPr>
                <w:p w14:paraId="2D052914">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0.5</w:t>
                  </w:r>
                </w:p>
              </w:tc>
              <w:tc>
                <w:tcPr>
                  <w:tcW w:w="2626" w:type="dxa"/>
                  <w:vMerge w:val="continue"/>
                  <w:tcBorders>
                    <w:tl2br w:val="nil"/>
                    <w:tr2bl w:val="nil"/>
                  </w:tcBorders>
                  <w:vAlign w:val="center"/>
                </w:tcPr>
                <w:p w14:paraId="7AF67363">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p>
              </w:tc>
            </w:tr>
            <w:tr w14:paraId="37E3E4B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276" w:type="dxa"/>
                  <w:tcBorders>
                    <w:tl2br w:val="nil"/>
                    <w:tr2bl w:val="nil"/>
                  </w:tcBorders>
                  <w:vAlign w:val="center"/>
                </w:tcPr>
                <w:p w14:paraId="1F23CD4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vertAlign w:val="baseline"/>
                      <w:lang w:eastAsia="zh-CN"/>
                    </w:rPr>
                    <w:t>含油抹布手套</w:t>
                  </w:r>
                </w:p>
              </w:tc>
              <w:tc>
                <w:tcPr>
                  <w:tcW w:w="1975" w:type="dxa"/>
                  <w:tcBorders>
                    <w:tl2br w:val="nil"/>
                    <w:tr2bl w:val="nil"/>
                  </w:tcBorders>
                  <w:shd w:val="clear" w:color="auto" w:fill="auto"/>
                  <w:vAlign w:val="center"/>
                </w:tcPr>
                <w:p w14:paraId="777B0A8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0.01</w:t>
                  </w:r>
                </w:p>
              </w:tc>
              <w:tc>
                <w:tcPr>
                  <w:tcW w:w="2626" w:type="dxa"/>
                  <w:vMerge w:val="continue"/>
                  <w:tcBorders>
                    <w:tl2br w:val="nil"/>
                    <w:tr2bl w:val="nil"/>
                  </w:tcBorders>
                  <w:vAlign w:val="center"/>
                </w:tcPr>
                <w:p w14:paraId="4CC65DF8">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p>
              </w:tc>
            </w:tr>
            <w:tr w14:paraId="14CFD5A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276" w:type="dxa"/>
                  <w:tcBorders>
                    <w:tl2br w:val="nil"/>
                    <w:tr2bl w:val="nil"/>
                  </w:tcBorders>
                  <w:vAlign w:val="center"/>
                </w:tcPr>
                <w:p w14:paraId="050363BE">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vertAlign w:val="baseline"/>
                      <w:lang w:eastAsia="zh-CN"/>
                    </w:rPr>
                    <w:t>废润滑油桶</w:t>
                  </w:r>
                </w:p>
              </w:tc>
              <w:tc>
                <w:tcPr>
                  <w:tcW w:w="1975" w:type="dxa"/>
                  <w:tcBorders>
                    <w:tl2br w:val="nil"/>
                    <w:tr2bl w:val="nil"/>
                  </w:tcBorders>
                  <w:shd w:val="clear" w:color="auto" w:fill="auto"/>
                  <w:vAlign w:val="center"/>
                </w:tcPr>
                <w:p w14:paraId="200691F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0.05</w:t>
                  </w:r>
                </w:p>
              </w:tc>
              <w:tc>
                <w:tcPr>
                  <w:tcW w:w="2626" w:type="dxa"/>
                  <w:vMerge w:val="continue"/>
                  <w:tcBorders>
                    <w:tl2br w:val="nil"/>
                    <w:tr2bl w:val="nil"/>
                  </w:tcBorders>
                  <w:vAlign w:val="center"/>
                </w:tcPr>
                <w:p w14:paraId="3CD8813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p>
              </w:tc>
            </w:tr>
            <w:tr w14:paraId="09DE902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276" w:type="dxa"/>
                  <w:tcBorders>
                    <w:tl2br w:val="nil"/>
                    <w:tr2bl w:val="nil"/>
                  </w:tcBorders>
                  <w:vAlign w:val="center"/>
                </w:tcPr>
                <w:p w14:paraId="6A1B6C8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vertAlign w:val="baseline"/>
                      <w:lang w:eastAsia="zh-CN"/>
                    </w:rPr>
                    <w:t>废包装桶</w:t>
                  </w:r>
                </w:p>
              </w:tc>
              <w:tc>
                <w:tcPr>
                  <w:tcW w:w="1975" w:type="dxa"/>
                  <w:tcBorders>
                    <w:tl2br w:val="nil"/>
                    <w:tr2bl w:val="nil"/>
                  </w:tcBorders>
                  <w:shd w:val="clear" w:color="auto" w:fill="auto"/>
                  <w:vAlign w:val="center"/>
                </w:tcPr>
                <w:p w14:paraId="0AB01AD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7.5</w:t>
                  </w:r>
                </w:p>
              </w:tc>
              <w:tc>
                <w:tcPr>
                  <w:tcW w:w="2626" w:type="dxa"/>
                  <w:vMerge w:val="continue"/>
                  <w:tcBorders>
                    <w:tl2br w:val="nil"/>
                    <w:tr2bl w:val="nil"/>
                  </w:tcBorders>
                  <w:vAlign w:val="center"/>
                </w:tcPr>
                <w:p w14:paraId="30AA179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p>
              </w:tc>
            </w:tr>
            <w:tr w14:paraId="1BE8C25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276" w:type="dxa"/>
                  <w:tcBorders>
                    <w:tl2br w:val="nil"/>
                    <w:tr2bl w:val="nil"/>
                  </w:tcBorders>
                  <w:vAlign w:val="center"/>
                </w:tcPr>
                <w:p w14:paraId="5F1B35C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vertAlign w:val="baseline"/>
                      <w:lang w:eastAsia="zh-CN"/>
                    </w:rPr>
                    <w:t>隔油池油污</w:t>
                  </w:r>
                </w:p>
              </w:tc>
              <w:tc>
                <w:tcPr>
                  <w:tcW w:w="1975" w:type="dxa"/>
                  <w:tcBorders>
                    <w:tl2br w:val="nil"/>
                    <w:tr2bl w:val="nil"/>
                  </w:tcBorders>
                  <w:shd w:val="clear" w:color="auto" w:fill="auto"/>
                  <w:vAlign w:val="center"/>
                </w:tcPr>
                <w:p w14:paraId="6960703A">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0.05</w:t>
                  </w:r>
                </w:p>
              </w:tc>
              <w:tc>
                <w:tcPr>
                  <w:tcW w:w="2626" w:type="dxa"/>
                  <w:vMerge w:val="continue"/>
                  <w:tcBorders>
                    <w:tl2br w:val="nil"/>
                    <w:tr2bl w:val="nil"/>
                  </w:tcBorders>
                  <w:vAlign w:val="center"/>
                </w:tcPr>
                <w:p w14:paraId="34A6DD6D">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eastAsia="zh-CN"/>
                    </w:rPr>
                  </w:pPr>
                </w:p>
              </w:tc>
            </w:tr>
          </w:tbl>
          <w:p w14:paraId="52AF7F4A">
            <w:pPr>
              <w:wordWrap w:val="0"/>
              <w:spacing w:line="240" w:lineRule="auto"/>
              <w:ind w:firstLine="420" w:firstLineChars="200"/>
              <w:jc w:val="center"/>
              <w:rPr>
                <w:rFonts w:hint="eastAsia"/>
                <w:sz w:val="21"/>
                <w:szCs w:val="21"/>
                <w:lang w:eastAsia="zh-CN"/>
              </w:rPr>
            </w:pPr>
          </w:p>
          <w:p w14:paraId="773B6D13">
            <w:pPr>
              <w:wordWrap w:val="0"/>
              <w:spacing w:line="360" w:lineRule="auto"/>
              <w:ind w:firstLine="480" w:firstLineChars="200"/>
              <w:rPr>
                <w:rFonts w:hint="eastAsia"/>
                <w:b/>
                <w:bCs/>
                <w:sz w:val="24"/>
                <w:lang w:eastAsia="zh-CN"/>
              </w:rPr>
            </w:pPr>
            <w:r>
              <w:rPr>
                <w:rFonts w:hint="eastAsia"/>
                <w:sz w:val="24"/>
                <w:lang w:eastAsia="zh-CN"/>
              </w:rPr>
              <w:t>项目在生产过程中产生的各类危险废物应堆放在独立的危废暂存间，为避免二次污染，</w:t>
            </w:r>
            <w:r>
              <w:rPr>
                <w:rFonts w:hint="eastAsia"/>
                <w:b/>
                <w:bCs/>
                <w:sz w:val="24"/>
                <w:lang w:eastAsia="zh-CN"/>
              </w:rPr>
              <w:t>危险废物转移要求：</w:t>
            </w:r>
          </w:p>
          <w:p w14:paraId="28F4A519">
            <w:pPr>
              <w:wordWrap w:val="0"/>
              <w:spacing w:line="360" w:lineRule="auto"/>
              <w:ind w:firstLine="480" w:firstLineChars="200"/>
              <w:rPr>
                <w:rFonts w:hint="eastAsia"/>
                <w:sz w:val="24"/>
                <w:lang w:eastAsia="zh-CN"/>
              </w:rPr>
            </w:pPr>
            <w:r>
              <w:rPr>
                <w:rFonts w:hint="eastAsia"/>
                <w:sz w:val="24"/>
                <w:lang w:eastAsia="zh-CN"/>
              </w:rPr>
              <w:t>本项目在生产过程中产生的各类危险废物应堆放在独立的危废暂存间，为避免二次污染，评价对危废转移提出一下要求：</w:t>
            </w:r>
          </w:p>
          <w:p w14:paraId="3E60B833">
            <w:pPr>
              <w:wordWrap w:val="0"/>
              <w:spacing w:line="360" w:lineRule="auto"/>
              <w:ind w:firstLine="480" w:firstLineChars="200"/>
              <w:rPr>
                <w:rFonts w:hint="eastAsia"/>
                <w:sz w:val="24"/>
                <w:lang w:eastAsia="zh-CN"/>
              </w:rPr>
            </w:pPr>
            <w:r>
              <w:rPr>
                <w:rFonts w:hint="eastAsia"/>
                <w:sz w:val="24"/>
                <w:lang w:eastAsia="zh-CN"/>
              </w:rPr>
              <w:t>①转移危险废物的，应当通过国家危险废物信息管理系统（以下简称信息系统）填写、运行危险废物电子转移联单，并依照国家有关规定公开危险废物转移相关污染环境防治信息。</w:t>
            </w:r>
          </w:p>
          <w:p w14:paraId="60349892">
            <w:pPr>
              <w:wordWrap w:val="0"/>
              <w:spacing w:line="360" w:lineRule="auto"/>
              <w:ind w:firstLine="480" w:firstLineChars="200"/>
              <w:rPr>
                <w:rFonts w:hint="eastAsia"/>
                <w:sz w:val="24"/>
                <w:lang w:eastAsia="zh-CN"/>
              </w:rPr>
            </w:pPr>
            <w:r>
              <w:rPr>
                <w:rFonts w:hint="eastAsia"/>
                <w:sz w:val="24"/>
                <w:lang w:eastAsia="zh-CN"/>
              </w:rPr>
              <w:t>②对承运人或者接受人的主体资格和技术能力进行核实，依法签订书面合同，并在合同中约定运输、贮存、利用、处置危险废物的污染防治要求及相关责任；</w:t>
            </w:r>
          </w:p>
          <w:p w14:paraId="11F50A4A">
            <w:pPr>
              <w:wordWrap w:val="0"/>
              <w:spacing w:line="360" w:lineRule="auto"/>
              <w:ind w:firstLine="480" w:firstLineChars="200"/>
              <w:rPr>
                <w:rFonts w:hint="eastAsia"/>
                <w:sz w:val="24"/>
                <w:lang w:eastAsia="zh-CN"/>
              </w:rPr>
            </w:pPr>
            <w:r>
              <w:rPr>
                <w:rFonts w:hint="eastAsia"/>
                <w:sz w:val="24"/>
                <w:lang w:eastAsia="zh-CN"/>
              </w:rPr>
              <w:t>③制定危险废物管理计划，明确拟转移危险废物的种类、重量（数量）和流向等信息；</w:t>
            </w:r>
          </w:p>
          <w:p w14:paraId="5F8E20D3">
            <w:pPr>
              <w:wordWrap w:val="0"/>
              <w:spacing w:line="360" w:lineRule="auto"/>
              <w:ind w:firstLine="480" w:firstLineChars="200"/>
              <w:rPr>
                <w:rFonts w:hint="eastAsia"/>
                <w:sz w:val="24"/>
                <w:lang w:eastAsia="zh-CN"/>
              </w:rPr>
            </w:pPr>
            <w:r>
              <w:rPr>
                <w:rFonts w:hint="eastAsia"/>
                <w:sz w:val="24"/>
                <w:lang w:eastAsia="zh-CN"/>
              </w:rPr>
              <w:t>④建立危险废物管理台账，对转移的危险废物进行计量称重，如实记录、妥善保管转移危险废物的种类、重量（数量）和接受人等相关信息；</w:t>
            </w:r>
          </w:p>
          <w:p w14:paraId="79791A20">
            <w:pPr>
              <w:wordWrap w:val="0"/>
              <w:spacing w:line="360" w:lineRule="auto"/>
              <w:ind w:firstLine="480" w:firstLineChars="200"/>
              <w:rPr>
                <w:rFonts w:hint="eastAsia"/>
                <w:sz w:val="24"/>
                <w:lang w:eastAsia="zh-CN"/>
              </w:rPr>
            </w:pPr>
            <w:r>
              <w:rPr>
                <w:rFonts w:hint="eastAsia"/>
                <w:sz w:val="24"/>
                <w:lang w:eastAsia="zh-CN"/>
              </w:rPr>
              <w:t>⑤填写、运行危险废物转移联单，在危险废物转移联单中如实填写移出人、承运人、接受人信息，转移危险废物的种类、重量（数量）、危险特性等信息，以及突发环境事件的防范措施等；</w:t>
            </w:r>
          </w:p>
          <w:p w14:paraId="79ED0792">
            <w:pPr>
              <w:wordWrap w:val="0"/>
              <w:spacing w:line="360" w:lineRule="auto"/>
              <w:ind w:firstLine="480" w:firstLineChars="200"/>
              <w:rPr>
                <w:rFonts w:hint="eastAsia"/>
                <w:sz w:val="24"/>
                <w:lang w:eastAsia="zh-CN"/>
              </w:rPr>
            </w:pPr>
            <w:r>
              <w:rPr>
                <w:rFonts w:hint="eastAsia"/>
                <w:sz w:val="24"/>
                <w:lang w:eastAsia="zh-CN"/>
              </w:rPr>
              <w:t>⑥及时核实接受人贮存、利用或者处置相关危险废物情况；</w:t>
            </w:r>
          </w:p>
          <w:p w14:paraId="66C810AD">
            <w:pPr>
              <w:wordWrap w:val="0"/>
              <w:spacing w:line="360" w:lineRule="auto"/>
              <w:ind w:firstLine="480" w:firstLineChars="200"/>
              <w:rPr>
                <w:rFonts w:hint="eastAsia"/>
                <w:sz w:val="24"/>
                <w:lang w:eastAsia="zh-CN"/>
              </w:rPr>
            </w:pPr>
            <w:r>
              <w:rPr>
                <w:rFonts w:hint="eastAsia"/>
                <w:sz w:val="24"/>
                <w:lang w:eastAsia="zh-CN"/>
              </w:rPr>
              <w:t>⑦危险废物电子转移联单数据应当在信息系统中至少保存十年。</w:t>
            </w:r>
          </w:p>
          <w:p w14:paraId="784FB8E6">
            <w:pPr>
              <w:wordWrap w:val="0"/>
              <w:spacing w:line="360" w:lineRule="auto"/>
              <w:ind w:firstLine="482" w:firstLineChars="200"/>
              <w:rPr>
                <w:rFonts w:hint="eastAsia"/>
                <w:sz w:val="24"/>
                <w:lang w:eastAsia="zh-CN"/>
              </w:rPr>
            </w:pPr>
            <w:r>
              <w:rPr>
                <w:rFonts w:hint="eastAsia"/>
                <w:b/>
                <w:bCs/>
                <w:sz w:val="24"/>
                <w:lang w:eastAsia="zh-CN"/>
              </w:rPr>
              <w:t>危废暂存间环境管理要求：</w:t>
            </w:r>
          </w:p>
          <w:p w14:paraId="01CA383F">
            <w:pPr>
              <w:wordWrap w:val="0"/>
              <w:spacing w:line="360" w:lineRule="auto"/>
              <w:ind w:firstLine="480" w:firstLineChars="200"/>
              <w:rPr>
                <w:rFonts w:hint="eastAsia"/>
                <w:sz w:val="24"/>
                <w:lang w:eastAsia="zh-CN"/>
              </w:rPr>
            </w:pPr>
            <w:r>
              <w:rPr>
                <w:rFonts w:hint="eastAsia"/>
                <w:sz w:val="24"/>
                <w:lang w:eastAsia="zh-CN"/>
              </w:rPr>
              <w:t>①地面与裙角要用坚固、防渗的材料建造，建筑材料必须与危险废物相容；</w:t>
            </w:r>
          </w:p>
          <w:p w14:paraId="310C8BAE">
            <w:pPr>
              <w:wordWrap w:val="0"/>
              <w:spacing w:line="360" w:lineRule="auto"/>
              <w:ind w:firstLine="480" w:firstLineChars="200"/>
              <w:rPr>
                <w:rFonts w:hint="eastAsia"/>
                <w:sz w:val="24"/>
                <w:lang w:eastAsia="zh-CN"/>
              </w:rPr>
            </w:pPr>
            <w:r>
              <w:rPr>
                <w:rFonts w:hint="eastAsia"/>
                <w:sz w:val="24"/>
                <w:lang w:eastAsia="zh-CN"/>
              </w:rPr>
              <w:t>②基础必须进行重点防渗，渗透系数≤10</w:t>
            </w:r>
            <w:r>
              <w:rPr>
                <w:rFonts w:hint="eastAsia"/>
                <w:sz w:val="24"/>
                <w:vertAlign w:val="superscript"/>
                <w:lang w:eastAsia="zh-CN"/>
              </w:rPr>
              <w:t>-10</w:t>
            </w:r>
            <w:r>
              <w:rPr>
                <w:rFonts w:hint="eastAsia"/>
                <w:sz w:val="24"/>
                <w:lang w:eastAsia="zh-CN"/>
              </w:rPr>
              <w:t>cm/s；</w:t>
            </w:r>
          </w:p>
          <w:p w14:paraId="6570D078">
            <w:pPr>
              <w:wordWrap w:val="0"/>
              <w:spacing w:line="360" w:lineRule="auto"/>
              <w:ind w:firstLine="480" w:firstLineChars="200"/>
              <w:rPr>
                <w:rFonts w:hint="eastAsia"/>
                <w:sz w:val="24"/>
                <w:lang w:eastAsia="zh-CN"/>
              </w:rPr>
            </w:pPr>
            <w:r>
              <w:rPr>
                <w:rFonts w:hint="eastAsia"/>
                <w:sz w:val="24"/>
                <w:lang w:eastAsia="zh-CN"/>
              </w:rPr>
              <w:t>③危险废物暂存间必须防风、防晒、防雨、防漏、防渗、防腐；</w:t>
            </w:r>
          </w:p>
          <w:p w14:paraId="521C1ECF">
            <w:pPr>
              <w:wordWrap w:val="0"/>
              <w:spacing w:line="360" w:lineRule="auto"/>
              <w:ind w:firstLine="480" w:firstLineChars="200"/>
              <w:rPr>
                <w:rFonts w:hint="eastAsia"/>
                <w:sz w:val="24"/>
                <w:lang w:eastAsia="zh-CN"/>
              </w:rPr>
            </w:pPr>
            <w:r>
              <w:rPr>
                <w:rFonts w:hint="eastAsia"/>
                <w:sz w:val="24"/>
                <w:lang w:eastAsia="zh-CN"/>
              </w:rPr>
              <w:t>④禁止将危险废物混入非危险废物中收集、暂存、转移、处置，收集、贮存、转移危险废物时，严格按照危险废物特性分类进行，防止混合收集、贮存、运输、转移性质不相容且未经安全性处置的危险废物；</w:t>
            </w:r>
          </w:p>
          <w:p w14:paraId="3C23918F">
            <w:pPr>
              <w:wordWrap w:val="0"/>
              <w:spacing w:line="360" w:lineRule="auto"/>
              <w:ind w:firstLine="480" w:firstLineChars="200"/>
              <w:rPr>
                <w:rFonts w:hint="eastAsia"/>
                <w:sz w:val="24"/>
                <w:lang w:eastAsia="zh-CN"/>
              </w:rPr>
            </w:pPr>
            <w:r>
              <w:rPr>
                <w:rFonts w:hint="eastAsia"/>
                <w:sz w:val="24"/>
                <w:lang w:eastAsia="zh-CN"/>
              </w:rPr>
              <w:t>⑤需要转移危险废物时，必须按照相关规定办理危险废物转移联单，未经批准不得进行转移；</w:t>
            </w:r>
          </w:p>
          <w:p w14:paraId="5B704B1F">
            <w:pPr>
              <w:wordWrap w:val="0"/>
              <w:spacing w:line="360" w:lineRule="auto"/>
              <w:ind w:firstLine="480" w:firstLineChars="200"/>
              <w:rPr>
                <w:rFonts w:hint="eastAsia"/>
                <w:sz w:val="24"/>
                <w:lang w:eastAsia="zh-CN"/>
              </w:rPr>
            </w:pPr>
            <w:r>
              <w:rPr>
                <w:rFonts w:hint="eastAsia"/>
                <w:sz w:val="24"/>
                <w:lang w:eastAsia="zh-CN"/>
              </w:rPr>
              <w:t>⑥对厂区产生的危险废物进行严格管理，对厂区所产生的危险废物进行详细的登记，按照《危险废物管理计划和管理台账制定技术导则》（HJ1259</w:t>
            </w:r>
            <w:r>
              <w:rPr>
                <w:rFonts w:hint="eastAsia"/>
                <w:sz w:val="24"/>
                <w:lang w:val="en-US" w:eastAsia="zh-CN"/>
              </w:rPr>
              <w:t>-</w:t>
            </w:r>
            <w:r>
              <w:rPr>
                <w:rFonts w:hint="eastAsia"/>
                <w:sz w:val="24"/>
                <w:lang w:eastAsia="zh-CN"/>
              </w:rPr>
              <w:t>2022）如实填写各环节的《危险废物管理台账》，并对危险废物的贮存量及时上报；</w:t>
            </w:r>
          </w:p>
          <w:p w14:paraId="073EED9B">
            <w:pPr>
              <w:wordWrap w:val="0"/>
              <w:spacing w:line="360" w:lineRule="auto"/>
              <w:ind w:firstLine="480" w:firstLineChars="200"/>
              <w:rPr>
                <w:rFonts w:hint="eastAsia"/>
                <w:sz w:val="24"/>
                <w:lang w:eastAsia="zh-CN"/>
              </w:rPr>
            </w:pPr>
            <w:r>
              <w:rPr>
                <w:rFonts w:hint="eastAsia"/>
                <w:sz w:val="24"/>
                <w:lang w:eastAsia="zh-CN"/>
              </w:rPr>
              <w:t>⑦对危险废物暂时贮存场所要加强管理，定期巡检，确保危险废物不扩散、不渗漏、不丢失等。</w:t>
            </w:r>
          </w:p>
          <w:p w14:paraId="59FEF6AE">
            <w:pPr>
              <w:autoSpaceDE w:val="0"/>
              <w:autoSpaceDN w:val="0"/>
              <w:spacing w:line="360" w:lineRule="auto"/>
              <w:ind w:firstLine="482" w:firstLineChars="200"/>
              <w:rPr>
                <w:rFonts w:hint="eastAsia"/>
                <w:b/>
                <w:sz w:val="24"/>
                <w:highlight w:val="none"/>
              </w:rPr>
            </w:pPr>
            <w:r>
              <w:rPr>
                <w:rFonts w:hint="eastAsia"/>
                <w:b/>
                <w:sz w:val="24"/>
                <w:highlight w:val="none"/>
                <w:lang w:val="en-US" w:eastAsia="zh-CN"/>
              </w:rPr>
              <w:t>5、</w:t>
            </w:r>
            <w:r>
              <w:rPr>
                <w:rFonts w:hint="eastAsia"/>
                <w:b/>
                <w:sz w:val="24"/>
                <w:highlight w:val="none"/>
              </w:rPr>
              <w:t>项目</w:t>
            </w:r>
            <w:r>
              <w:rPr>
                <w:rFonts w:hint="eastAsia"/>
                <w:b/>
                <w:sz w:val="24"/>
                <w:highlight w:val="none"/>
                <w:lang w:val="en-US" w:eastAsia="zh-CN"/>
              </w:rPr>
              <w:t>改扩建</w:t>
            </w:r>
            <w:r>
              <w:rPr>
                <w:rFonts w:hint="eastAsia"/>
                <w:b/>
                <w:sz w:val="24"/>
                <w:highlight w:val="none"/>
              </w:rPr>
              <w:t>前后污染物排放及“三本账”</w:t>
            </w:r>
          </w:p>
          <w:p w14:paraId="2F559E44">
            <w:pPr>
              <w:spacing w:line="360" w:lineRule="auto"/>
              <w:ind w:firstLine="480" w:firstLineChars="200"/>
              <w:rPr>
                <w:bCs/>
                <w:sz w:val="24"/>
                <w:highlight w:val="none"/>
              </w:rPr>
            </w:pPr>
            <w:r>
              <w:rPr>
                <w:rFonts w:hint="eastAsia"/>
                <w:bCs/>
                <w:sz w:val="24"/>
                <w:highlight w:val="none"/>
              </w:rPr>
              <w:t>本项目</w:t>
            </w:r>
            <w:r>
              <w:rPr>
                <w:rFonts w:hint="eastAsia"/>
                <w:bCs/>
                <w:sz w:val="24"/>
                <w:highlight w:val="none"/>
                <w:lang w:val="en-US" w:eastAsia="zh-CN"/>
              </w:rPr>
              <w:t>改扩建</w:t>
            </w:r>
            <w:r>
              <w:rPr>
                <w:rFonts w:hint="eastAsia"/>
                <w:bCs/>
                <w:sz w:val="24"/>
                <w:highlight w:val="none"/>
              </w:rPr>
              <w:t>前后“三本账”见下表所示：</w:t>
            </w:r>
          </w:p>
          <w:p w14:paraId="562EF9B7">
            <w:pPr>
              <w:numPr>
                <w:ilvl w:val="0"/>
                <w:numId w:val="6"/>
              </w:numPr>
              <w:jc w:val="center"/>
              <w:rPr>
                <w:rFonts w:hint="eastAsia"/>
                <w:b/>
                <w:bCs/>
                <w:szCs w:val="21"/>
                <w:highlight w:val="none"/>
              </w:rPr>
            </w:pPr>
            <w:r>
              <w:rPr>
                <w:rFonts w:hint="eastAsia"/>
                <w:b/>
                <w:bCs/>
                <w:szCs w:val="21"/>
                <w:highlight w:val="none"/>
              </w:rPr>
              <w:t>项目</w:t>
            </w:r>
            <w:r>
              <w:rPr>
                <w:rFonts w:hint="eastAsia"/>
                <w:b/>
                <w:bCs/>
                <w:szCs w:val="21"/>
                <w:highlight w:val="none"/>
                <w:lang w:val="en-US" w:eastAsia="zh-CN"/>
              </w:rPr>
              <w:t>改扩建</w:t>
            </w:r>
            <w:r>
              <w:rPr>
                <w:rFonts w:hint="eastAsia"/>
                <w:b/>
                <w:bCs/>
                <w:szCs w:val="21"/>
                <w:highlight w:val="none"/>
              </w:rPr>
              <w:t>前后“三本账”核算表</w:t>
            </w:r>
          </w:p>
          <w:tbl>
            <w:tblPr>
              <w:tblStyle w:val="26"/>
              <w:tblW w:w="80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0"/>
              <w:gridCol w:w="1560"/>
              <w:gridCol w:w="1281"/>
              <w:gridCol w:w="1059"/>
              <w:gridCol w:w="1041"/>
              <w:gridCol w:w="1252"/>
              <w:gridCol w:w="6"/>
              <w:gridCol w:w="1419"/>
            </w:tblGrid>
            <w:tr w14:paraId="2405A7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60" w:type="dxa"/>
                  <w:gridSpan w:val="2"/>
                  <w:noWrap w:val="0"/>
                  <w:vAlign w:val="center"/>
                </w:tcPr>
                <w:p w14:paraId="6813C78F">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污染物</w:t>
                  </w:r>
                </w:p>
              </w:tc>
              <w:tc>
                <w:tcPr>
                  <w:tcW w:w="1281" w:type="dxa"/>
                  <w:noWrap w:val="0"/>
                  <w:vAlign w:val="center"/>
                </w:tcPr>
                <w:p w14:paraId="123B0916">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现有项目排放量</w:t>
                  </w:r>
                </w:p>
              </w:tc>
              <w:tc>
                <w:tcPr>
                  <w:tcW w:w="1059" w:type="dxa"/>
                  <w:noWrap w:val="0"/>
                  <w:vAlign w:val="center"/>
                </w:tcPr>
                <w:p w14:paraId="13B49433">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本项目排放量</w:t>
                  </w:r>
                </w:p>
              </w:tc>
              <w:tc>
                <w:tcPr>
                  <w:tcW w:w="1041" w:type="dxa"/>
                  <w:noWrap w:val="0"/>
                  <w:vAlign w:val="center"/>
                </w:tcPr>
                <w:p w14:paraId="10024D95">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以新带老削减量</w:t>
                  </w:r>
                </w:p>
              </w:tc>
              <w:tc>
                <w:tcPr>
                  <w:tcW w:w="1252" w:type="dxa"/>
                  <w:noWrap w:val="0"/>
                  <w:vAlign w:val="center"/>
                </w:tcPr>
                <w:p w14:paraId="4489550E">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全厂排放总量</w:t>
                  </w:r>
                </w:p>
              </w:tc>
              <w:tc>
                <w:tcPr>
                  <w:tcW w:w="1425" w:type="dxa"/>
                  <w:gridSpan w:val="2"/>
                  <w:noWrap w:val="0"/>
                  <w:vAlign w:val="center"/>
                </w:tcPr>
                <w:p w14:paraId="46622449">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改</w:t>
                  </w:r>
                  <w:r>
                    <w:rPr>
                      <w:rFonts w:hint="default" w:ascii="Times New Roman" w:hAnsi="Times New Roman" w:eastAsia="宋体" w:cs="Times New Roman"/>
                      <w:b/>
                      <w:bCs/>
                      <w:sz w:val="21"/>
                      <w:szCs w:val="21"/>
                    </w:rPr>
                    <w:t>建前后污染物变化量</w:t>
                  </w:r>
                </w:p>
              </w:tc>
            </w:tr>
            <w:tr w14:paraId="07B3F5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dxa"/>
                  <w:vMerge w:val="restart"/>
                  <w:noWrap w:val="0"/>
                  <w:vAlign w:val="center"/>
                </w:tcPr>
                <w:p w14:paraId="41B83B6E">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1560" w:type="dxa"/>
                  <w:noWrap w:val="0"/>
                  <w:vAlign w:val="center"/>
                </w:tcPr>
                <w:p w14:paraId="5296EE80">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水量</w:t>
                  </w:r>
                </w:p>
              </w:tc>
              <w:tc>
                <w:tcPr>
                  <w:tcW w:w="1281" w:type="dxa"/>
                  <w:noWrap w:val="0"/>
                  <w:vAlign w:val="center"/>
                </w:tcPr>
                <w:p w14:paraId="159D3298">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w:t>
                  </w:r>
                </w:p>
              </w:tc>
              <w:tc>
                <w:tcPr>
                  <w:tcW w:w="1059" w:type="dxa"/>
                  <w:noWrap w:val="0"/>
                  <w:vAlign w:val="center"/>
                </w:tcPr>
                <w:p w14:paraId="7CC7592B">
                  <w:pPr>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w:t>
                  </w:r>
                </w:p>
              </w:tc>
              <w:tc>
                <w:tcPr>
                  <w:tcW w:w="1041" w:type="dxa"/>
                  <w:noWrap w:val="0"/>
                  <w:vAlign w:val="center"/>
                </w:tcPr>
                <w:p w14:paraId="71E020CF">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w:t>
                  </w:r>
                </w:p>
              </w:tc>
              <w:tc>
                <w:tcPr>
                  <w:tcW w:w="1252" w:type="dxa"/>
                  <w:noWrap w:val="0"/>
                  <w:vAlign w:val="center"/>
                </w:tcPr>
                <w:p w14:paraId="43BB542D">
                  <w:pPr>
                    <w:widowControl/>
                    <w:spacing w:line="240" w:lineRule="exact"/>
                    <w:jc w:val="center"/>
                    <w:rPr>
                      <w:rFonts w:hint="default" w:eastAsia="宋体"/>
                      <w:kern w:val="0"/>
                      <w:sz w:val="21"/>
                      <w:szCs w:val="21"/>
                      <w:lang w:val="en-US" w:eastAsia="zh-CN" w:bidi="ar-SA"/>
                    </w:rPr>
                  </w:pPr>
                  <w:r>
                    <w:rPr>
                      <w:rFonts w:hint="eastAsia"/>
                      <w:kern w:val="0"/>
                      <w:sz w:val="21"/>
                      <w:szCs w:val="21"/>
                      <w:lang w:val="en-US" w:eastAsia="zh-CN" w:bidi="ar-SA"/>
                    </w:rPr>
                    <w:t>0</w:t>
                  </w:r>
                </w:p>
              </w:tc>
              <w:tc>
                <w:tcPr>
                  <w:tcW w:w="1425" w:type="dxa"/>
                  <w:gridSpan w:val="2"/>
                  <w:noWrap w:val="0"/>
                  <w:vAlign w:val="center"/>
                </w:tcPr>
                <w:p w14:paraId="75FAE557">
                  <w:pPr>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w:t>
                  </w:r>
                </w:p>
              </w:tc>
            </w:tr>
            <w:tr w14:paraId="6AE4E7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dxa"/>
                  <w:vMerge w:val="continue"/>
                  <w:noWrap w:val="0"/>
                  <w:vAlign w:val="center"/>
                </w:tcPr>
                <w:p w14:paraId="77B8E2FD">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1560" w:type="dxa"/>
                  <w:noWrap w:val="0"/>
                  <w:vAlign w:val="center"/>
                </w:tcPr>
                <w:p w14:paraId="39979994">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r>
                    <w:rPr>
                      <w:rFonts w:hint="eastAsia" w:cs="Times New Roman"/>
                      <w:sz w:val="21"/>
                      <w:szCs w:val="21"/>
                      <w:highlight w:val="none"/>
                      <w:lang w:val="en-US" w:eastAsia="zh-CN"/>
                    </w:rPr>
                    <w:t>COD</w:t>
                  </w:r>
                </w:p>
              </w:tc>
              <w:tc>
                <w:tcPr>
                  <w:tcW w:w="1281" w:type="dxa"/>
                  <w:noWrap w:val="0"/>
                  <w:vAlign w:val="center"/>
                </w:tcPr>
                <w:p w14:paraId="6F92FE79">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w:t>
                  </w:r>
                </w:p>
              </w:tc>
              <w:tc>
                <w:tcPr>
                  <w:tcW w:w="1059" w:type="dxa"/>
                  <w:noWrap w:val="0"/>
                  <w:vAlign w:val="center"/>
                </w:tcPr>
                <w:p w14:paraId="1D843F91">
                  <w:pPr>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w:t>
                  </w:r>
                </w:p>
              </w:tc>
              <w:tc>
                <w:tcPr>
                  <w:tcW w:w="1041" w:type="dxa"/>
                  <w:noWrap w:val="0"/>
                  <w:vAlign w:val="center"/>
                </w:tcPr>
                <w:p w14:paraId="0F7573A7">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w:t>
                  </w:r>
                </w:p>
              </w:tc>
              <w:tc>
                <w:tcPr>
                  <w:tcW w:w="1258" w:type="dxa"/>
                  <w:gridSpan w:val="2"/>
                  <w:noWrap w:val="0"/>
                  <w:vAlign w:val="center"/>
                </w:tcPr>
                <w:p w14:paraId="1DE23178">
                  <w:pPr>
                    <w:widowControl/>
                    <w:spacing w:line="240" w:lineRule="exact"/>
                    <w:jc w:val="center"/>
                    <w:rPr>
                      <w:rFonts w:hint="default"/>
                      <w:kern w:val="2"/>
                      <w:sz w:val="21"/>
                      <w:szCs w:val="24"/>
                      <w:lang w:val="en-US" w:eastAsia="zh-CN" w:bidi="ar-SA"/>
                    </w:rPr>
                  </w:pPr>
                  <w:r>
                    <w:rPr>
                      <w:rFonts w:hint="eastAsia"/>
                      <w:kern w:val="2"/>
                      <w:sz w:val="21"/>
                      <w:szCs w:val="24"/>
                      <w:lang w:val="en-US" w:eastAsia="zh-CN" w:bidi="ar-SA"/>
                    </w:rPr>
                    <w:t>0</w:t>
                  </w:r>
                </w:p>
              </w:tc>
              <w:tc>
                <w:tcPr>
                  <w:tcW w:w="1419" w:type="dxa"/>
                  <w:noWrap w:val="0"/>
                  <w:vAlign w:val="center"/>
                </w:tcPr>
                <w:p w14:paraId="16CAEA30">
                  <w:pPr>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w:t>
                  </w:r>
                </w:p>
              </w:tc>
            </w:tr>
            <w:tr w14:paraId="293231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dxa"/>
                  <w:vMerge w:val="continue"/>
                  <w:noWrap w:val="0"/>
                  <w:vAlign w:val="center"/>
                </w:tcPr>
                <w:p w14:paraId="2A58F57C">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1560" w:type="dxa"/>
                  <w:noWrap w:val="0"/>
                  <w:vAlign w:val="center"/>
                </w:tcPr>
                <w:p w14:paraId="01A86303">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r>
                    <w:rPr>
                      <w:rFonts w:hint="eastAsia" w:cs="Times New Roman"/>
                      <w:sz w:val="21"/>
                      <w:szCs w:val="21"/>
                      <w:highlight w:val="none"/>
                      <w:lang w:val="en-US" w:eastAsia="zh-CN"/>
                    </w:rPr>
                    <w:t>NH</w:t>
                  </w:r>
                  <w:r>
                    <w:rPr>
                      <w:rFonts w:hint="eastAsia" w:cs="Times New Roman"/>
                      <w:sz w:val="21"/>
                      <w:szCs w:val="21"/>
                      <w:highlight w:val="none"/>
                      <w:vertAlign w:val="subscript"/>
                      <w:lang w:val="en-US" w:eastAsia="zh-CN"/>
                    </w:rPr>
                    <w:t>3</w:t>
                  </w:r>
                  <w:r>
                    <w:rPr>
                      <w:rFonts w:hint="eastAsia" w:cs="Times New Roman"/>
                      <w:sz w:val="21"/>
                      <w:szCs w:val="21"/>
                      <w:highlight w:val="none"/>
                      <w:lang w:val="en-US" w:eastAsia="zh-CN"/>
                    </w:rPr>
                    <w:t>-N</w:t>
                  </w:r>
                </w:p>
              </w:tc>
              <w:tc>
                <w:tcPr>
                  <w:tcW w:w="1281" w:type="dxa"/>
                  <w:noWrap w:val="0"/>
                  <w:vAlign w:val="center"/>
                </w:tcPr>
                <w:p w14:paraId="73B9E773">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w:t>
                  </w:r>
                </w:p>
              </w:tc>
              <w:tc>
                <w:tcPr>
                  <w:tcW w:w="1059" w:type="dxa"/>
                  <w:noWrap w:val="0"/>
                  <w:vAlign w:val="center"/>
                </w:tcPr>
                <w:p w14:paraId="4AD251C0">
                  <w:pPr>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w:t>
                  </w:r>
                </w:p>
              </w:tc>
              <w:tc>
                <w:tcPr>
                  <w:tcW w:w="1041" w:type="dxa"/>
                  <w:noWrap w:val="0"/>
                  <w:vAlign w:val="center"/>
                </w:tcPr>
                <w:p w14:paraId="3B040381">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w:t>
                  </w:r>
                </w:p>
              </w:tc>
              <w:tc>
                <w:tcPr>
                  <w:tcW w:w="1258" w:type="dxa"/>
                  <w:gridSpan w:val="2"/>
                  <w:noWrap w:val="0"/>
                  <w:vAlign w:val="center"/>
                </w:tcPr>
                <w:p w14:paraId="2A1F18D6">
                  <w:pPr>
                    <w:widowControl/>
                    <w:spacing w:line="240" w:lineRule="exact"/>
                    <w:jc w:val="center"/>
                    <w:rPr>
                      <w:rFonts w:hint="default" w:eastAsia="宋体"/>
                      <w:kern w:val="0"/>
                      <w:sz w:val="21"/>
                      <w:szCs w:val="21"/>
                      <w:lang w:val="en-US" w:eastAsia="zh-CN" w:bidi="ar-SA"/>
                    </w:rPr>
                  </w:pPr>
                  <w:r>
                    <w:rPr>
                      <w:rFonts w:hint="eastAsia"/>
                      <w:kern w:val="0"/>
                      <w:sz w:val="21"/>
                      <w:szCs w:val="21"/>
                      <w:lang w:val="en-US" w:eastAsia="zh-CN" w:bidi="ar-SA"/>
                    </w:rPr>
                    <w:t>0</w:t>
                  </w:r>
                </w:p>
              </w:tc>
              <w:tc>
                <w:tcPr>
                  <w:tcW w:w="1419" w:type="dxa"/>
                  <w:noWrap w:val="0"/>
                  <w:vAlign w:val="center"/>
                </w:tcPr>
                <w:p w14:paraId="4B2F607D">
                  <w:pPr>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w:t>
                  </w:r>
                </w:p>
              </w:tc>
            </w:tr>
            <w:tr w14:paraId="219854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dxa"/>
                  <w:vMerge w:val="continue"/>
                  <w:noWrap w:val="0"/>
                  <w:vAlign w:val="center"/>
                </w:tcPr>
                <w:p w14:paraId="3D149CD3">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1560" w:type="dxa"/>
                  <w:noWrap w:val="0"/>
                  <w:vAlign w:val="center"/>
                </w:tcPr>
                <w:p w14:paraId="1DDFDDB7">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r>
                    <w:rPr>
                      <w:rFonts w:hint="eastAsia" w:cs="Times New Roman"/>
                      <w:sz w:val="21"/>
                      <w:szCs w:val="21"/>
                      <w:highlight w:val="none"/>
                      <w:lang w:val="en-US" w:eastAsia="zh-CN"/>
                    </w:rPr>
                    <w:t>TP</w:t>
                  </w:r>
                </w:p>
              </w:tc>
              <w:tc>
                <w:tcPr>
                  <w:tcW w:w="1281" w:type="dxa"/>
                  <w:noWrap w:val="0"/>
                  <w:vAlign w:val="center"/>
                </w:tcPr>
                <w:p w14:paraId="52E89E79">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w:t>
                  </w:r>
                </w:p>
              </w:tc>
              <w:tc>
                <w:tcPr>
                  <w:tcW w:w="1059" w:type="dxa"/>
                  <w:noWrap w:val="0"/>
                  <w:vAlign w:val="center"/>
                </w:tcPr>
                <w:p w14:paraId="40E02374">
                  <w:pPr>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w:t>
                  </w:r>
                </w:p>
              </w:tc>
              <w:tc>
                <w:tcPr>
                  <w:tcW w:w="1041" w:type="dxa"/>
                  <w:noWrap w:val="0"/>
                  <w:vAlign w:val="center"/>
                </w:tcPr>
                <w:p w14:paraId="4E49362A">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w:t>
                  </w:r>
                </w:p>
              </w:tc>
              <w:tc>
                <w:tcPr>
                  <w:tcW w:w="1258" w:type="dxa"/>
                  <w:gridSpan w:val="2"/>
                  <w:noWrap w:val="0"/>
                  <w:vAlign w:val="center"/>
                </w:tcPr>
                <w:p w14:paraId="5E33CE10">
                  <w:pPr>
                    <w:widowControl/>
                    <w:spacing w:line="240" w:lineRule="exact"/>
                    <w:jc w:val="center"/>
                    <w:rPr>
                      <w:rFonts w:hint="default" w:eastAsia="宋体"/>
                      <w:kern w:val="0"/>
                      <w:sz w:val="21"/>
                      <w:szCs w:val="21"/>
                      <w:lang w:val="en-US" w:eastAsia="zh-CN" w:bidi="ar-SA"/>
                    </w:rPr>
                  </w:pPr>
                  <w:r>
                    <w:rPr>
                      <w:rFonts w:hint="eastAsia"/>
                      <w:kern w:val="0"/>
                      <w:sz w:val="21"/>
                      <w:szCs w:val="21"/>
                      <w:lang w:val="en-US" w:eastAsia="zh-CN" w:bidi="ar-SA"/>
                    </w:rPr>
                    <w:t>0</w:t>
                  </w:r>
                </w:p>
              </w:tc>
              <w:tc>
                <w:tcPr>
                  <w:tcW w:w="1419" w:type="dxa"/>
                  <w:noWrap w:val="0"/>
                  <w:vAlign w:val="center"/>
                </w:tcPr>
                <w:p w14:paraId="3A46F64F">
                  <w:pPr>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w:t>
                  </w:r>
                </w:p>
              </w:tc>
            </w:tr>
            <w:tr w14:paraId="0A3807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dxa"/>
                  <w:vMerge w:val="restart"/>
                  <w:noWrap w:val="0"/>
                  <w:vAlign w:val="center"/>
                </w:tcPr>
                <w:p w14:paraId="36F5185F">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w:t>
                  </w:r>
                </w:p>
              </w:tc>
              <w:tc>
                <w:tcPr>
                  <w:tcW w:w="1560" w:type="dxa"/>
                  <w:noWrap w:val="0"/>
                  <w:vAlign w:val="center"/>
                </w:tcPr>
                <w:p w14:paraId="06167603">
                  <w:pPr>
                    <w:pStyle w:val="17"/>
                    <w:spacing w:after="0" w:line="240" w:lineRule="exact"/>
                    <w:ind w:left="0" w:leftChars="0"/>
                    <w:jc w:val="center"/>
                    <w:rPr>
                      <w:rFonts w:hint="default" w:ascii="Times New Roman" w:hAnsi="Times New Roman" w:eastAsia="宋体" w:cs="Times New Roman"/>
                      <w:sz w:val="21"/>
                      <w:szCs w:val="21"/>
                    </w:rPr>
                  </w:pPr>
                  <w:r>
                    <w:rPr>
                      <w:rFonts w:hint="eastAsia"/>
                      <w:kern w:val="0"/>
                      <w:szCs w:val="21"/>
                      <w:lang w:val="en-US" w:eastAsia="zh-CN"/>
                    </w:rPr>
                    <w:t>颗粒物</w:t>
                  </w:r>
                </w:p>
              </w:tc>
              <w:tc>
                <w:tcPr>
                  <w:tcW w:w="1281" w:type="dxa"/>
                  <w:shd w:val="clear" w:color="auto" w:fill="auto"/>
                  <w:noWrap w:val="0"/>
                  <w:vAlign w:val="center"/>
                </w:tcPr>
                <w:p w14:paraId="5D7E97EE">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eastAsia" w:cs="Times New Roman"/>
                      <w:sz w:val="21"/>
                      <w:szCs w:val="21"/>
                      <w:lang w:val="en-US" w:eastAsia="zh-CN"/>
                    </w:rPr>
                    <w:t>0.9861</w:t>
                  </w:r>
                </w:p>
              </w:tc>
              <w:tc>
                <w:tcPr>
                  <w:tcW w:w="1059" w:type="dxa"/>
                  <w:shd w:val="clear" w:color="auto" w:fill="auto"/>
                  <w:noWrap w:val="0"/>
                  <w:vAlign w:val="center"/>
                </w:tcPr>
                <w:p w14:paraId="58C0295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sz w:val="21"/>
                      <w:szCs w:val="21"/>
                      <w:vertAlign w:val="baseline"/>
                      <w:lang w:val="en-US" w:eastAsia="zh-CN"/>
                    </w:rPr>
                    <w:t>2.4004</w:t>
                  </w:r>
                </w:p>
              </w:tc>
              <w:tc>
                <w:tcPr>
                  <w:tcW w:w="1041" w:type="dxa"/>
                  <w:shd w:val="clear" w:color="auto" w:fill="auto"/>
                  <w:noWrap w:val="0"/>
                  <w:vAlign w:val="center"/>
                </w:tcPr>
                <w:p w14:paraId="6862EDB5">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eastAsia" w:cs="Times New Roman"/>
                      <w:sz w:val="21"/>
                      <w:szCs w:val="21"/>
                      <w:lang w:val="en-US" w:eastAsia="zh-CN"/>
                    </w:rPr>
                    <w:t>0.9861</w:t>
                  </w:r>
                </w:p>
              </w:tc>
              <w:tc>
                <w:tcPr>
                  <w:tcW w:w="1252" w:type="dxa"/>
                  <w:shd w:val="clear" w:color="auto" w:fill="auto"/>
                  <w:noWrap w:val="0"/>
                  <w:vAlign w:val="center"/>
                </w:tcPr>
                <w:p w14:paraId="6083C66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sz w:val="21"/>
                      <w:szCs w:val="21"/>
                      <w:vertAlign w:val="baseline"/>
                      <w:lang w:val="en-US" w:eastAsia="zh-CN"/>
                    </w:rPr>
                    <w:t>2.4004</w:t>
                  </w:r>
                </w:p>
              </w:tc>
              <w:tc>
                <w:tcPr>
                  <w:tcW w:w="1425" w:type="dxa"/>
                  <w:gridSpan w:val="2"/>
                  <w:noWrap w:val="0"/>
                  <w:vAlign w:val="center"/>
                </w:tcPr>
                <w:p w14:paraId="038AC859">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+1.4143</w:t>
                  </w:r>
                </w:p>
              </w:tc>
            </w:tr>
            <w:tr w14:paraId="2540F6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dxa"/>
                  <w:vMerge w:val="continue"/>
                  <w:noWrap w:val="0"/>
                  <w:vAlign w:val="center"/>
                </w:tcPr>
                <w:p w14:paraId="3DE5DE78">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1560" w:type="dxa"/>
                  <w:noWrap w:val="0"/>
                  <w:vAlign w:val="center"/>
                </w:tcPr>
                <w:p w14:paraId="18293CDF">
                  <w:pPr>
                    <w:pStyle w:val="17"/>
                    <w:spacing w:after="0" w:line="240" w:lineRule="exact"/>
                    <w:ind w:left="0" w:leftChars="0"/>
                    <w:jc w:val="center"/>
                    <w:rPr>
                      <w:rFonts w:hint="default" w:ascii="Times New Roman" w:hAnsi="Times New Roman" w:eastAsia="宋体" w:cs="Times New Roman"/>
                      <w:sz w:val="21"/>
                      <w:szCs w:val="21"/>
                      <w:lang w:val="en-US" w:eastAsia="zh-CN"/>
                    </w:rPr>
                  </w:pPr>
                  <w:r>
                    <w:rPr>
                      <w:rFonts w:hint="default"/>
                      <w:kern w:val="0"/>
                      <w:szCs w:val="21"/>
                      <w:lang w:val="en-US" w:eastAsia="zh-CN"/>
                    </w:rPr>
                    <w:t>沥青烟</w:t>
                  </w:r>
                </w:p>
              </w:tc>
              <w:tc>
                <w:tcPr>
                  <w:tcW w:w="1281" w:type="dxa"/>
                  <w:shd w:val="clear" w:color="auto" w:fill="auto"/>
                  <w:noWrap w:val="0"/>
                  <w:vAlign w:val="center"/>
                </w:tcPr>
                <w:p w14:paraId="19C9735E">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sz w:val="21"/>
                      <w:szCs w:val="21"/>
                      <w:lang w:val="en-US" w:eastAsia="zh-CN"/>
                    </w:rPr>
                    <w:t>0.0183</w:t>
                  </w:r>
                </w:p>
              </w:tc>
              <w:tc>
                <w:tcPr>
                  <w:tcW w:w="1059" w:type="dxa"/>
                  <w:shd w:val="clear" w:color="auto" w:fill="auto"/>
                  <w:noWrap w:val="0"/>
                  <w:vAlign w:val="center"/>
                </w:tcPr>
                <w:p w14:paraId="6200BA1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sz w:val="21"/>
                      <w:szCs w:val="21"/>
                      <w:vertAlign w:val="baseline"/>
                      <w:lang w:val="en-US" w:eastAsia="zh-CN"/>
                    </w:rPr>
                    <w:t>0.0371</w:t>
                  </w:r>
                </w:p>
              </w:tc>
              <w:tc>
                <w:tcPr>
                  <w:tcW w:w="1041" w:type="dxa"/>
                  <w:shd w:val="clear" w:color="auto" w:fill="auto"/>
                  <w:noWrap w:val="0"/>
                  <w:vAlign w:val="center"/>
                </w:tcPr>
                <w:p w14:paraId="148DF431">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eastAsia" w:cs="Times New Roman"/>
                      <w:sz w:val="21"/>
                      <w:szCs w:val="21"/>
                      <w:lang w:val="en-US" w:eastAsia="zh-CN"/>
                    </w:rPr>
                    <w:t>0.0183</w:t>
                  </w:r>
                </w:p>
              </w:tc>
              <w:tc>
                <w:tcPr>
                  <w:tcW w:w="1252" w:type="dxa"/>
                  <w:shd w:val="clear" w:color="auto" w:fill="auto"/>
                  <w:noWrap w:val="0"/>
                  <w:vAlign w:val="center"/>
                </w:tcPr>
                <w:p w14:paraId="7C0BC25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sz w:val="21"/>
                      <w:szCs w:val="21"/>
                      <w:vertAlign w:val="baseline"/>
                      <w:lang w:val="en-US" w:eastAsia="zh-CN"/>
                    </w:rPr>
                    <w:t>0.0371</w:t>
                  </w:r>
                </w:p>
              </w:tc>
              <w:tc>
                <w:tcPr>
                  <w:tcW w:w="1425" w:type="dxa"/>
                  <w:gridSpan w:val="2"/>
                  <w:noWrap w:val="0"/>
                  <w:vAlign w:val="center"/>
                </w:tcPr>
                <w:p w14:paraId="4438B24F">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+0.0188</w:t>
                  </w:r>
                </w:p>
              </w:tc>
            </w:tr>
            <w:tr w14:paraId="468192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400" w:type="dxa"/>
                  <w:vMerge w:val="continue"/>
                  <w:noWrap w:val="0"/>
                  <w:vAlign w:val="center"/>
                </w:tcPr>
                <w:p w14:paraId="5D50102F">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1560" w:type="dxa"/>
                  <w:noWrap w:val="0"/>
                  <w:vAlign w:val="center"/>
                </w:tcPr>
                <w:p w14:paraId="7B25AE1F">
                  <w:pPr>
                    <w:pStyle w:val="17"/>
                    <w:spacing w:after="0" w:line="240" w:lineRule="exact"/>
                    <w:ind w:left="0" w:lef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苯并[a]芘</w:t>
                  </w:r>
                </w:p>
              </w:tc>
              <w:tc>
                <w:tcPr>
                  <w:tcW w:w="1281" w:type="dxa"/>
                  <w:shd w:val="clear" w:color="auto" w:fill="auto"/>
                  <w:noWrap w:val="0"/>
                  <w:vAlign w:val="center"/>
                </w:tcPr>
                <w:p w14:paraId="3C3D6609">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sz w:val="21"/>
                      <w:szCs w:val="21"/>
                      <w:lang w:val="en-US" w:eastAsia="zh-CN"/>
                    </w:rPr>
                    <w:t>3.654×10</w:t>
                  </w:r>
                  <w:r>
                    <w:rPr>
                      <w:rFonts w:hint="eastAsia" w:cs="Times New Roman"/>
                      <w:sz w:val="21"/>
                      <w:szCs w:val="21"/>
                      <w:vertAlign w:val="superscript"/>
                      <w:lang w:val="en-US" w:eastAsia="zh-CN"/>
                    </w:rPr>
                    <w:t>-7</w:t>
                  </w:r>
                </w:p>
              </w:tc>
              <w:tc>
                <w:tcPr>
                  <w:tcW w:w="1059" w:type="dxa"/>
                  <w:shd w:val="clear" w:color="auto" w:fill="auto"/>
                  <w:noWrap w:val="0"/>
                  <w:vAlign w:val="center"/>
                </w:tcPr>
                <w:p w14:paraId="1DF6432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sz w:val="21"/>
                      <w:szCs w:val="21"/>
                      <w:vertAlign w:val="baseline"/>
                      <w:lang w:val="en-US" w:eastAsia="zh-CN"/>
                    </w:rPr>
                    <w:t>7.4176</w:t>
                  </w: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b w:val="0"/>
                      <w:bCs w:val="0"/>
                      <w:color w:val="auto"/>
                      <w:sz w:val="21"/>
                      <w:szCs w:val="21"/>
                      <w:vertAlign w:val="superscript"/>
                      <w:lang w:val="en-US" w:eastAsia="zh-CN"/>
                    </w:rPr>
                    <w:t>-</w:t>
                  </w:r>
                  <w:r>
                    <w:rPr>
                      <w:rFonts w:hint="eastAsia" w:ascii="Times New Roman" w:hAnsi="Times New Roman" w:eastAsia="宋体" w:cs="Times New Roman"/>
                      <w:b w:val="0"/>
                      <w:bCs w:val="0"/>
                      <w:color w:val="auto"/>
                      <w:sz w:val="21"/>
                      <w:szCs w:val="21"/>
                      <w:vertAlign w:val="superscript"/>
                      <w:lang w:val="en-US" w:eastAsia="zh-CN"/>
                    </w:rPr>
                    <w:t>7</w:t>
                  </w:r>
                </w:p>
              </w:tc>
              <w:tc>
                <w:tcPr>
                  <w:tcW w:w="1041" w:type="dxa"/>
                  <w:shd w:val="clear" w:color="auto" w:fill="auto"/>
                  <w:noWrap w:val="0"/>
                  <w:vAlign w:val="center"/>
                </w:tcPr>
                <w:p w14:paraId="192A4EC4">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eastAsia" w:cs="Times New Roman"/>
                      <w:sz w:val="21"/>
                      <w:szCs w:val="21"/>
                      <w:lang w:val="en-US" w:eastAsia="zh-CN"/>
                    </w:rPr>
                    <w:t>3.654×10</w:t>
                  </w:r>
                  <w:r>
                    <w:rPr>
                      <w:rFonts w:hint="eastAsia" w:cs="Times New Roman"/>
                      <w:sz w:val="21"/>
                      <w:szCs w:val="21"/>
                      <w:vertAlign w:val="superscript"/>
                      <w:lang w:val="en-US" w:eastAsia="zh-CN"/>
                    </w:rPr>
                    <w:t>-7</w:t>
                  </w:r>
                </w:p>
              </w:tc>
              <w:tc>
                <w:tcPr>
                  <w:tcW w:w="1252" w:type="dxa"/>
                  <w:shd w:val="clear" w:color="auto" w:fill="auto"/>
                  <w:noWrap w:val="0"/>
                  <w:vAlign w:val="center"/>
                </w:tcPr>
                <w:p w14:paraId="0A3C2AD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sz w:val="21"/>
                      <w:szCs w:val="21"/>
                      <w:vertAlign w:val="baseline"/>
                      <w:lang w:val="en-US" w:eastAsia="zh-CN"/>
                    </w:rPr>
                    <w:t>7.4176</w:t>
                  </w: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b w:val="0"/>
                      <w:bCs w:val="0"/>
                      <w:color w:val="auto"/>
                      <w:sz w:val="21"/>
                      <w:szCs w:val="21"/>
                      <w:vertAlign w:val="superscript"/>
                      <w:lang w:val="en-US" w:eastAsia="zh-CN"/>
                    </w:rPr>
                    <w:t>-</w:t>
                  </w:r>
                  <w:r>
                    <w:rPr>
                      <w:rFonts w:hint="eastAsia" w:ascii="Times New Roman" w:hAnsi="Times New Roman" w:eastAsia="宋体" w:cs="Times New Roman"/>
                      <w:b w:val="0"/>
                      <w:bCs w:val="0"/>
                      <w:color w:val="auto"/>
                      <w:sz w:val="21"/>
                      <w:szCs w:val="21"/>
                      <w:vertAlign w:val="superscript"/>
                      <w:lang w:val="en-US" w:eastAsia="zh-CN"/>
                    </w:rPr>
                    <w:t>7</w:t>
                  </w:r>
                </w:p>
              </w:tc>
              <w:tc>
                <w:tcPr>
                  <w:tcW w:w="1425" w:type="dxa"/>
                  <w:gridSpan w:val="2"/>
                  <w:noWrap w:val="0"/>
                  <w:vAlign w:val="center"/>
                </w:tcPr>
                <w:p w14:paraId="40803E56">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+3.7636</w:t>
                  </w: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b w:val="0"/>
                      <w:bCs w:val="0"/>
                      <w:color w:val="auto"/>
                      <w:sz w:val="21"/>
                      <w:szCs w:val="21"/>
                      <w:vertAlign w:val="superscript"/>
                      <w:lang w:val="en-US" w:eastAsia="zh-CN"/>
                    </w:rPr>
                    <w:t>-</w:t>
                  </w:r>
                  <w:r>
                    <w:rPr>
                      <w:rFonts w:hint="eastAsia" w:ascii="Times New Roman" w:hAnsi="Times New Roman" w:eastAsia="宋体" w:cs="Times New Roman"/>
                      <w:b w:val="0"/>
                      <w:bCs w:val="0"/>
                      <w:color w:val="auto"/>
                      <w:sz w:val="21"/>
                      <w:szCs w:val="21"/>
                      <w:vertAlign w:val="superscript"/>
                      <w:lang w:val="en-US" w:eastAsia="zh-CN"/>
                    </w:rPr>
                    <w:t>7</w:t>
                  </w:r>
                </w:p>
              </w:tc>
            </w:tr>
            <w:tr w14:paraId="4047F2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dxa"/>
                  <w:vMerge w:val="continue"/>
                  <w:noWrap w:val="0"/>
                  <w:vAlign w:val="center"/>
                </w:tcPr>
                <w:p w14:paraId="1F1D1B0E">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1560" w:type="dxa"/>
                  <w:noWrap w:val="0"/>
                  <w:vAlign w:val="center"/>
                </w:tcPr>
                <w:p w14:paraId="2819C54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VOCs（以非甲烷总烃计）</w:t>
                  </w:r>
                </w:p>
              </w:tc>
              <w:tc>
                <w:tcPr>
                  <w:tcW w:w="1281" w:type="dxa"/>
                  <w:shd w:val="clear" w:color="auto" w:fill="auto"/>
                  <w:noWrap w:val="0"/>
                  <w:vAlign w:val="center"/>
                </w:tcPr>
                <w:p w14:paraId="1135D263">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sz w:val="21"/>
                      <w:szCs w:val="21"/>
                      <w:lang w:val="en-US" w:eastAsia="zh-CN"/>
                    </w:rPr>
                    <w:t>0.0128</w:t>
                  </w:r>
                </w:p>
              </w:tc>
              <w:tc>
                <w:tcPr>
                  <w:tcW w:w="1059" w:type="dxa"/>
                  <w:shd w:val="clear" w:color="auto" w:fill="auto"/>
                  <w:noWrap w:val="0"/>
                  <w:vAlign w:val="center"/>
                </w:tcPr>
                <w:p w14:paraId="12B123C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sz w:val="21"/>
                      <w:szCs w:val="21"/>
                      <w:vertAlign w:val="baseline"/>
                      <w:lang w:val="en-US" w:eastAsia="zh-CN"/>
                    </w:rPr>
                    <w:t>0.026</w:t>
                  </w:r>
                </w:p>
              </w:tc>
              <w:tc>
                <w:tcPr>
                  <w:tcW w:w="1041" w:type="dxa"/>
                  <w:shd w:val="clear" w:color="auto" w:fill="auto"/>
                  <w:noWrap w:val="0"/>
                  <w:vAlign w:val="center"/>
                </w:tcPr>
                <w:p w14:paraId="0985193A">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eastAsia" w:cs="Times New Roman"/>
                      <w:sz w:val="21"/>
                      <w:szCs w:val="21"/>
                      <w:lang w:val="en-US" w:eastAsia="zh-CN"/>
                    </w:rPr>
                    <w:t>0.0128</w:t>
                  </w:r>
                </w:p>
              </w:tc>
              <w:tc>
                <w:tcPr>
                  <w:tcW w:w="1252" w:type="dxa"/>
                  <w:shd w:val="clear" w:color="auto" w:fill="auto"/>
                  <w:noWrap w:val="0"/>
                  <w:vAlign w:val="center"/>
                </w:tcPr>
                <w:p w14:paraId="55B498D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sz w:val="21"/>
                      <w:szCs w:val="21"/>
                      <w:vertAlign w:val="baseline"/>
                      <w:lang w:val="en-US" w:eastAsia="zh-CN"/>
                    </w:rPr>
                    <w:t>0.026</w:t>
                  </w:r>
                </w:p>
              </w:tc>
              <w:tc>
                <w:tcPr>
                  <w:tcW w:w="1425" w:type="dxa"/>
                  <w:gridSpan w:val="2"/>
                  <w:noWrap w:val="0"/>
                  <w:vAlign w:val="center"/>
                </w:tcPr>
                <w:p w14:paraId="2CD9099E">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+0.0132</w:t>
                  </w:r>
                </w:p>
              </w:tc>
            </w:tr>
            <w:tr w14:paraId="5833F6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dxa"/>
                  <w:vMerge w:val="continue"/>
                  <w:noWrap w:val="0"/>
                  <w:vAlign w:val="center"/>
                </w:tcPr>
                <w:p w14:paraId="1FF95F40">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1560" w:type="dxa"/>
                  <w:noWrap w:val="0"/>
                  <w:vAlign w:val="center"/>
                </w:tcPr>
                <w:p w14:paraId="5681435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NO</w:t>
                  </w:r>
                  <w:r>
                    <w:rPr>
                      <w:rFonts w:hint="eastAsia" w:cs="Times New Roman"/>
                      <w:sz w:val="21"/>
                      <w:szCs w:val="21"/>
                      <w:vertAlign w:val="subscript"/>
                      <w:lang w:val="en-US" w:eastAsia="zh-CN"/>
                    </w:rPr>
                    <w:t>x</w:t>
                  </w:r>
                </w:p>
              </w:tc>
              <w:tc>
                <w:tcPr>
                  <w:tcW w:w="1281" w:type="dxa"/>
                  <w:shd w:val="clear" w:color="auto" w:fill="auto"/>
                  <w:noWrap w:val="0"/>
                  <w:vAlign w:val="center"/>
                </w:tcPr>
                <w:p w14:paraId="04BBC6B9">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sz w:val="21"/>
                      <w:szCs w:val="21"/>
                      <w:lang w:val="en-US" w:eastAsia="zh-CN"/>
                    </w:rPr>
                    <w:t>2.2509</w:t>
                  </w:r>
                </w:p>
              </w:tc>
              <w:tc>
                <w:tcPr>
                  <w:tcW w:w="1059" w:type="dxa"/>
                  <w:shd w:val="clear" w:color="auto" w:fill="auto"/>
                  <w:noWrap w:val="0"/>
                  <w:vAlign w:val="center"/>
                </w:tcPr>
                <w:p w14:paraId="2CB280D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sz w:val="21"/>
                      <w:szCs w:val="21"/>
                      <w:vertAlign w:val="baseline"/>
                      <w:lang w:val="en-US" w:eastAsia="zh-CN"/>
                    </w:rPr>
                    <w:t>4.7478</w:t>
                  </w:r>
                </w:p>
              </w:tc>
              <w:tc>
                <w:tcPr>
                  <w:tcW w:w="1041" w:type="dxa"/>
                  <w:shd w:val="clear" w:color="auto" w:fill="auto"/>
                  <w:noWrap w:val="0"/>
                  <w:vAlign w:val="center"/>
                </w:tcPr>
                <w:p w14:paraId="4E61C5CD">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eastAsia" w:cs="Times New Roman"/>
                      <w:sz w:val="21"/>
                      <w:szCs w:val="21"/>
                      <w:lang w:val="en-US" w:eastAsia="zh-CN"/>
                    </w:rPr>
                    <w:t>2.2509</w:t>
                  </w:r>
                </w:p>
              </w:tc>
              <w:tc>
                <w:tcPr>
                  <w:tcW w:w="1252" w:type="dxa"/>
                  <w:shd w:val="clear" w:color="auto" w:fill="auto"/>
                  <w:noWrap w:val="0"/>
                  <w:vAlign w:val="center"/>
                </w:tcPr>
                <w:p w14:paraId="3685D3A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sz w:val="21"/>
                      <w:szCs w:val="21"/>
                      <w:vertAlign w:val="baseline"/>
                      <w:lang w:val="en-US" w:eastAsia="zh-CN"/>
                    </w:rPr>
                    <w:t>4.7478</w:t>
                  </w:r>
                </w:p>
              </w:tc>
              <w:tc>
                <w:tcPr>
                  <w:tcW w:w="1425" w:type="dxa"/>
                  <w:gridSpan w:val="2"/>
                  <w:noWrap w:val="0"/>
                  <w:vAlign w:val="center"/>
                </w:tcPr>
                <w:p w14:paraId="32E181E6">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+2.497</w:t>
                  </w:r>
                </w:p>
              </w:tc>
            </w:tr>
            <w:tr w14:paraId="304F7F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dxa"/>
                  <w:vMerge w:val="continue"/>
                  <w:noWrap w:val="0"/>
                  <w:vAlign w:val="center"/>
                </w:tcPr>
                <w:p w14:paraId="5FCA23CD">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1560" w:type="dxa"/>
                  <w:noWrap w:val="0"/>
                  <w:vAlign w:val="center"/>
                </w:tcPr>
                <w:p w14:paraId="13B49E5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SO</w:t>
                  </w:r>
                  <w:r>
                    <w:rPr>
                      <w:rFonts w:hint="eastAsia" w:cs="Times New Roman"/>
                      <w:sz w:val="21"/>
                      <w:szCs w:val="21"/>
                      <w:vertAlign w:val="subscript"/>
                      <w:lang w:val="en-US" w:eastAsia="zh-CN"/>
                    </w:rPr>
                    <w:t>2</w:t>
                  </w:r>
                </w:p>
              </w:tc>
              <w:tc>
                <w:tcPr>
                  <w:tcW w:w="1281" w:type="dxa"/>
                  <w:shd w:val="clear" w:color="auto" w:fill="auto"/>
                  <w:noWrap w:val="0"/>
                  <w:vAlign w:val="center"/>
                </w:tcPr>
                <w:p w14:paraId="65086CFB">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sz w:val="21"/>
                      <w:szCs w:val="21"/>
                      <w:lang w:val="en-US" w:eastAsia="zh-CN"/>
                    </w:rPr>
                    <w:t>0.0496</w:t>
                  </w:r>
                </w:p>
              </w:tc>
              <w:tc>
                <w:tcPr>
                  <w:tcW w:w="1059" w:type="dxa"/>
                  <w:shd w:val="clear" w:color="auto" w:fill="auto"/>
                  <w:noWrap w:val="0"/>
                  <w:vAlign w:val="center"/>
                </w:tcPr>
                <w:p w14:paraId="1AABB72A">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sz w:val="21"/>
                      <w:szCs w:val="21"/>
                      <w:vertAlign w:val="baseline"/>
                      <w:lang w:val="en-US" w:eastAsia="zh-CN"/>
                    </w:rPr>
                    <w:t>0.1096</w:t>
                  </w:r>
                </w:p>
              </w:tc>
              <w:tc>
                <w:tcPr>
                  <w:tcW w:w="1041" w:type="dxa"/>
                  <w:shd w:val="clear" w:color="auto" w:fill="auto"/>
                  <w:noWrap w:val="0"/>
                  <w:vAlign w:val="center"/>
                </w:tcPr>
                <w:p w14:paraId="4BD4648D">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eastAsia" w:cs="Times New Roman"/>
                      <w:sz w:val="21"/>
                      <w:szCs w:val="21"/>
                      <w:lang w:val="en-US" w:eastAsia="zh-CN"/>
                    </w:rPr>
                    <w:t>0.0496</w:t>
                  </w:r>
                </w:p>
              </w:tc>
              <w:tc>
                <w:tcPr>
                  <w:tcW w:w="1252" w:type="dxa"/>
                  <w:shd w:val="clear" w:color="auto" w:fill="auto"/>
                  <w:noWrap w:val="0"/>
                  <w:vAlign w:val="center"/>
                </w:tcPr>
                <w:p w14:paraId="2509A16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sz w:val="21"/>
                      <w:szCs w:val="21"/>
                      <w:vertAlign w:val="baseline"/>
                      <w:lang w:val="en-US" w:eastAsia="zh-CN"/>
                    </w:rPr>
                    <w:t>0.1096</w:t>
                  </w:r>
                </w:p>
              </w:tc>
              <w:tc>
                <w:tcPr>
                  <w:tcW w:w="1425" w:type="dxa"/>
                  <w:gridSpan w:val="2"/>
                  <w:noWrap w:val="0"/>
                  <w:vAlign w:val="center"/>
                </w:tcPr>
                <w:p w14:paraId="3F9B880F">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+0.06</w:t>
                  </w:r>
                </w:p>
              </w:tc>
            </w:tr>
            <w:tr w14:paraId="4EF54D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dxa"/>
                  <w:vMerge w:val="continue"/>
                  <w:noWrap w:val="0"/>
                  <w:vAlign w:val="center"/>
                </w:tcPr>
                <w:p w14:paraId="4D1F6962">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1560" w:type="dxa"/>
                  <w:noWrap w:val="0"/>
                  <w:vAlign w:val="center"/>
                </w:tcPr>
                <w:p w14:paraId="7796C067">
                  <w:pPr>
                    <w:keepNext w:val="0"/>
                    <w:keepLines w:val="0"/>
                    <w:pageBreakBefore w:val="0"/>
                    <w:kinsoku/>
                    <w:wordWrap/>
                    <w:overflowPunct/>
                    <w:topLinePunct w:val="0"/>
                    <w:autoSpaceDE/>
                    <w:autoSpaceDN/>
                    <w:bidi w:val="0"/>
                    <w:adjustRightInd/>
                    <w:snapToGrid/>
                    <w:spacing w:line="240" w:lineRule="exact"/>
                    <w:jc w:val="center"/>
                    <w:rPr>
                      <w:rFonts w:hint="default" w:cs="Times New Roman"/>
                      <w:sz w:val="21"/>
                      <w:szCs w:val="21"/>
                      <w:lang w:val="en-US" w:eastAsia="zh-CN"/>
                    </w:rPr>
                  </w:pPr>
                  <w:r>
                    <w:rPr>
                      <w:rFonts w:hint="eastAsia" w:cs="Times New Roman"/>
                      <w:sz w:val="21"/>
                      <w:szCs w:val="21"/>
                      <w:lang w:val="en-US" w:eastAsia="zh-CN"/>
                    </w:rPr>
                    <w:t>油烟</w:t>
                  </w:r>
                </w:p>
              </w:tc>
              <w:tc>
                <w:tcPr>
                  <w:tcW w:w="1281" w:type="dxa"/>
                  <w:shd w:val="clear" w:color="auto" w:fill="auto"/>
                  <w:noWrap w:val="0"/>
                  <w:vAlign w:val="center"/>
                </w:tcPr>
                <w:p w14:paraId="6E40A5AC">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cs="Times New Roman"/>
                      <w:sz w:val="21"/>
                      <w:szCs w:val="21"/>
                      <w:lang w:val="en-US" w:eastAsia="zh-CN"/>
                    </w:rPr>
                  </w:pPr>
                  <w:r>
                    <w:rPr>
                      <w:rFonts w:hint="eastAsia" w:cs="Times New Roman"/>
                      <w:sz w:val="21"/>
                      <w:szCs w:val="21"/>
                      <w:lang w:val="en-US" w:eastAsia="zh-CN"/>
                    </w:rPr>
                    <w:t>0</w:t>
                  </w:r>
                </w:p>
              </w:tc>
              <w:tc>
                <w:tcPr>
                  <w:tcW w:w="1059" w:type="dxa"/>
                  <w:shd w:val="clear" w:color="auto" w:fill="auto"/>
                  <w:noWrap w:val="0"/>
                  <w:vAlign w:val="center"/>
                </w:tcPr>
                <w:p w14:paraId="3315D6C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0.0043</w:t>
                  </w:r>
                </w:p>
              </w:tc>
              <w:tc>
                <w:tcPr>
                  <w:tcW w:w="1041" w:type="dxa"/>
                  <w:shd w:val="clear" w:color="auto" w:fill="auto"/>
                  <w:noWrap w:val="0"/>
                  <w:vAlign w:val="center"/>
                </w:tcPr>
                <w:p w14:paraId="0BF24EBF">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cs="Times New Roman"/>
                      <w:sz w:val="21"/>
                      <w:szCs w:val="21"/>
                      <w:lang w:val="en-US" w:eastAsia="zh-CN"/>
                    </w:rPr>
                  </w:pPr>
                  <w:r>
                    <w:rPr>
                      <w:rFonts w:hint="eastAsia" w:cs="Times New Roman"/>
                      <w:sz w:val="21"/>
                      <w:szCs w:val="21"/>
                      <w:lang w:val="en-US" w:eastAsia="zh-CN"/>
                    </w:rPr>
                    <w:t>0</w:t>
                  </w:r>
                </w:p>
              </w:tc>
              <w:tc>
                <w:tcPr>
                  <w:tcW w:w="1252" w:type="dxa"/>
                  <w:shd w:val="clear" w:color="auto" w:fill="auto"/>
                  <w:noWrap w:val="0"/>
                  <w:vAlign w:val="center"/>
                </w:tcPr>
                <w:p w14:paraId="21C7A8FE">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0.0043</w:t>
                  </w:r>
                </w:p>
              </w:tc>
              <w:tc>
                <w:tcPr>
                  <w:tcW w:w="1425" w:type="dxa"/>
                  <w:gridSpan w:val="2"/>
                  <w:noWrap w:val="0"/>
                  <w:vAlign w:val="center"/>
                </w:tcPr>
                <w:p w14:paraId="52AEBB77">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cs="Times New Roman"/>
                      <w:sz w:val="21"/>
                      <w:szCs w:val="21"/>
                      <w:lang w:val="en-US" w:eastAsia="zh-CN"/>
                    </w:rPr>
                  </w:pPr>
                  <w:r>
                    <w:rPr>
                      <w:rFonts w:hint="eastAsia" w:cs="Times New Roman"/>
                      <w:sz w:val="21"/>
                      <w:szCs w:val="21"/>
                      <w:lang w:val="en-US" w:eastAsia="zh-CN"/>
                    </w:rPr>
                    <w:t>+0.0043</w:t>
                  </w:r>
                </w:p>
              </w:tc>
            </w:tr>
            <w:tr w14:paraId="549DFB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dxa"/>
                  <w:vMerge w:val="restart"/>
                  <w:noWrap w:val="0"/>
                  <w:vAlign w:val="center"/>
                </w:tcPr>
                <w:p w14:paraId="3D4B1E80">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w:t>
                  </w:r>
                </w:p>
              </w:tc>
              <w:tc>
                <w:tcPr>
                  <w:tcW w:w="1560" w:type="dxa"/>
                  <w:shd w:val="clear" w:color="auto" w:fill="auto"/>
                  <w:noWrap w:val="0"/>
                  <w:vAlign w:val="center"/>
                </w:tcPr>
                <w:p w14:paraId="04641D6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生活垃圾</w:t>
                  </w:r>
                </w:p>
              </w:tc>
              <w:tc>
                <w:tcPr>
                  <w:tcW w:w="1281" w:type="dxa"/>
                  <w:noWrap w:val="0"/>
                  <w:vAlign w:val="center"/>
                </w:tcPr>
                <w:p w14:paraId="2202DEA8">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3.96</w:t>
                  </w:r>
                </w:p>
              </w:tc>
              <w:tc>
                <w:tcPr>
                  <w:tcW w:w="1059" w:type="dxa"/>
                  <w:shd w:val="clear" w:color="auto" w:fill="auto"/>
                  <w:noWrap w:val="0"/>
                  <w:vAlign w:val="center"/>
                </w:tcPr>
                <w:p w14:paraId="07F4455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5.28</w:t>
                  </w:r>
                </w:p>
              </w:tc>
              <w:tc>
                <w:tcPr>
                  <w:tcW w:w="1041" w:type="dxa"/>
                  <w:shd w:val="clear" w:color="auto" w:fill="auto"/>
                  <w:noWrap w:val="0"/>
                  <w:vAlign w:val="center"/>
                </w:tcPr>
                <w:p w14:paraId="740337EA">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3.96</w:t>
                  </w:r>
                </w:p>
              </w:tc>
              <w:tc>
                <w:tcPr>
                  <w:tcW w:w="1252" w:type="dxa"/>
                  <w:shd w:val="clear" w:color="auto" w:fill="auto"/>
                  <w:noWrap w:val="0"/>
                  <w:vAlign w:val="center"/>
                </w:tcPr>
                <w:p w14:paraId="055BD1B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5.28</w:t>
                  </w:r>
                </w:p>
              </w:tc>
              <w:tc>
                <w:tcPr>
                  <w:tcW w:w="1425" w:type="dxa"/>
                  <w:gridSpan w:val="2"/>
                  <w:noWrap w:val="0"/>
                  <w:vAlign w:val="center"/>
                </w:tcPr>
                <w:p w14:paraId="038E09ED">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+1.32</w:t>
                  </w:r>
                </w:p>
              </w:tc>
            </w:tr>
            <w:tr w14:paraId="362D06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dxa"/>
                  <w:vMerge w:val="continue"/>
                  <w:noWrap w:val="0"/>
                  <w:vAlign w:val="center"/>
                </w:tcPr>
                <w:p w14:paraId="1AF6FB52">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1560" w:type="dxa"/>
                  <w:shd w:val="clear" w:color="auto" w:fill="auto"/>
                  <w:noWrap w:val="0"/>
                  <w:vAlign w:val="center"/>
                </w:tcPr>
                <w:p w14:paraId="540F47A4">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餐厨垃圾及废油脂</w:t>
                  </w:r>
                </w:p>
              </w:tc>
              <w:tc>
                <w:tcPr>
                  <w:tcW w:w="1281" w:type="dxa"/>
                  <w:noWrap w:val="0"/>
                  <w:vAlign w:val="center"/>
                </w:tcPr>
                <w:p w14:paraId="1AE79A17">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0</w:t>
                  </w:r>
                </w:p>
              </w:tc>
              <w:tc>
                <w:tcPr>
                  <w:tcW w:w="1059" w:type="dxa"/>
                  <w:shd w:val="clear" w:color="auto" w:fill="auto"/>
                  <w:noWrap w:val="0"/>
                  <w:vAlign w:val="center"/>
                </w:tcPr>
                <w:p w14:paraId="5A0928F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1.32</w:t>
                  </w:r>
                </w:p>
              </w:tc>
              <w:tc>
                <w:tcPr>
                  <w:tcW w:w="1041" w:type="dxa"/>
                  <w:shd w:val="clear" w:color="auto" w:fill="auto"/>
                  <w:noWrap w:val="0"/>
                  <w:vAlign w:val="center"/>
                </w:tcPr>
                <w:p w14:paraId="1B7B5A28">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0</w:t>
                  </w:r>
                </w:p>
              </w:tc>
              <w:tc>
                <w:tcPr>
                  <w:tcW w:w="1252" w:type="dxa"/>
                  <w:shd w:val="clear" w:color="auto" w:fill="auto"/>
                  <w:noWrap w:val="0"/>
                  <w:vAlign w:val="center"/>
                </w:tcPr>
                <w:p w14:paraId="7C2CA6E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1.32</w:t>
                  </w:r>
                </w:p>
              </w:tc>
              <w:tc>
                <w:tcPr>
                  <w:tcW w:w="1425" w:type="dxa"/>
                  <w:gridSpan w:val="2"/>
                  <w:noWrap w:val="0"/>
                  <w:vAlign w:val="center"/>
                </w:tcPr>
                <w:p w14:paraId="7784E3DE">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+1.32</w:t>
                  </w:r>
                </w:p>
              </w:tc>
            </w:tr>
            <w:tr w14:paraId="757A43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dxa"/>
                  <w:vMerge w:val="continue"/>
                  <w:noWrap w:val="0"/>
                  <w:vAlign w:val="center"/>
                </w:tcPr>
                <w:p w14:paraId="5A3A5FF5">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1560" w:type="dxa"/>
                  <w:shd w:val="clear" w:color="auto" w:fill="auto"/>
                  <w:noWrap w:val="0"/>
                  <w:vAlign w:val="center"/>
                </w:tcPr>
                <w:p w14:paraId="44BFAAE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沉淀池沉渣</w:t>
                  </w:r>
                </w:p>
              </w:tc>
              <w:tc>
                <w:tcPr>
                  <w:tcW w:w="1281" w:type="dxa"/>
                  <w:noWrap w:val="0"/>
                  <w:vAlign w:val="center"/>
                </w:tcPr>
                <w:p w14:paraId="0BAC0C49">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0.8</w:t>
                  </w:r>
                </w:p>
              </w:tc>
              <w:tc>
                <w:tcPr>
                  <w:tcW w:w="1059" w:type="dxa"/>
                  <w:shd w:val="clear" w:color="auto" w:fill="auto"/>
                  <w:noWrap w:val="0"/>
                  <w:vAlign w:val="center"/>
                </w:tcPr>
                <w:p w14:paraId="68F5640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2</w:t>
                  </w:r>
                </w:p>
              </w:tc>
              <w:tc>
                <w:tcPr>
                  <w:tcW w:w="1041" w:type="dxa"/>
                  <w:shd w:val="clear" w:color="auto" w:fill="auto"/>
                  <w:noWrap w:val="0"/>
                  <w:vAlign w:val="center"/>
                </w:tcPr>
                <w:p w14:paraId="0112B251">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sz w:val="21"/>
                      <w:szCs w:val="21"/>
                      <w:lang w:val="en-US" w:eastAsia="zh-CN"/>
                    </w:rPr>
                    <w:t>0.8</w:t>
                  </w:r>
                </w:p>
              </w:tc>
              <w:tc>
                <w:tcPr>
                  <w:tcW w:w="1252" w:type="dxa"/>
                  <w:shd w:val="clear" w:color="auto" w:fill="auto"/>
                  <w:noWrap w:val="0"/>
                  <w:vAlign w:val="center"/>
                </w:tcPr>
                <w:p w14:paraId="598635F8">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2</w:t>
                  </w:r>
                </w:p>
              </w:tc>
              <w:tc>
                <w:tcPr>
                  <w:tcW w:w="1425" w:type="dxa"/>
                  <w:gridSpan w:val="2"/>
                  <w:noWrap w:val="0"/>
                  <w:vAlign w:val="center"/>
                </w:tcPr>
                <w:p w14:paraId="48644FEA">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+1.2</w:t>
                  </w:r>
                </w:p>
              </w:tc>
            </w:tr>
            <w:tr w14:paraId="680134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dxa"/>
                  <w:vMerge w:val="continue"/>
                  <w:noWrap w:val="0"/>
                  <w:vAlign w:val="center"/>
                </w:tcPr>
                <w:p w14:paraId="15617E36">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1560" w:type="dxa"/>
                  <w:shd w:val="clear" w:color="auto" w:fill="auto"/>
                  <w:noWrap w:val="0"/>
                  <w:vAlign w:val="center"/>
                </w:tcPr>
                <w:p w14:paraId="400C3A1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喷淋塔沉渣</w:t>
                  </w:r>
                </w:p>
              </w:tc>
              <w:tc>
                <w:tcPr>
                  <w:tcW w:w="1281" w:type="dxa"/>
                  <w:noWrap w:val="0"/>
                  <w:vAlign w:val="center"/>
                </w:tcPr>
                <w:p w14:paraId="7FF12298">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cs="Times New Roman"/>
                      <w:sz w:val="21"/>
                      <w:szCs w:val="21"/>
                      <w:lang w:val="en-US" w:eastAsia="zh-CN"/>
                    </w:rPr>
                  </w:pPr>
                  <w:r>
                    <w:rPr>
                      <w:rFonts w:hint="eastAsia" w:cs="Times New Roman"/>
                      <w:sz w:val="21"/>
                      <w:szCs w:val="21"/>
                      <w:lang w:val="en-US" w:eastAsia="zh-CN"/>
                    </w:rPr>
                    <w:t>0</w:t>
                  </w:r>
                </w:p>
              </w:tc>
              <w:tc>
                <w:tcPr>
                  <w:tcW w:w="1059" w:type="dxa"/>
                  <w:shd w:val="clear" w:color="auto" w:fill="auto"/>
                  <w:noWrap w:val="0"/>
                  <w:vAlign w:val="center"/>
                </w:tcPr>
                <w:p w14:paraId="18DA56C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0.02</w:t>
                  </w:r>
                </w:p>
              </w:tc>
              <w:tc>
                <w:tcPr>
                  <w:tcW w:w="1041" w:type="dxa"/>
                  <w:shd w:val="clear" w:color="auto" w:fill="auto"/>
                  <w:noWrap w:val="0"/>
                  <w:vAlign w:val="center"/>
                </w:tcPr>
                <w:p w14:paraId="1B7B0657">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cs="Times New Roman"/>
                      <w:sz w:val="21"/>
                      <w:szCs w:val="21"/>
                      <w:lang w:val="en-US" w:eastAsia="zh-CN"/>
                    </w:rPr>
                  </w:pPr>
                  <w:r>
                    <w:rPr>
                      <w:rFonts w:hint="eastAsia" w:cs="Times New Roman"/>
                      <w:sz w:val="21"/>
                      <w:szCs w:val="21"/>
                      <w:lang w:val="en-US" w:eastAsia="zh-CN"/>
                    </w:rPr>
                    <w:t>0</w:t>
                  </w:r>
                </w:p>
              </w:tc>
              <w:tc>
                <w:tcPr>
                  <w:tcW w:w="1252" w:type="dxa"/>
                  <w:shd w:val="clear" w:color="auto" w:fill="auto"/>
                  <w:noWrap w:val="0"/>
                  <w:vAlign w:val="center"/>
                </w:tcPr>
                <w:p w14:paraId="4753CFE4">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0.02</w:t>
                  </w:r>
                </w:p>
              </w:tc>
              <w:tc>
                <w:tcPr>
                  <w:tcW w:w="1425" w:type="dxa"/>
                  <w:gridSpan w:val="2"/>
                  <w:noWrap w:val="0"/>
                  <w:vAlign w:val="center"/>
                </w:tcPr>
                <w:p w14:paraId="2188618F">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cs="Times New Roman"/>
                      <w:sz w:val="21"/>
                      <w:szCs w:val="21"/>
                      <w:lang w:val="en-US" w:eastAsia="zh-CN"/>
                    </w:rPr>
                  </w:pPr>
                  <w:r>
                    <w:rPr>
                      <w:rFonts w:hint="eastAsia" w:cs="Times New Roman"/>
                      <w:sz w:val="21"/>
                      <w:szCs w:val="21"/>
                      <w:lang w:val="en-US" w:eastAsia="zh-CN"/>
                    </w:rPr>
                    <w:t>+0.02</w:t>
                  </w:r>
                </w:p>
              </w:tc>
            </w:tr>
            <w:tr w14:paraId="5661AC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00" w:type="dxa"/>
                  <w:vMerge w:val="continue"/>
                  <w:noWrap w:val="0"/>
                  <w:vAlign w:val="center"/>
                </w:tcPr>
                <w:p w14:paraId="1B5C3B87">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1560" w:type="dxa"/>
                  <w:shd w:val="clear" w:color="auto" w:fill="auto"/>
                  <w:noWrap w:val="0"/>
                  <w:vAlign w:val="center"/>
                </w:tcPr>
                <w:p w14:paraId="18F515A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筛分废料</w:t>
                  </w:r>
                </w:p>
              </w:tc>
              <w:tc>
                <w:tcPr>
                  <w:tcW w:w="1281" w:type="dxa"/>
                  <w:noWrap w:val="0"/>
                  <w:vAlign w:val="center"/>
                </w:tcPr>
                <w:p w14:paraId="4DE60534">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18.4</w:t>
                  </w:r>
                </w:p>
              </w:tc>
              <w:tc>
                <w:tcPr>
                  <w:tcW w:w="1059" w:type="dxa"/>
                  <w:shd w:val="clear" w:color="auto" w:fill="auto"/>
                  <w:noWrap w:val="0"/>
                  <w:vAlign w:val="center"/>
                </w:tcPr>
                <w:p w14:paraId="5B8D478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239.35</w:t>
                  </w:r>
                </w:p>
              </w:tc>
              <w:tc>
                <w:tcPr>
                  <w:tcW w:w="1041" w:type="dxa"/>
                  <w:shd w:val="clear" w:color="auto" w:fill="auto"/>
                  <w:noWrap w:val="0"/>
                  <w:vAlign w:val="center"/>
                </w:tcPr>
                <w:p w14:paraId="224C8389">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sz w:val="21"/>
                      <w:szCs w:val="21"/>
                      <w:lang w:val="en-US" w:eastAsia="zh-CN"/>
                    </w:rPr>
                    <w:t>18.4</w:t>
                  </w:r>
                </w:p>
              </w:tc>
              <w:tc>
                <w:tcPr>
                  <w:tcW w:w="1252" w:type="dxa"/>
                  <w:shd w:val="clear" w:color="auto" w:fill="auto"/>
                  <w:noWrap w:val="0"/>
                  <w:vAlign w:val="center"/>
                </w:tcPr>
                <w:p w14:paraId="4B4EB90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239.35</w:t>
                  </w:r>
                </w:p>
              </w:tc>
              <w:tc>
                <w:tcPr>
                  <w:tcW w:w="1425" w:type="dxa"/>
                  <w:gridSpan w:val="2"/>
                  <w:noWrap w:val="0"/>
                  <w:vAlign w:val="center"/>
                </w:tcPr>
                <w:p w14:paraId="6FBAE2E9">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+220.95</w:t>
                  </w:r>
                </w:p>
              </w:tc>
            </w:tr>
            <w:tr w14:paraId="2AD80F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00" w:type="dxa"/>
                  <w:vMerge w:val="continue"/>
                  <w:noWrap w:val="0"/>
                  <w:vAlign w:val="center"/>
                </w:tcPr>
                <w:p w14:paraId="0F0A4472">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1560" w:type="dxa"/>
                  <w:shd w:val="clear" w:color="auto" w:fill="auto"/>
                  <w:noWrap w:val="0"/>
                  <w:vAlign w:val="center"/>
                </w:tcPr>
                <w:p w14:paraId="0EC3E15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拌合残渣、废沥青、沥青混凝土</w:t>
                  </w:r>
                </w:p>
              </w:tc>
              <w:tc>
                <w:tcPr>
                  <w:tcW w:w="1281" w:type="dxa"/>
                  <w:noWrap w:val="0"/>
                  <w:vAlign w:val="center"/>
                </w:tcPr>
                <w:p w14:paraId="0A53B0A2">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1059" w:type="dxa"/>
                  <w:shd w:val="clear" w:color="auto" w:fill="auto"/>
                  <w:noWrap w:val="0"/>
                  <w:vAlign w:val="center"/>
                </w:tcPr>
                <w:p w14:paraId="2E3606F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19.6708</w:t>
                  </w:r>
                </w:p>
              </w:tc>
              <w:tc>
                <w:tcPr>
                  <w:tcW w:w="1041" w:type="dxa"/>
                  <w:shd w:val="clear" w:color="auto" w:fill="auto"/>
                  <w:noWrap w:val="0"/>
                  <w:vAlign w:val="center"/>
                </w:tcPr>
                <w:p w14:paraId="5464C0FF">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default" w:ascii="Times New Roman" w:hAnsi="Times New Roman" w:eastAsia="宋体" w:cs="Times New Roman"/>
                      <w:sz w:val="21"/>
                      <w:szCs w:val="21"/>
                      <w:lang w:val="en-US" w:eastAsia="zh-CN"/>
                    </w:rPr>
                    <w:t>10</w:t>
                  </w:r>
                </w:p>
              </w:tc>
              <w:tc>
                <w:tcPr>
                  <w:tcW w:w="1252" w:type="dxa"/>
                  <w:shd w:val="clear" w:color="auto" w:fill="auto"/>
                  <w:noWrap w:val="0"/>
                  <w:vAlign w:val="center"/>
                </w:tcPr>
                <w:p w14:paraId="4AA92D6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19.</w:t>
                  </w:r>
                  <w:r>
                    <w:rPr>
                      <w:rFonts w:hint="eastAsia" w:ascii="Times New Roman" w:hAnsi="Times New Roman" w:eastAsia="宋体" w:cs="Times New Roman"/>
                      <w:kern w:val="2"/>
                      <w:sz w:val="21"/>
                      <w:szCs w:val="21"/>
                      <w:highlight w:val="none"/>
                      <w:vertAlign w:val="baseline"/>
                      <w:lang w:val="en-US" w:eastAsia="zh-CN" w:bidi="ar-SA"/>
                    </w:rPr>
                    <w:t>8498</w:t>
                  </w:r>
                </w:p>
              </w:tc>
              <w:tc>
                <w:tcPr>
                  <w:tcW w:w="1425" w:type="dxa"/>
                  <w:gridSpan w:val="2"/>
                  <w:noWrap w:val="0"/>
                  <w:vAlign w:val="center"/>
                </w:tcPr>
                <w:p w14:paraId="067D7BFE">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r>
                    <w:rPr>
                      <w:rFonts w:hint="default" w:ascii="Times New Roman" w:hAnsi="Times New Roman" w:eastAsia="宋体" w:cs="Times New Roman"/>
                      <w:kern w:val="2"/>
                      <w:sz w:val="21"/>
                      <w:szCs w:val="21"/>
                      <w:highlight w:val="none"/>
                      <w:vertAlign w:val="baseline"/>
                      <w:lang w:val="en-US" w:eastAsia="zh-CN" w:bidi="ar-SA"/>
                    </w:rPr>
                    <w:t>9.</w:t>
                  </w:r>
                  <w:r>
                    <w:rPr>
                      <w:rFonts w:hint="eastAsia" w:ascii="Times New Roman" w:hAnsi="Times New Roman" w:eastAsia="宋体" w:cs="Times New Roman"/>
                      <w:kern w:val="2"/>
                      <w:sz w:val="21"/>
                      <w:szCs w:val="21"/>
                      <w:highlight w:val="none"/>
                      <w:vertAlign w:val="baseline"/>
                      <w:lang w:val="en-US" w:eastAsia="zh-CN" w:bidi="ar-SA"/>
                    </w:rPr>
                    <w:t>8498</w:t>
                  </w:r>
                </w:p>
              </w:tc>
            </w:tr>
            <w:tr w14:paraId="3F7B6C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00" w:type="dxa"/>
                  <w:vMerge w:val="continue"/>
                  <w:noWrap w:val="0"/>
                  <w:vAlign w:val="center"/>
                </w:tcPr>
                <w:p w14:paraId="67A5D4D7">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1560" w:type="dxa"/>
                  <w:shd w:val="clear" w:color="auto" w:fill="auto"/>
                  <w:noWrap w:val="0"/>
                  <w:vAlign w:val="center"/>
                </w:tcPr>
                <w:p w14:paraId="1F63830A">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除尘器收尘</w:t>
                  </w:r>
                </w:p>
              </w:tc>
              <w:tc>
                <w:tcPr>
                  <w:tcW w:w="1281" w:type="dxa"/>
                  <w:noWrap w:val="0"/>
                  <w:vAlign w:val="center"/>
                </w:tcPr>
                <w:p w14:paraId="57F4116A">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261.6843</w:t>
                  </w:r>
                </w:p>
              </w:tc>
              <w:tc>
                <w:tcPr>
                  <w:tcW w:w="1059" w:type="dxa"/>
                  <w:shd w:val="clear" w:color="auto" w:fill="auto"/>
                  <w:noWrap w:val="0"/>
                  <w:vAlign w:val="center"/>
                </w:tcPr>
                <w:p w14:paraId="16A4A6C4">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528.2398</w:t>
                  </w:r>
                </w:p>
              </w:tc>
              <w:tc>
                <w:tcPr>
                  <w:tcW w:w="1041" w:type="dxa"/>
                  <w:shd w:val="clear" w:color="auto" w:fill="auto"/>
                  <w:noWrap w:val="0"/>
                  <w:vAlign w:val="center"/>
                </w:tcPr>
                <w:p w14:paraId="4517B654">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default" w:ascii="Times New Roman" w:hAnsi="Times New Roman" w:eastAsia="宋体" w:cs="Times New Roman"/>
                      <w:sz w:val="21"/>
                      <w:szCs w:val="21"/>
                      <w:lang w:val="en-US" w:eastAsia="zh-CN"/>
                    </w:rPr>
                    <w:t>261.6843</w:t>
                  </w:r>
                </w:p>
              </w:tc>
              <w:tc>
                <w:tcPr>
                  <w:tcW w:w="1252" w:type="dxa"/>
                  <w:shd w:val="clear" w:color="auto" w:fill="auto"/>
                  <w:noWrap w:val="0"/>
                  <w:vAlign w:val="center"/>
                </w:tcPr>
                <w:p w14:paraId="44F68E83">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528.2398</w:t>
                  </w:r>
                </w:p>
              </w:tc>
              <w:tc>
                <w:tcPr>
                  <w:tcW w:w="1425" w:type="dxa"/>
                  <w:gridSpan w:val="2"/>
                  <w:noWrap w:val="0"/>
                  <w:vAlign w:val="center"/>
                </w:tcPr>
                <w:p w14:paraId="1CF05C4F">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w:t>
                  </w:r>
                  <w:r>
                    <w:rPr>
                      <w:rFonts w:hint="eastAsia" w:ascii="Times New Roman" w:hAnsi="Times New Roman" w:eastAsia="宋体" w:cs="Times New Roman"/>
                      <w:kern w:val="2"/>
                      <w:sz w:val="21"/>
                      <w:szCs w:val="21"/>
                      <w:lang w:val="en-US" w:eastAsia="zh-CN" w:bidi="bo-CN"/>
                    </w:rPr>
                    <w:t>267.5555</w:t>
                  </w:r>
                </w:p>
              </w:tc>
            </w:tr>
            <w:tr w14:paraId="3A2464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00" w:type="dxa"/>
                  <w:vMerge w:val="continue"/>
                  <w:noWrap w:val="0"/>
                  <w:vAlign w:val="center"/>
                </w:tcPr>
                <w:p w14:paraId="292B7B9E">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1560" w:type="dxa"/>
                  <w:shd w:val="clear" w:color="auto" w:fill="auto"/>
                  <w:noWrap w:val="0"/>
                  <w:vAlign w:val="center"/>
                </w:tcPr>
                <w:p w14:paraId="1430767A">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车间内沉降粉尘</w:t>
                  </w:r>
                </w:p>
              </w:tc>
              <w:tc>
                <w:tcPr>
                  <w:tcW w:w="1281" w:type="dxa"/>
                  <w:noWrap w:val="0"/>
                  <w:vAlign w:val="center"/>
                </w:tcPr>
                <w:p w14:paraId="324DB7B4">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13.6762</w:t>
                  </w:r>
                </w:p>
              </w:tc>
              <w:tc>
                <w:tcPr>
                  <w:tcW w:w="1059" w:type="dxa"/>
                  <w:shd w:val="clear" w:color="auto" w:fill="auto"/>
                  <w:noWrap w:val="0"/>
                  <w:vAlign w:val="center"/>
                </w:tcPr>
                <w:p w14:paraId="1A7F9E8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35.1151</w:t>
                  </w:r>
                </w:p>
              </w:tc>
              <w:tc>
                <w:tcPr>
                  <w:tcW w:w="1041" w:type="dxa"/>
                  <w:shd w:val="clear" w:color="auto" w:fill="auto"/>
                  <w:noWrap w:val="0"/>
                  <w:vAlign w:val="center"/>
                </w:tcPr>
                <w:p w14:paraId="1D5AD40D">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default" w:ascii="Times New Roman" w:hAnsi="Times New Roman" w:eastAsia="宋体" w:cs="Times New Roman"/>
                      <w:sz w:val="21"/>
                      <w:szCs w:val="21"/>
                      <w:lang w:val="en-US" w:eastAsia="zh-CN"/>
                    </w:rPr>
                    <w:t>13.6762</w:t>
                  </w:r>
                </w:p>
              </w:tc>
              <w:tc>
                <w:tcPr>
                  <w:tcW w:w="1252" w:type="dxa"/>
                  <w:shd w:val="clear" w:color="auto" w:fill="auto"/>
                  <w:noWrap w:val="0"/>
                  <w:vAlign w:val="center"/>
                </w:tcPr>
                <w:p w14:paraId="75E3C44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35.1151</w:t>
                  </w:r>
                </w:p>
              </w:tc>
              <w:tc>
                <w:tcPr>
                  <w:tcW w:w="1425" w:type="dxa"/>
                  <w:gridSpan w:val="2"/>
                  <w:noWrap w:val="0"/>
                  <w:vAlign w:val="center"/>
                </w:tcPr>
                <w:p w14:paraId="19DE0EF2">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+21.4389</w:t>
                  </w:r>
                </w:p>
              </w:tc>
            </w:tr>
            <w:tr w14:paraId="37674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dxa"/>
                  <w:vMerge w:val="continue"/>
                  <w:noWrap w:val="0"/>
                  <w:vAlign w:val="center"/>
                </w:tcPr>
                <w:p w14:paraId="647E7B1C">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1560" w:type="dxa"/>
                  <w:shd w:val="clear" w:color="auto" w:fill="auto"/>
                  <w:noWrap w:val="0"/>
                  <w:vAlign w:val="center"/>
                </w:tcPr>
                <w:p w14:paraId="0938E85A">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废布袋</w:t>
                  </w:r>
                </w:p>
              </w:tc>
              <w:tc>
                <w:tcPr>
                  <w:tcW w:w="1281" w:type="dxa"/>
                  <w:noWrap w:val="0"/>
                  <w:vAlign w:val="center"/>
                </w:tcPr>
                <w:p w14:paraId="7E0C5644">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0.2</w:t>
                  </w:r>
                </w:p>
              </w:tc>
              <w:tc>
                <w:tcPr>
                  <w:tcW w:w="1059" w:type="dxa"/>
                  <w:shd w:val="clear" w:color="auto" w:fill="auto"/>
                  <w:noWrap w:val="0"/>
                  <w:vAlign w:val="center"/>
                </w:tcPr>
                <w:p w14:paraId="79DFD714">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0.8</w:t>
                  </w:r>
                </w:p>
              </w:tc>
              <w:tc>
                <w:tcPr>
                  <w:tcW w:w="1041" w:type="dxa"/>
                  <w:shd w:val="clear" w:color="auto" w:fill="auto"/>
                  <w:noWrap w:val="0"/>
                  <w:vAlign w:val="center"/>
                </w:tcPr>
                <w:p w14:paraId="23FF2469">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sz w:val="21"/>
                      <w:szCs w:val="21"/>
                      <w:lang w:val="en-US" w:eastAsia="zh-CN"/>
                    </w:rPr>
                    <w:t>0.2</w:t>
                  </w:r>
                </w:p>
              </w:tc>
              <w:tc>
                <w:tcPr>
                  <w:tcW w:w="1252" w:type="dxa"/>
                  <w:shd w:val="clear" w:color="auto" w:fill="auto"/>
                  <w:noWrap w:val="0"/>
                  <w:vAlign w:val="center"/>
                </w:tcPr>
                <w:p w14:paraId="3E48280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0.8</w:t>
                  </w:r>
                </w:p>
              </w:tc>
              <w:tc>
                <w:tcPr>
                  <w:tcW w:w="1425" w:type="dxa"/>
                  <w:gridSpan w:val="2"/>
                  <w:noWrap w:val="0"/>
                  <w:vAlign w:val="center"/>
                </w:tcPr>
                <w:p w14:paraId="5B8D267A">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+0.6</w:t>
                  </w:r>
                </w:p>
              </w:tc>
            </w:tr>
            <w:tr w14:paraId="00236F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dxa"/>
                  <w:vMerge w:val="continue"/>
                  <w:noWrap w:val="0"/>
                  <w:vAlign w:val="center"/>
                </w:tcPr>
                <w:p w14:paraId="02B9EA30">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1560" w:type="dxa"/>
                  <w:shd w:val="clear" w:color="auto" w:fill="auto"/>
                  <w:noWrap w:val="0"/>
                  <w:vAlign w:val="center"/>
                </w:tcPr>
                <w:p w14:paraId="5E1E8BD9">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废导热油</w:t>
                  </w:r>
                </w:p>
              </w:tc>
              <w:tc>
                <w:tcPr>
                  <w:tcW w:w="1281" w:type="dxa"/>
                  <w:noWrap w:val="0"/>
                  <w:vAlign w:val="center"/>
                </w:tcPr>
                <w:p w14:paraId="31E71DC5">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vertAlign w:val="baseline"/>
                      <w:lang w:eastAsia="zh-CN"/>
                    </w:rPr>
                    <w:t>5t/</w:t>
                  </w:r>
                  <w:r>
                    <w:rPr>
                      <w:rFonts w:hint="eastAsia" w:ascii="Times New Roman" w:hAnsi="Times New Roman" w:eastAsia="宋体" w:cs="Times New Roman"/>
                      <w:sz w:val="21"/>
                      <w:szCs w:val="21"/>
                      <w:highlight w:val="none"/>
                      <w:vertAlign w:val="baseline"/>
                      <w:lang w:val="en-US" w:eastAsia="zh-CN"/>
                    </w:rPr>
                    <w:t>3</w:t>
                  </w:r>
                  <w:r>
                    <w:rPr>
                      <w:rFonts w:hint="default" w:ascii="Times New Roman" w:hAnsi="Times New Roman" w:eastAsia="宋体" w:cs="Times New Roman"/>
                      <w:sz w:val="21"/>
                      <w:szCs w:val="21"/>
                      <w:highlight w:val="none"/>
                      <w:vertAlign w:val="baseline"/>
                      <w:lang w:eastAsia="zh-CN"/>
                    </w:rPr>
                    <w:t>a</w:t>
                  </w:r>
                </w:p>
              </w:tc>
              <w:tc>
                <w:tcPr>
                  <w:tcW w:w="1059" w:type="dxa"/>
                  <w:shd w:val="clear" w:color="auto" w:fill="auto"/>
                  <w:noWrap w:val="0"/>
                  <w:vAlign w:val="center"/>
                </w:tcPr>
                <w:p w14:paraId="3ADD24E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5t/</w:t>
                  </w:r>
                  <w:r>
                    <w:rPr>
                      <w:rFonts w:hint="eastAsia" w:ascii="Times New Roman" w:hAnsi="Times New Roman" w:eastAsia="宋体" w:cs="Times New Roman"/>
                      <w:sz w:val="21"/>
                      <w:szCs w:val="21"/>
                      <w:highlight w:val="none"/>
                      <w:vertAlign w:val="baseline"/>
                      <w:lang w:val="en-US" w:eastAsia="zh-CN"/>
                    </w:rPr>
                    <w:t>3</w:t>
                  </w:r>
                  <w:r>
                    <w:rPr>
                      <w:rFonts w:hint="default" w:ascii="Times New Roman" w:hAnsi="Times New Roman" w:eastAsia="宋体" w:cs="Times New Roman"/>
                      <w:sz w:val="21"/>
                      <w:szCs w:val="21"/>
                      <w:highlight w:val="none"/>
                      <w:vertAlign w:val="baseline"/>
                      <w:lang w:eastAsia="zh-CN"/>
                    </w:rPr>
                    <w:t>a</w:t>
                  </w:r>
                </w:p>
              </w:tc>
              <w:tc>
                <w:tcPr>
                  <w:tcW w:w="1041" w:type="dxa"/>
                  <w:shd w:val="clear" w:color="auto" w:fill="auto"/>
                  <w:noWrap w:val="0"/>
                  <w:vAlign w:val="center"/>
                </w:tcPr>
                <w:p w14:paraId="296285FF">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default" w:ascii="Times New Roman" w:hAnsi="Times New Roman" w:eastAsia="宋体" w:cs="Times New Roman"/>
                      <w:sz w:val="21"/>
                      <w:szCs w:val="21"/>
                      <w:highlight w:val="none"/>
                      <w:vertAlign w:val="baseline"/>
                      <w:lang w:eastAsia="zh-CN"/>
                    </w:rPr>
                    <w:t>5t/</w:t>
                  </w:r>
                  <w:r>
                    <w:rPr>
                      <w:rFonts w:hint="eastAsia" w:ascii="Times New Roman" w:hAnsi="Times New Roman" w:eastAsia="宋体" w:cs="Times New Roman"/>
                      <w:sz w:val="21"/>
                      <w:szCs w:val="21"/>
                      <w:highlight w:val="none"/>
                      <w:vertAlign w:val="baseline"/>
                      <w:lang w:val="en-US" w:eastAsia="zh-CN"/>
                    </w:rPr>
                    <w:t>3</w:t>
                  </w:r>
                  <w:r>
                    <w:rPr>
                      <w:rFonts w:hint="default" w:ascii="Times New Roman" w:hAnsi="Times New Roman" w:eastAsia="宋体" w:cs="Times New Roman"/>
                      <w:sz w:val="21"/>
                      <w:szCs w:val="21"/>
                      <w:highlight w:val="none"/>
                      <w:vertAlign w:val="baseline"/>
                      <w:lang w:eastAsia="zh-CN"/>
                    </w:rPr>
                    <w:t>a</w:t>
                  </w:r>
                </w:p>
              </w:tc>
              <w:tc>
                <w:tcPr>
                  <w:tcW w:w="1252" w:type="dxa"/>
                  <w:shd w:val="clear" w:color="auto" w:fill="auto"/>
                  <w:noWrap w:val="0"/>
                  <w:vAlign w:val="center"/>
                </w:tcPr>
                <w:p w14:paraId="4704BC2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5t/</w:t>
                  </w:r>
                  <w:r>
                    <w:rPr>
                      <w:rFonts w:hint="eastAsia" w:ascii="Times New Roman" w:hAnsi="Times New Roman" w:eastAsia="宋体" w:cs="Times New Roman"/>
                      <w:sz w:val="21"/>
                      <w:szCs w:val="21"/>
                      <w:highlight w:val="none"/>
                      <w:vertAlign w:val="baseline"/>
                      <w:lang w:val="en-US" w:eastAsia="zh-CN"/>
                    </w:rPr>
                    <w:t>3</w:t>
                  </w:r>
                  <w:r>
                    <w:rPr>
                      <w:rFonts w:hint="default" w:ascii="Times New Roman" w:hAnsi="Times New Roman" w:eastAsia="宋体" w:cs="Times New Roman"/>
                      <w:sz w:val="21"/>
                      <w:szCs w:val="21"/>
                      <w:highlight w:val="none"/>
                      <w:vertAlign w:val="baseline"/>
                      <w:lang w:eastAsia="zh-CN"/>
                    </w:rPr>
                    <w:t>a</w:t>
                  </w:r>
                </w:p>
              </w:tc>
              <w:tc>
                <w:tcPr>
                  <w:tcW w:w="1425" w:type="dxa"/>
                  <w:gridSpan w:val="2"/>
                  <w:noWrap w:val="0"/>
                  <w:vAlign w:val="center"/>
                </w:tcPr>
                <w:p w14:paraId="32EBBED3">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+0</w:t>
                  </w:r>
                </w:p>
              </w:tc>
            </w:tr>
            <w:tr w14:paraId="2E742C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00" w:type="dxa"/>
                  <w:vMerge w:val="continue"/>
                  <w:noWrap w:val="0"/>
                  <w:vAlign w:val="center"/>
                </w:tcPr>
                <w:p w14:paraId="7F927CC3">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1560" w:type="dxa"/>
                  <w:shd w:val="clear" w:color="auto" w:fill="auto"/>
                  <w:noWrap w:val="0"/>
                  <w:vAlign w:val="center"/>
                </w:tcPr>
                <w:p w14:paraId="0B0F226D">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废活性炭</w:t>
                  </w:r>
                </w:p>
              </w:tc>
              <w:tc>
                <w:tcPr>
                  <w:tcW w:w="1281" w:type="dxa"/>
                  <w:noWrap w:val="0"/>
                  <w:vAlign w:val="center"/>
                </w:tcPr>
                <w:p w14:paraId="3259EB70">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w:t>
                  </w:r>
                </w:p>
              </w:tc>
              <w:tc>
                <w:tcPr>
                  <w:tcW w:w="1059" w:type="dxa"/>
                  <w:shd w:val="clear" w:color="auto" w:fill="auto"/>
                  <w:noWrap w:val="0"/>
                  <w:vAlign w:val="center"/>
                </w:tcPr>
                <w:p w14:paraId="444B31EA">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2</w:t>
                  </w:r>
                </w:p>
              </w:tc>
              <w:tc>
                <w:tcPr>
                  <w:tcW w:w="1041" w:type="dxa"/>
                  <w:shd w:val="clear" w:color="auto" w:fill="auto"/>
                  <w:noWrap w:val="0"/>
                  <w:vAlign w:val="center"/>
                </w:tcPr>
                <w:p w14:paraId="604C8078">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sz w:val="21"/>
                      <w:szCs w:val="21"/>
                      <w:lang w:val="en-US" w:eastAsia="zh-CN"/>
                    </w:rPr>
                    <w:t>0</w:t>
                  </w:r>
                </w:p>
              </w:tc>
              <w:tc>
                <w:tcPr>
                  <w:tcW w:w="1252" w:type="dxa"/>
                  <w:shd w:val="clear" w:color="auto" w:fill="auto"/>
                  <w:noWrap w:val="0"/>
                  <w:vAlign w:val="center"/>
                </w:tcPr>
                <w:p w14:paraId="3B2EC328">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2</w:t>
                  </w:r>
                </w:p>
              </w:tc>
              <w:tc>
                <w:tcPr>
                  <w:tcW w:w="1425" w:type="dxa"/>
                  <w:gridSpan w:val="2"/>
                  <w:noWrap w:val="0"/>
                  <w:vAlign w:val="center"/>
                </w:tcPr>
                <w:p w14:paraId="4825BCF4">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+2</w:t>
                  </w:r>
                </w:p>
              </w:tc>
            </w:tr>
            <w:tr w14:paraId="341A06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00" w:type="dxa"/>
                  <w:vMerge w:val="continue"/>
                  <w:noWrap w:val="0"/>
                  <w:vAlign w:val="center"/>
                </w:tcPr>
                <w:p w14:paraId="22BD3C02">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1560" w:type="dxa"/>
                  <w:shd w:val="clear" w:color="auto" w:fill="auto"/>
                  <w:noWrap w:val="0"/>
                  <w:vAlign w:val="center"/>
                </w:tcPr>
                <w:p w14:paraId="2D4E68B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废过滤棉</w:t>
                  </w:r>
                </w:p>
              </w:tc>
              <w:tc>
                <w:tcPr>
                  <w:tcW w:w="1281" w:type="dxa"/>
                  <w:noWrap w:val="0"/>
                  <w:vAlign w:val="center"/>
                </w:tcPr>
                <w:p w14:paraId="5C63DCA6">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0</w:t>
                  </w:r>
                </w:p>
              </w:tc>
              <w:tc>
                <w:tcPr>
                  <w:tcW w:w="1059" w:type="dxa"/>
                  <w:shd w:val="clear" w:color="auto" w:fill="auto"/>
                  <w:noWrap w:val="0"/>
                  <w:vAlign w:val="center"/>
                </w:tcPr>
                <w:p w14:paraId="1D830D1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0.01</w:t>
                  </w:r>
                </w:p>
              </w:tc>
              <w:tc>
                <w:tcPr>
                  <w:tcW w:w="1041" w:type="dxa"/>
                  <w:shd w:val="clear" w:color="auto" w:fill="auto"/>
                  <w:noWrap w:val="0"/>
                  <w:vAlign w:val="center"/>
                </w:tcPr>
                <w:p w14:paraId="65EC72DC">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0</w:t>
                  </w:r>
                </w:p>
              </w:tc>
              <w:tc>
                <w:tcPr>
                  <w:tcW w:w="1252" w:type="dxa"/>
                  <w:shd w:val="clear" w:color="auto" w:fill="auto"/>
                  <w:noWrap w:val="0"/>
                  <w:vAlign w:val="center"/>
                </w:tcPr>
                <w:p w14:paraId="721CC2F3">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0.01</w:t>
                  </w:r>
                </w:p>
              </w:tc>
              <w:tc>
                <w:tcPr>
                  <w:tcW w:w="1425" w:type="dxa"/>
                  <w:gridSpan w:val="2"/>
                  <w:noWrap w:val="0"/>
                  <w:vAlign w:val="center"/>
                </w:tcPr>
                <w:p w14:paraId="60686381">
                  <w:pPr>
                    <w:keepNext/>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+0.01</w:t>
                  </w:r>
                </w:p>
              </w:tc>
            </w:tr>
            <w:tr w14:paraId="2F5367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dxa"/>
                  <w:vMerge w:val="continue"/>
                  <w:noWrap w:val="0"/>
                  <w:vAlign w:val="center"/>
                </w:tcPr>
                <w:p w14:paraId="0DD2549C">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1560" w:type="dxa"/>
                  <w:shd w:val="clear" w:color="auto" w:fill="auto"/>
                  <w:noWrap w:val="0"/>
                  <w:vAlign w:val="center"/>
                </w:tcPr>
                <w:p w14:paraId="44FA2289">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废润滑油</w:t>
                  </w:r>
                </w:p>
              </w:tc>
              <w:tc>
                <w:tcPr>
                  <w:tcW w:w="1281" w:type="dxa"/>
                  <w:noWrap w:val="0"/>
                  <w:vAlign w:val="center"/>
                </w:tcPr>
                <w:p w14:paraId="2DB7B928">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0.25</w:t>
                  </w:r>
                </w:p>
              </w:tc>
              <w:tc>
                <w:tcPr>
                  <w:tcW w:w="1059" w:type="dxa"/>
                  <w:shd w:val="clear" w:color="auto" w:fill="auto"/>
                  <w:noWrap w:val="0"/>
                  <w:vAlign w:val="center"/>
                </w:tcPr>
                <w:p w14:paraId="6FD90DC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0.5</w:t>
                  </w:r>
                </w:p>
              </w:tc>
              <w:tc>
                <w:tcPr>
                  <w:tcW w:w="1041" w:type="dxa"/>
                  <w:shd w:val="clear" w:color="auto" w:fill="auto"/>
                  <w:noWrap w:val="0"/>
                  <w:vAlign w:val="center"/>
                </w:tcPr>
                <w:p w14:paraId="4F39E969">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0.25</w:t>
                  </w:r>
                </w:p>
              </w:tc>
              <w:tc>
                <w:tcPr>
                  <w:tcW w:w="1252" w:type="dxa"/>
                  <w:shd w:val="clear" w:color="auto" w:fill="auto"/>
                  <w:noWrap w:val="0"/>
                  <w:vAlign w:val="center"/>
                </w:tcPr>
                <w:p w14:paraId="7F556A73">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0.5</w:t>
                  </w:r>
                </w:p>
              </w:tc>
              <w:tc>
                <w:tcPr>
                  <w:tcW w:w="1425" w:type="dxa"/>
                  <w:gridSpan w:val="2"/>
                  <w:noWrap w:val="0"/>
                  <w:vAlign w:val="center"/>
                </w:tcPr>
                <w:p w14:paraId="59CF839A">
                  <w:pPr>
                    <w:keepNext/>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+0.25</w:t>
                  </w:r>
                </w:p>
              </w:tc>
            </w:tr>
            <w:tr w14:paraId="255B54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dxa"/>
                  <w:vMerge w:val="continue"/>
                  <w:noWrap w:val="0"/>
                  <w:vAlign w:val="center"/>
                </w:tcPr>
                <w:p w14:paraId="4E61CA99">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1560" w:type="dxa"/>
                  <w:shd w:val="clear" w:color="auto" w:fill="auto"/>
                  <w:noWrap w:val="0"/>
                  <w:vAlign w:val="center"/>
                </w:tcPr>
                <w:p w14:paraId="7015F1C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含油抹布手套</w:t>
                  </w:r>
                </w:p>
              </w:tc>
              <w:tc>
                <w:tcPr>
                  <w:tcW w:w="1281" w:type="dxa"/>
                  <w:noWrap w:val="0"/>
                  <w:vAlign w:val="center"/>
                </w:tcPr>
                <w:p w14:paraId="52F1817A">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0.005</w:t>
                  </w:r>
                </w:p>
              </w:tc>
              <w:tc>
                <w:tcPr>
                  <w:tcW w:w="1059" w:type="dxa"/>
                  <w:shd w:val="clear" w:color="auto" w:fill="auto"/>
                  <w:noWrap w:val="0"/>
                  <w:vAlign w:val="center"/>
                </w:tcPr>
                <w:p w14:paraId="7EBC884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0.01</w:t>
                  </w:r>
                </w:p>
              </w:tc>
              <w:tc>
                <w:tcPr>
                  <w:tcW w:w="1041" w:type="dxa"/>
                  <w:shd w:val="clear" w:color="auto" w:fill="auto"/>
                  <w:noWrap w:val="0"/>
                  <w:vAlign w:val="center"/>
                </w:tcPr>
                <w:p w14:paraId="152F91C2">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0.005</w:t>
                  </w:r>
                </w:p>
              </w:tc>
              <w:tc>
                <w:tcPr>
                  <w:tcW w:w="1252" w:type="dxa"/>
                  <w:shd w:val="clear" w:color="auto" w:fill="auto"/>
                  <w:noWrap w:val="0"/>
                  <w:vAlign w:val="center"/>
                </w:tcPr>
                <w:p w14:paraId="7821F50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0.01</w:t>
                  </w:r>
                </w:p>
              </w:tc>
              <w:tc>
                <w:tcPr>
                  <w:tcW w:w="1425" w:type="dxa"/>
                  <w:gridSpan w:val="2"/>
                  <w:noWrap w:val="0"/>
                  <w:vAlign w:val="center"/>
                </w:tcPr>
                <w:p w14:paraId="51029F48">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+0.005</w:t>
                  </w:r>
                </w:p>
              </w:tc>
            </w:tr>
            <w:tr w14:paraId="682C67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dxa"/>
                  <w:vMerge w:val="continue"/>
                  <w:noWrap w:val="0"/>
                  <w:vAlign w:val="center"/>
                </w:tcPr>
                <w:p w14:paraId="5283161C">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1560" w:type="dxa"/>
                  <w:shd w:val="clear" w:color="auto" w:fill="auto"/>
                  <w:noWrap w:val="0"/>
                  <w:vAlign w:val="center"/>
                </w:tcPr>
                <w:p w14:paraId="32C0205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废润滑油桶</w:t>
                  </w:r>
                </w:p>
              </w:tc>
              <w:tc>
                <w:tcPr>
                  <w:tcW w:w="1281" w:type="dxa"/>
                  <w:noWrap w:val="0"/>
                  <w:vAlign w:val="center"/>
                </w:tcPr>
                <w:p w14:paraId="0904D31D">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0.025</w:t>
                  </w:r>
                </w:p>
              </w:tc>
              <w:tc>
                <w:tcPr>
                  <w:tcW w:w="1059" w:type="dxa"/>
                  <w:shd w:val="clear" w:color="auto" w:fill="auto"/>
                  <w:noWrap w:val="0"/>
                  <w:vAlign w:val="center"/>
                </w:tcPr>
                <w:p w14:paraId="0D4AEEB3">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0.05</w:t>
                  </w:r>
                </w:p>
              </w:tc>
              <w:tc>
                <w:tcPr>
                  <w:tcW w:w="1041" w:type="dxa"/>
                  <w:shd w:val="clear" w:color="auto" w:fill="auto"/>
                  <w:noWrap w:val="0"/>
                  <w:vAlign w:val="center"/>
                </w:tcPr>
                <w:p w14:paraId="4846E5F0">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0.025</w:t>
                  </w:r>
                </w:p>
              </w:tc>
              <w:tc>
                <w:tcPr>
                  <w:tcW w:w="1252" w:type="dxa"/>
                  <w:shd w:val="clear" w:color="auto" w:fill="auto"/>
                  <w:noWrap w:val="0"/>
                  <w:vAlign w:val="center"/>
                </w:tcPr>
                <w:p w14:paraId="32724749">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0.05</w:t>
                  </w:r>
                </w:p>
              </w:tc>
              <w:tc>
                <w:tcPr>
                  <w:tcW w:w="1425" w:type="dxa"/>
                  <w:gridSpan w:val="2"/>
                  <w:noWrap w:val="0"/>
                  <w:vAlign w:val="center"/>
                </w:tcPr>
                <w:p w14:paraId="342E7CDA">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+0.025</w:t>
                  </w:r>
                </w:p>
              </w:tc>
            </w:tr>
            <w:tr w14:paraId="16ACFF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dxa"/>
                  <w:vMerge w:val="continue"/>
                  <w:noWrap w:val="0"/>
                  <w:vAlign w:val="center"/>
                </w:tcPr>
                <w:p w14:paraId="2981DBB6">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1560" w:type="dxa"/>
                  <w:shd w:val="clear" w:color="auto" w:fill="auto"/>
                  <w:noWrap w:val="0"/>
                  <w:vAlign w:val="center"/>
                </w:tcPr>
                <w:p w14:paraId="482D899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废包装桶</w:t>
                  </w:r>
                </w:p>
              </w:tc>
              <w:tc>
                <w:tcPr>
                  <w:tcW w:w="1281" w:type="dxa"/>
                  <w:noWrap w:val="0"/>
                  <w:vAlign w:val="center"/>
                </w:tcPr>
                <w:p w14:paraId="4206BA36">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w:t>
                  </w:r>
                </w:p>
              </w:tc>
              <w:tc>
                <w:tcPr>
                  <w:tcW w:w="1059" w:type="dxa"/>
                  <w:shd w:val="clear" w:color="auto" w:fill="auto"/>
                  <w:noWrap w:val="0"/>
                  <w:vAlign w:val="center"/>
                </w:tcPr>
                <w:p w14:paraId="40A231B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7.5</w:t>
                  </w:r>
                </w:p>
              </w:tc>
              <w:tc>
                <w:tcPr>
                  <w:tcW w:w="1041" w:type="dxa"/>
                  <w:shd w:val="clear" w:color="auto" w:fill="auto"/>
                  <w:noWrap w:val="0"/>
                  <w:vAlign w:val="center"/>
                </w:tcPr>
                <w:p w14:paraId="3DD90070">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sz w:val="21"/>
                      <w:szCs w:val="21"/>
                      <w:lang w:val="en-US" w:eastAsia="zh-CN"/>
                    </w:rPr>
                    <w:t>0</w:t>
                  </w:r>
                </w:p>
              </w:tc>
              <w:tc>
                <w:tcPr>
                  <w:tcW w:w="1252" w:type="dxa"/>
                  <w:shd w:val="clear" w:color="auto" w:fill="auto"/>
                  <w:noWrap w:val="0"/>
                  <w:vAlign w:val="center"/>
                </w:tcPr>
                <w:p w14:paraId="78CADB1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7.5</w:t>
                  </w:r>
                </w:p>
              </w:tc>
              <w:tc>
                <w:tcPr>
                  <w:tcW w:w="1425" w:type="dxa"/>
                  <w:gridSpan w:val="2"/>
                  <w:noWrap w:val="0"/>
                  <w:vAlign w:val="center"/>
                </w:tcPr>
                <w:p w14:paraId="2F6530EE">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+7.5</w:t>
                  </w:r>
                </w:p>
              </w:tc>
            </w:tr>
            <w:tr w14:paraId="72033A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dxa"/>
                  <w:vMerge w:val="continue"/>
                  <w:noWrap w:val="0"/>
                  <w:vAlign w:val="center"/>
                </w:tcPr>
                <w:p w14:paraId="1A8B1F09">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rPr>
                  </w:pPr>
                </w:p>
              </w:tc>
              <w:tc>
                <w:tcPr>
                  <w:tcW w:w="1560" w:type="dxa"/>
                  <w:shd w:val="clear" w:color="auto" w:fill="auto"/>
                  <w:noWrap w:val="0"/>
                  <w:vAlign w:val="center"/>
                </w:tcPr>
                <w:p w14:paraId="616B230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隔油池油污</w:t>
                  </w:r>
                </w:p>
              </w:tc>
              <w:tc>
                <w:tcPr>
                  <w:tcW w:w="1281" w:type="dxa"/>
                  <w:noWrap w:val="0"/>
                  <w:vAlign w:val="center"/>
                </w:tcPr>
                <w:p w14:paraId="28D40BC6">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0</w:t>
                  </w:r>
                </w:p>
              </w:tc>
              <w:tc>
                <w:tcPr>
                  <w:tcW w:w="1059" w:type="dxa"/>
                  <w:shd w:val="clear" w:color="auto" w:fill="auto"/>
                  <w:noWrap w:val="0"/>
                  <w:vAlign w:val="center"/>
                </w:tcPr>
                <w:p w14:paraId="353EC65D">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0.05</w:t>
                  </w:r>
                </w:p>
              </w:tc>
              <w:tc>
                <w:tcPr>
                  <w:tcW w:w="1041" w:type="dxa"/>
                  <w:noWrap w:val="0"/>
                  <w:vAlign w:val="center"/>
                </w:tcPr>
                <w:p w14:paraId="43547F16">
                  <w:pPr>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w:t>
                  </w:r>
                </w:p>
              </w:tc>
              <w:tc>
                <w:tcPr>
                  <w:tcW w:w="1252" w:type="dxa"/>
                  <w:shd w:val="clear" w:color="auto" w:fill="auto"/>
                  <w:noWrap w:val="0"/>
                  <w:vAlign w:val="center"/>
                </w:tcPr>
                <w:p w14:paraId="3A05F56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0.05</w:t>
                  </w:r>
                </w:p>
              </w:tc>
              <w:tc>
                <w:tcPr>
                  <w:tcW w:w="1425" w:type="dxa"/>
                  <w:gridSpan w:val="2"/>
                  <w:noWrap w:val="0"/>
                  <w:vAlign w:val="center"/>
                </w:tcPr>
                <w:p w14:paraId="5EABA984">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+0.05</w:t>
                  </w:r>
                </w:p>
              </w:tc>
            </w:tr>
          </w:tbl>
          <w:p w14:paraId="1A1E1B49">
            <w:pPr>
              <w:autoSpaceDE w:val="0"/>
              <w:autoSpaceDN w:val="0"/>
              <w:spacing w:line="240" w:lineRule="auto"/>
              <w:ind w:firstLine="420" w:firstLineChars="200"/>
              <w:jc w:val="center"/>
              <w:rPr>
                <w:rFonts w:hint="eastAsia"/>
                <w:b w:val="0"/>
                <w:bCs/>
                <w:sz w:val="21"/>
                <w:szCs w:val="21"/>
                <w:lang w:val="en-US" w:eastAsia="zh-CN"/>
              </w:rPr>
            </w:pPr>
          </w:p>
          <w:p w14:paraId="31D68F2E">
            <w:pPr>
              <w:autoSpaceDE w:val="0"/>
              <w:autoSpaceDN w:val="0"/>
              <w:spacing w:line="360" w:lineRule="auto"/>
              <w:ind w:firstLine="482" w:firstLineChars="200"/>
              <w:rPr>
                <w:b/>
                <w:sz w:val="24"/>
              </w:rPr>
            </w:pPr>
            <w:r>
              <w:rPr>
                <w:rFonts w:hint="eastAsia"/>
                <w:b/>
                <w:sz w:val="24"/>
                <w:lang w:val="en-US" w:eastAsia="zh-CN"/>
              </w:rPr>
              <w:t>6、</w:t>
            </w:r>
            <w:r>
              <w:rPr>
                <w:b/>
                <w:sz w:val="24"/>
              </w:rPr>
              <w:t>地下水保护及防渗措施</w:t>
            </w:r>
          </w:p>
          <w:p w14:paraId="4EB658BB">
            <w:pPr>
              <w:spacing w:line="360" w:lineRule="auto"/>
              <w:ind w:firstLine="472" w:firstLineChars="196"/>
              <w:rPr>
                <w:bCs/>
                <w:sz w:val="24"/>
              </w:rPr>
            </w:pPr>
            <w:r>
              <w:rPr>
                <w:rFonts w:hint="eastAsia"/>
                <w:b/>
                <w:sz w:val="24"/>
                <w:lang w:val="en-US" w:eastAsia="zh-CN"/>
              </w:rPr>
              <w:t>6.1</w:t>
            </w:r>
            <w:r>
              <w:rPr>
                <w:b/>
                <w:sz w:val="24"/>
              </w:rPr>
              <w:t>防止地下水污染控制措施的原则</w:t>
            </w:r>
          </w:p>
          <w:p w14:paraId="647A32A0">
            <w:pPr>
              <w:spacing w:line="360" w:lineRule="auto"/>
              <w:ind w:firstLine="480" w:firstLineChars="200"/>
              <w:rPr>
                <w:bCs/>
                <w:sz w:val="24"/>
              </w:rPr>
            </w:pPr>
            <w:r>
              <w:rPr>
                <w:bCs/>
                <w:sz w:val="24"/>
              </w:rPr>
              <w:t>为防止项目建设对地下水环境造成污染，建设单位应坚持“源头控制、分区防控、污染监管、应急响应”的原则，即采取主动控制和被动控制相结合的措施。</w:t>
            </w:r>
          </w:p>
          <w:p w14:paraId="489DA5E4">
            <w:pPr>
              <w:spacing w:line="360" w:lineRule="auto"/>
              <w:ind w:firstLine="470" w:firstLineChars="196"/>
              <w:rPr>
                <w:bCs/>
                <w:sz w:val="24"/>
              </w:rPr>
            </w:pPr>
            <w:r>
              <w:rPr>
                <w:bCs/>
                <w:sz w:val="24"/>
              </w:rPr>
              <w:t>①主动控制即从源头控制措施，主要包括在工艺、管道、设备、污水储存及处理构筑物采取相应措施，防止和降低污染物跑、冒、滴、漏，将污染物泄漏的环境风险事故降到最低程度。</w:t>
            </w:r>
          </w:p>
          <w:p w14:paraId="01664A12">
            <w:pPr>
              <w:spacing w:line="360" w:lineRule="auto"/>
              <w:ind w:firstLine="470" w:firstLineChars="196"/>
              <w:rPr>
                <w:bCs/>
                <w:sz w:val="24"/>
              </w:rPr>
            </w:pPr>
            <w:r>
              <w:rPr>
                <w:bCs/>
                <w:sz w:val="24"/>
              </w:rPr>
              <w:t>②被动控制即末端控制措施，主要包括厂内污染区地面的防渗措施和泄漏、渗漏污染物收集措施，即在污染区地面进行防渗处理，防止洒落地面的污染物渗入地下。</w:t>
            </w:r>
          </w:p>
          <w:p w14:paraId="175EC188">
            <w:pPr>
              <w:spacing w:line="360" w:lineRule="auto"/>
              <w:ind w:firstLine="470" w:firstLineChars="196"/>
              <w:rPr>
                <w:bCs/>
                <w:sz w:val="24"/>
              </w:rPr>
            </w:pPr>
            <w:r>
              <w:rPr>
                <w:bCs/>
                <w:sz w:val="24"/>
              </w:rPr>
              <w:t>③以重点装置区为主，一般生产区为辅；事故易发区为主，一般区为辅。</w:t>
            </w:r>
          </w:p>
          <w:p w14:paraId="3A56D257">
            <w:pPr>
              <w:spacing w:line="360" w:lineRule="auto"/>
              <w:ind w:firstLine="470" w:firstLineChars="196"/>
              <w:rPr>
                <w:bCs/>
                <w:sz w:val="24"/>
              </w:rPr>
            </w:pPr>
            <w:r>
              <w:rPr>
                <w:bCs/>
                <w:sz w:val="24"/>
              </w:rPr>
              <w:t>④实施覆盖生产区的地下水污染监控系统，包括建立完善的监测制度、配备检测仪器和设备，设置地下水污染监控井，及时发现污染、及时控制。</w:t>
            </w:r>
          </w:p>
          <w:p w14:paraId="38E591E0">
            <w:pPr>
              <w:spacing w:line="360" w:lineRule="auto"/>
              <w:ind w:firstLine="470" w:firstLineChars="196"/>
              <w:rPr>
                <w:bCs/>
                <w:sz w:val="24"/>
              </w:rPr>
            </w:pPr>
            <w:r>
              <w:rPr>
                <w:bCs/>
                <w:sz w:val="24"/>
              </w:rPr>
              <w:t>⑤应急响应措施，包括一旦发现地下水污染事故，立即启动应急预案、采取应急措施控制地下水污染，并使污染得到治理。</w:t>
            </w:r>
          </w:p>
          <w:p w14:paraId="6B2554F2">
            <w:pPr>
              <w:spacing w:line="360" w:lineRule="auto"/>
              <w:ind w:firstLine="472" w:firstLineChars="196"/>
              <w:rPr>
                <w:bCs/>
                <w:sz w:val="24"/>
              </w:rPr>
            </w:pPr>
            <w:r>
              <w:rPr>
                <w:rFonts w:hint="eastAsia"/>
                <w:b/>
                <w:sz w:val="24"/>
                <w:lang w:val="en-US" w:eastAsia="zh-CN"/>
              </w:rPr>
              <w:t>6.2</w:t>
            </w:r>
            <w:r>
              <w:rPr>
                <w:b/>
                <w:sz w:val="24"/>
              </w:rPr>
              <w:t>源头控制措施</w:t>
            </w:r>
          </w:p>
          <w:p w14:paraId="44AEE71C">
            <w:pPr>
              <w:spacing w:line="360" w:lineRule="auto"/>
              <w:ind w:firstLine="470" w:firstLineChars="196"/>
              <w:rPr>
                <w:bCs/>
                <w:sz w:val="24"/>
              </w:rPr>
            </w:pPr>
            <w:r>
              <w:rPr>
                <w:bCs/>
                <w:sz w:val="24"/>
              </w:rPr>
              <w:t>①积极推行实施清洁生产，实现废水的循环利用，减少污染物的排放量；</w:t>
            </w:r>
          </w:p>
          <w:p w14:paraId="0033A937">
            <w:pPr>
              <w:spacing w:line="360" w:lineRule="auto"/>
              <w:ind w:firstLine="470" w:firstLineChars="196"/>
              <w:rPr>
                <w:bCs/>
                <w:sz w:val="24"/>
              </w:rPr>
            </w:pPr>
            <w:r>
              <w:rPr>
                <w:bCs/>
                <w:sz w:val="24"/>
              </w:rPr>
              <w:t>②根据国家现行相关规范加强环境管理，采取防止和降低污染物跑、冒、滴、漏的措施。正常生产过程中应加强巡检及时处理污染物跑、冒、滴、漏，同时应加强对防渗工程的检查，若发现防渗密封材料老化或损坏，应及时维修更换；</w:t>
            </w:r>
          </w:p>
          <w:p w14:paraId="0C0E9D41">
            <w:pPr>
              <w:spacing w:line="360" w:lineRule="auto"/>
              <w:ind w:firstLine="480" w:firstLineChars="200"/>
              <w:rPr>
                <w:bCs/>
                <w:sz w:val="24"/>
              </w:rPr>
            </w:pPr>
            <w:r>
              <w:rPr>
                <w:bCs/>
                <w:sz w:val="24"/>
              </w:rPr>
              <w:t>③对工艺、管道、设备、污水储存及处理构筑物采取控制措施，防止污染物的跑、冒、滴、漏，将污染物泄漏的环境风险事故降到最低限度。</w:t>
            </w:r>
          </w:p>
          <w:p w14:paraId="5A3EDCE6">
            <w:pPr>
              <w:spacing w:line="360" w:lineRule="auto"/>
              <w:ind w:firstLine="482" w:firstLineChars="200"/>
              <w:rPr>
                <w:b/>
                <w:sz w:val="24"/>
              </w:rPr>
            </w:pPr>
            <w:r>
              <w:rPr>
                <w:rFonts w:hint="eastAsia"/>
                <w:b/>
                <w:sz w:val="24"/>
                <w:lang w:val="en-US" w:eastAsia="zh-CN"/>
              </w:rPr>
              <w:t>6.3</w:t>
            </w:r>
            <w:r>
              <w:rPr>
                <w:b/>
                <w:sz w:val="24"/>
              </w:rPr>
              <w:t>分区防治措施</w:t>
            </w:r>
          </w:p>
          <w:p w14:paraId="400BB899">
            <w:pPr>
              <w:spacing w:line="360" w:lineRule="auto"/>
              <w:ind w:firstLine="480" w:firstLineChars="200"/>
              <w:rPr>
                <w:sz w:val="24"/>
              </w:rPr>
            </w:pPr>
            <w:r>
              <w:rPr>
                <w:sz w:val="24"/>
              </w:rPr>
              <w:t>根据《环境影响评价技术导则</w:t>
            </w:r>
            <w:r>
              <w:rPr>
                <w:rFonts w:hint="eastAsia"/>
                <w:sz w:val="24"/>
              </w:rPr>
              <w:t xml:space="preserve"> </w:t>
            </w:r>
            <w:r>
              <w:rPr>
                <w:sz w:val="24"/>
              </w:rPr>
              <w:t>地下水环境》（HJ610-2016）防渗分区原则，将本项目</w:t>
            </w:r>
            <w:r>
              <w:rPr>
                <w:rFonts w:hint="eastAsia"/>
                <w:sz w:val="24"/>
                <w:lang w:eastAsia="zh-CN"/>
              </w:rPr>
              <w:t>划分</w:t>
            </w:r>
            <w:r>
              <w:rPr>
                <w:sz w:val="24"/>
              </w:rPr>
              <w:t>为重点防渗区</w:t>
            </w:r>
            <w:r>
              <w:rPr>
                <w:rFonts w:hint="eastAsia"/>
                <w:sz w:val="24"/>
                <w:lang w:val="en-US" w:eastAsia="zh-CN"/>
              </w:rPr>
              <w:t>、</w:t>
            </w:r>
            <w:r>
              <w:rPr>
                <w:sz w:val="24"/>
              </w:rPr>
              <w:t>一般防渗区</w:t>
            </w:r>
            <w:r>
              <w:rPr>
                <w:rFonts w:hint="eastAsia"/>
                <w:sz w:val="24"/>
                <w:lang w:val="en-US" w:eastAsia="zh-CN"/>
              </w:rPr>
              <w:t>和简单防渗区</w:t>
            </w:r>
            <w:r>
              <w:rPr>
                <w:sz w:val="24"/>
              </w:rPr>
              <w:t>，划分区域如下：</w:t>
            </w:r>
          </w:p>
          <w:p w14:paraId="2B304774">
            <w:pPr>
              <w:spacing w:line="360" w:lineRule="auto"/>
              <w:ind w:firstLine="480" w:firstLineChars="200"/>
              <w:rPr>
                <w:rFonts w:hint="default" w:eastAsia="宋体"/>
                <w:bCs/>
                <w:sz w:val="24"/>
                <w:lang w:val="en-US" w:eastAsia="zh-CN"/>
              </w:rPr>
            </w:pPr>
            <w:r>
              <w:rPr>
                <w:rFonts w:hint="eastAsia"/>
                <w:bCs/>
                <w:sz w:val="24"/>
              </w:rPr>
              <w:t>重点防渗区即为项目危废暂存间</w:t>
            </w:r>
            <w:r>
              <w:rPr>
                <w:rFonts w:hint="eastAsia"/>
                <w:bCs/>
                <w:sz w:val="24"/>
                <w:lang w:eastAsia="zh-CN"/>
              </w:rPr>
              <w:t>、沥青储罐区、</w:t>
            </w:r>
            <w:r>
              <w:rPr>
                <w:rFonts w:hint="eastAsia"/>
                <w:bCs/>
                <w:sz w:val="24"/>
                <w:lang w:val="en-US" w:eastAsia="zh-CN"/>
              </w:rPr>
              <w:t>化学品库房及车间涉油机械区</w:t>
            </w:r>
            <w:r>
              <w:rPr>
                <w:rFonts w:hint="eastAsia"/>
                <w:bCs/>
                <w:sz w:val="24"/>
              </w:rPr>
              <w:t>；一般防渗区为</w:t>
            </w:r>
            <w:r>
              <w:rPr>
                <w:rFonts w:hint="eastAsia"/>
                <w:bCs/>
                <w:sz w:val="24"/>
                <w:lang w:val="en-US" w:eastAsia="zh-CN"/>
              </w:rPr>
              <w:t>重点防渗区以外的其他生产区域、化粪池、隔油池、三级沉淀池；简单防渗区为</w:t>
            </w:r>
            <w:r>
              <w:rPr>
                <w:rFonts w:ascii="宋体" w:hAnsi="宋体" w:eastAsia="宋体" w:cs="宋体"/>
                <w:sz w:val="24"/>
                <w:szCs w:val="24"/>
              </w:rPr>
              <w:t>办公区、</w:t>
            </w:r>
            <w:r>
              <w:rPr>
                <w:rFonts w:hint="eastAsia" w:ascii="宋体" w:hAnsi="宋体" w:eastAsia="宋体" w:cs="宋体"/>
                <w:sz w:val="24"/>
                <w:szCs w:val="24"/>
                <w:lang w:val="en-US" w:eastAsia="zh-CN"/>
              </w:rPr>
              <w:t>住宿区</w:t>
            </w:r>
            <w:r>
              <w:rPr>
                <w:rFonts w:ascii="宋体" w:hAnsi="宋体" w:eastAsia="宋体" w:cs="宋体"/>
                <w:sz w:val="24"/>
                <w:szCs w:val="24"/>
              </w:rPr>
              <w:t>、食堂、厂区道路等除重点防渗区和一般防渗区以外的区域</w:t>
            </w:r>
            <w:r>
              <w:rPr>
                <w:rFonts w:hint="eastAsia"/>
                <w:bCs/>
                <w:sz w:val="24"/>
                <w:lang w:val="en-US" w:eastAsia="zh-CN"/>
              </w:rPr>
              <w:t>。</w:t>
            </w:r>
          </w:p>
          <w:p w14:paraId="1A307ED8">
            <w:pPr>
              <w:spacing w:line="360" w:lineRule="auto"/>
              <w:ind w:firstLine="482" w:firstLineChars="200"/>
              <w:rPr>
                <w:rFonts w:hint="default" w:eastAsia="宋体"/>
                <w:b/>
                <w:sz w:val="24"/>
                <w:lang w:val="en-US" w:eastAsia="zh-CN"/>
              </w:rPr>
            </w:pPr>
            <w:r>
              <w:rPr>
                <w:rFonts w:hint="eastAsia"/>
                <w:b/>
                <w:sz w:val="24"/>
                <w:lang w:val="en-US" w:eastAsia="zh-CN"/>
              </w:rPr>
              <w:t>1）重点防渗区</w:t>
            </w:r>
          </w:p>
          <w:p w14:paraId="1721F5BB">
            <w:pPr>
              <w:spacing w:line="360" w:lineRule="auto"/>
              <w:ind w:firstLine="480" w:firstLineChars="200"/>
              <w:rPr>
                <w:rFonts w:hint="default" w:eastAsia="宋体"/>
                <w:bCs/>
                <w:sz w:val="24"/>
                <w:lang w:val="en-US" w:eastAsia="zh-CN"/>
              </w:rPr>
            </w:pPr>
            <w:r>
              <w:rPr>
                <w:rFonts w:hint="eastAsia"/>
                <w:bCs/>
                <w:sz w:val="24"/>
                <w:lang w:val="en-US" w:eastAsia="zh-CN"/>
              </w:rPr>
              <w:t>a.本项目依托危废暂存间</w:t>
            </w:r>
          </w:p>
          <w:p w14:paraId="222048B5">
            <w:pPr>
              <w:spacing w:line="360" w:lineRule="auto"/>
              <w:ind w:firstLine="480" w:firstLineChars="200"/>
              <w:rPr>
                <w:rFonts w:hint="eastAsia"/>
                <w:bCs/>
                <w:sz w:val="24"/>
                <w:lang w:eastAsia="zh-CN"/>
              </w:rPr>
            </w:pPr>
            <w:r>
              <w:rPr>
                <w:rFonts w:hint="eastAsia"/>
                <w:bCs/>
                <w:sz w:val="24"/>
                <w:lang w:val="en-US" w:eastAsia="zh-CN"/>
              </w:rPr>
              <w:t>根据现场调查，厂区已建的危废暂存间地面及墙裙防渗层发生损坏，本次改扩建对危废暂存间进行整改，采取防渗混凝土硬化+2mm厚HDPE土工膜+2mm厚环氧树脂地坪防渗层，渗透系数≤10</w:t>
            </w:r>
            <w:r>
              <w:rPr>
                <w:rFonts w:hint="eastAsia"/>
                <w:bCs/>
                <w:sz w:val="24"/>
                <w:vertAlign w:val="superscript"/>
                <w:lang w:val="en-US" w:eastAsia="zh-CN"/>
              </w:rPr>
              <w:t>-10</w:t>
            </w:r>
            <w:r>
              <w:rPr>
                <w:rFonts w:hint="eastAsia"/>
                <w:bCs/>
                <w:sz w:val="24"/>
                <w:lang w:val="en-US" w:eastAsia="zh-CN"/>
              </w:rPr>
              <w:t>cm/s；</w:t>
            </w:r>
          </w:p>
          <w:p w14:paraId="3D0F7CE3">
            <w:pPr>
              <w:spacing w:line="360" w:lineRule="auto"/>
              <w:ind w:firstLine="480" w:firstLineChars="200"/>
              <w:rPr>
                <w:rFonts w:hint="default"/>
                <w:bCs/>
                <w:sz w:val="24"/>
                <w:lang w:val="en-US" w:eastAsia="zh-CN"/>
              </w:rPr>
            </w:pPr>
            <w:r>
              <w:rPr>
                <w:rFonts w:hint="eastAsia"/>
                <w:bCs/>
                <w:sz w:val="24"/>
                <w:lang w:val="en-US" w:eastAsia="zh-CN"/>
              </w:rPr>
              <w:t>b.沥青储罐区</w:t>
            </w:r>
          </w:p>
          <w:p w14:paraId="4C85C12B">
            <w:pPr>
              <w:spacing w:line="360" w:lineRule="auto"/>
              <w:ind w:firstLine="480" w:firstLineChars="200"/>
              <w:rPr>
                <w:rFonts w:hint="eastAsia"/>
                <w:bCs/>
                <w:sz w:val="24"/>
                <w:lang w:eastAsia="zh-CN"/>
              </w:rPr>
            </w:pPr>
            <w:r>
              <w:rPr>
                <w:rFonts w:hint="eastAsia"/>
                <w:bCs/>
                <w:sz w:val="24"/>
                <w:lang w:val="en-US" w:eastAsia="zh-CN"/>
              </w:rPr>
              <w:t>根据现场调查，厂区沥青储罐区已采取</w:t>
            </w:r>
            <w:r>
              <w:rPr>
                <w:rFonts w:hint="eastAsia"/>
                <w:bCs/>
                <w:sz w:val="24"/>
                <w:lang w:eastAsia="zh-CN"/>
              </w:rPr>
              <w:t>防渗混凝土硬化+2mm厚环氧树脂地坪防渗层，渗透系数≤10</w:t>
            </w:r>
            <w:r>
              <w:rPr>
                <w:rFonts w:hint="eastAsia"/>
                <w:bCs/>
                <w:sz w:val="24"/>
                <w:vertAlign w:val="superscript"/>
                <w:lang w:eastAsia="zh-CN"/>
              </w:rPr>
              <w:t>-7</w:t>
            </w:r>
            <w:r>
              <w:rPr>
                <w:rFonts w:hint="eastAsia"/>
                <w:bCs/>
                <w:sz w:val="24"/>
                <w:lang w:eastAsia="zh-CN"/>
              </w:rPr>
              <w:t>cm/s；</w:t>
            </w:r>
          </w:p>
          <w:p w14:paraId="5BB4CC54">
            <w:pPr>
              <w:spacing w:line="360" w:lineRule="auto"/>
              <w:ind w:firstLine="480" w:firstLineChars="200"/>
              <w:rPr>
                <w:rFonts w:hint="default"/>
                <w:bCs/>
                <w:sz w:val="24"/>
                <w:lang w:val="en-US" w:eastAsia="zh-CN"/>
              </w:rPr>
            </w:pPr>
            <w:r>
              <w:rPr>
                <w:rFonts w:hint="eastAsia"/>
                <w:bCs/>
                <w:sz w:val="24"/>
                <w:lang w:val="en-US" w:eastAsia="zh-CN"/>
              </w:rPr>
              <w:t>c.化学品库房</w:t>
            </w:r>
          </w:p>
          <w:p w14:paraId="1008F0C1">
            <w:pPr>
              <w:spacing w:line="360" w:lineRule="auto"/>
              <w:ind w:firstLine="480" w:firstLineChars="200"/>
              <w:rPr>
                <w:rFonts w:hint="default"/>
                <w:bCs/>
                <w:sz w:val="24"/>
                <w:lang w:val="en-US" w:eastAsia="zh-CN"/>
              </w:rPr>
            </w:pPr>
            <w:r>
              <w:rPr>
                <w:rFonts w:hint="eastAsia"/>
                <w:bCs/>
                <w:sz w:val="24"/>
                <w:lang w:val="en-US" w:eastAsia="zh-CN"/>
              </w:rPr>
              <w:t>化学品库房进行重点防渗，采取防渗混凝土硬化+2mm厚HDPE土工膜+2mm厚环氧树脂地坪防渗层，渗透系数≤10</w:t>
            </w:r>
            <w:r>
              <w:rPr>
                <w:rFonts w:hint="eastAsia"/>
                <w:bCs/>
                <w:sz w:val="24"/>
                <w:vertAlign w:val="superscript"/>
                <w:lang w:val="en-US" w:eastAsia="zh-CN"/>
              </w:rPr>
              <w:t>-10</w:t>
            </w:r>
            <w:r>
              <w:rPr>
                <w:rFonts w:hint="eastAsia"/>
                <w:bCs/>
                <w:sz w:val="24"/>
                <w:lang w:val="en-US" w:eastAsia="zh-CN"/>
              </w:rPr>
              <w:t>cm/s；</w:t>
            </w:r>
          </w:p>
          <w:p w14:paraId="276C3F73">
            <w:pPr>
              <w:spacing w:line="360" w:lineRule="auto"/>
              <w:ind w:firstLine="480" w:firstLineChars="200"/>
              <w:rPr>
                <w:rFonts w:hint="default"/>
                <w:bCs/>
                <w:sz w:val="24"/>
                <w:lang w:val="en-US" w:eastAsia="zh-CN"/>
              </w:rPr>
            </w:pPr>
            <w:r>
              <w:rPr>
                <w:rFonts w:hint="eastAsia"/>
                <w:bCs/>
                <w:sz w:val="24"/>
                <w:lang w:val="en-US" w:eastAsia="zh-CN"/>
              </w:rPr>
              <w:t>d.涉油机械区</w:t>
            </w:r>
          </w:p>
          <w:p w14:paraId="2781039F">
            <w:pPr>
              <w:spacing w:line="360" w:lineRule="auto"/>
              <w:ind w:firstLine="480" w:firstLineChars="200"/>
              <w:rPr>
                <w:rFonts w:hint="default" w:eastAsia="宋体"/>
                <w:bCs/>
                <w:sz w:val="24"/>
                <w:lang w:val="en-US" w:eastAsia="zh-CN"/>
              </w:rPr>
            </w:pPr>
            <w:r>
              <w:rPr>
                <w:rFonts w:hint="eastAsia"/>
                <w:bCs/>
                <w:sz w:val="24"/>
                <w:lang w:val="en-US" w:eastAsia="zh-CN"/>
              </w:rPr>
              <w:t>生产车间内涉油机械底部设置接油托盘，防止润滑油、导热油滴漏污染土壤及地下水。</w:t>
            </w:r>
          </w:p>
          <w:p w14:paraId="5AF5B397">
            <w:pPr>
              <w:spacing w:line="360" w:lineRule="auto"/>
              <w:ind w:firstLine="482" w:firstLineChars="200"/>
              <w:rPr>
                <w:rFonts w:hint="default" w:eastAsia="宋体"/>
                <w:bCs/>
                <w:sz w:val="24"/>
                <w:lang w:val="en-US" w:eastAsia="zh-CN"/>
              </w:rPr>
            </w:pPr>
            <w:r>
              <w:rPr>
                <w:rFonts w:hint="eastAsia"/>
                <w:b/>
                <w:bCs w:val="0"/>
                <w:sz w:val="24"/>
                <w:lang w:val="en-US" w:eastAsia="zh-CN"/>
              </w:rPr>
              <w:t>2）一般防渗区</w:t>
            </w:r>
          </w:p>
          <w:p w14:paraId="5EB8FE88">
            <w:pPr>
              <w:spacing w:line="360" w:lineRule="auto"/>
              <w:ind w:firstLine="480" w:firstLineChars="200"/>
              <w:rPr>
                <w:rFonts w:hint="default" w:eastAsia="宋体"/>
                <w:bCs/>
                <w:sz w:val="24"/>
                <w:lang w:val="en-US" w:eastAsia="zh-CN"/>
              </w:rPr>
            </w:pPr>
            <w:r>
              <w:rPr>
                <w:rFonts w:hint="eastAsia"/>
                <w:bCs/>
                <w:sz w:val="24"/>
                <w:lang w:val="en-US" w:eastAsia="zh-CN"/>
              </w:rPr>
              <w:t>a.生产车间</w:t>
            </w:r>
          </w:p>
          <w:p w14:paraId="48BB3D4B">
            <w:pPr>
              <w:spacing w:line="360" w:lineRule="auto"/>
              <w:ind w:firstLine="480" w:firstLineChars="200"/>
              <w:rPr>
                <w:rFonts w:hint="eastAsia"/>
                <w:bCs/>
                <w:sz w:val="24"/>
              </w:rPr>
            </w:pPr>
            <w:r>
              <w:rPr>
                <w:rFonts w:hint="eastAsia"/>
                <w:bCs/>
                <w:sz w:val="24"/>
              </w:rPr>
              <w:t>地面应按照《环境影响评价技术导则</w:t>
            </w:r>
            <w:r>
              <w:rPr>
                <w:rFonts w:hint="eastAsia"/>
                <w:bCs/>
                <w:sz w:val="24"/>
                <w:lang w:val="en-US" w:eastAsia="zh-CN"/>
              </w:rPr>
              <w:t xml:space="preserve"> </w:t>
            </w:r>
            <w:r>
              <w:rPr>
                <w:rFonts w:hint="eastAsia"/>
                <w:bCs/>
                <w:sz w:val="24"/>
              </w:rPr>
              <w:t>地下水环境》（HJ610-2016）一般防渗区的要求采用与厚度Mb=1.5m，渗透系数K≤10</w:t>
            </w:r>
            <w:r>
              <w:rPr>
                <w:rFonts w:hint="eastAsia"/>
                <w:bCs/>
                <w:sz w:val="24"/>
                <w:vertAlign w:val="superscript"/>
              </w:rPr>
              <w:t>-7</w:t>
            </w:r>
            <w:r>
              <w:rPr>
                <w:rFonts w:hint="eastAsia"/>
                <w:bCs/>
                <w:sz w:val="24"/>
              </w:rPr>
              <w:t>cm/s粘土防渗层等效的20cm厚P4等级混凝土（渗透系数K=0.78×10</w:t>
            </w:r>
            <w:r>
              <w:rPr>
                <w:rFonts w:hint="eastAsia"/>
                <w:bCs/>
                <w:sz w:val="24"/>
                <w:vertAlign w:val="superscript"/>
              </w:rPr>
              <w:t>-8</w:t>
            </w:r>
            <w:r>
              <w:rPr>
                <w:rFonts w:hint="eastAsia"/>
                <w:bCs/>
                <w:sz w:val="24"/>
              </w:rPr>
              <w:t>cm/s）进行防渗。</w:t>
            </w:r>
          </w:p>
          <w:p w14:paraId="61E9408B">
            <w:pPr>
              <w:spacing w:line="360" w:lineRule="auto"/>
              <w:ind w:firstLine="480" w:firstLineChars="200"/>
              <w:rPr>
                <w:rFonts w:hint="default"/>
                <w:bCs/>
                <w:sz w:val="24"/>
                <w:lang w:val="en-US" w:eastAsia="zh-CN"/>
              </w:rPr>
            </w:pPr>
            <w:r>
              <w:rPr>
                <w:rFonts w:hint="eastAsia"/>
                <w:bCs/>
                <w:sz w:val="24"/>
                <w:lang w:val="en-US" w:eastAsia="zh-CN"/>
              </w:rPr>
              <w:t>b.本项目依托的三级沉淀池</w:t>
            </w:r>
          </w:p>
          <w:p w14:paraId="09467C22">
            <w:pPr>
              <w:spacing w:line="360" w:lineRule="auto"/>
              <w:ind w:firstLine="480" w:firstLineChars="200"/>
              <w:rPr>
                <w:rFonts w:hint="eastAsia"/>
                <w:bCs/>
                <w:sz w:val="24"/>
                <w:lang w:val="en-US" w:eastAsia="zh-CN"/>
              </w:rPr>
            </w:pPr>
            <w:r>
              <w:rPr>
                <w:rFonts w:hint="eastAsia"/>
                <w:bCs/>
                <w:sz w:val="24"/>
              </w:rPr>
              <w:t>池底、池壁</w:t>
            </w:r>
            <w:r>
              <w:rPr>
                <w:rFonts w:hint="eastAsia"/>
                <w:bCs/>
                <w:sz w:val="24"/>
                <w:lang w:val="en-US" w:eastAsia="zh-CN"/>
              </w:rPr>
              <w:t>已</w:t>
            </w:r>
            <w:r>
              <w:rPr>
                <w:rFonts w:hint="eastAsia"/>
                <w:bCs/>
                <w:sz w:val="24"/>
              </w:rPr>
              <w:t>采用25cm厚P6等级抗渗混凝土（渗透系数K=0.49×10</w:t>
            </w:r>
            <w:r>
              <w:rPr>
                <w:rFonts w:hint="eastAsia"/>
                <w:bCs/>
                <w:sz w:val="24"/>
                <w:vertAlign w:val="superscript"/>
              </w:rPr>
              <w:t>-8</w:t>
            </w:r>
            <w:r>
              <w:rPr>
                <w:rFonts w:hint="eastAsia"/>
                <w:bCs/>
                <w:sz w:val="24"/>
              </w:rPr>
              <w:t>cm/s）进行防渗，满足《环境影响评价技术导则</w:t>
            </w:r>
            <w:r>
              <w:rPr>
                <w:rFonts w:hint="eastAsia"/>
                <w:bCs/>
                <w:sz w:val="24"/>
                <w:lang w:val="en-US" w:eastAsia="zh-CN"/>
              </w:rPr>
              <w:t xml:space="preserve"> </w:t>
            </w:r>
            <w:r>
              <w:rPr>
                <w:rFonts w:hint="eastAsia"/>
                <w:bCs/>
                <w:sz w:val="24"/>
              </w:rPr>
              <w:t>地下水环境》（HJ610-2016）一般防渗区的要求。</w:t>
            </w:r>
          </w:p>
          <w:p w14:paraId="6679D3E3">
            <w:pPr>
              <w:spacing w:line="360" w:lineRule="auto"/>
              <w:ind w:firstLine="480" w:firstLineChars="200"/>
              <w:rPr>
                <w:rFonts w:hint="eastAsia" w:eastAsia="宋体"/>
                <w:bCs/>
                <w:sz w:val="24"/>
                <w:lang w:eastAsia="zh-CN"/>
              </w:rPr>
            </w:pPr>
            <w:r>
              <w:rPr>
                <w:rFonts w:hint="eastAsia"/>
                <w:bCs/>
                <w:sz w:val="24"/>
                <w:lang w:val="en-US" w:eastAsia="zh-CN"/>
              </w:rPr>
              <w:t>c</w:t>
            </w:r>
            <w:r>
              <w:rPr>
                <w:rFonts w:hint="eastAsia"/>
                <w:bCs/>
                <w:sz w:val="24"/>
                <w:lang w:eastAsia="zh-CN"/>
              </w:rPr>
              <w:t>.</w:t>
            </w:r>
            <w:r>
              <w:rPr>
                <w:rFonts w:hint="eastAsia"/>
                <w:bCs/>
                <w:sz w:val="24"/>
              </w:rPr>
              <w:t>本项目依托的</w:t>
            </w:r>
            <w:r>
              <w:rPr>
                <w:rFonts w:hint="eastAsia"/>
                <w:bCs/>
                <w:sz w:val="24"/>
                <w:lang w:val="en-US" w:eastAsia="zh-CN"/>
              </w:rPr>
              <w:t>化粪池</w:t>
            </w:r>
          </w:p>
          <w:p w14:paraId="165FC343">
            <w:pPr>
              <w:spacing w:line="360" w:lineRule="auto"/>
              <w:ind w:firstLine="480" w:firstLineChars="200"/>
              <w:rPr>
                <w:rFonts w:hint="eastAsia"/>
                <w:bCs/>
                <w:sz w:val="24"/>
              </w:rPr>
            </w:pPr>
            <w:r>
              <w:rPr>
                <w:rFonts w:hint="eastAsia"/>
                <w:bCs/>
                <w:sz w:val="24"/>
              </w:rPr>
              <w:t>池底、池壁已采用25cm厚P6等级抗渗混凝土（渗透系数K=0.49×10</w:t>
            </w:r>
            <w:r>
              <w:rPr>
                <w:rFonts w:hint="eastAsia"/>
                <w:bCs/>
                <w:sz w:val="24"/>
                <w:vertAlign w:val="superscript"/>
              </w:rPr>
              <w:t>-8</w:t>
            </w:r>
            <w:r>
              <w:rPr>
                <w:rFonts w:hint="eastAsia"/>
                <w:bCs/>
                <w:sz w:val="24"/>
              </w:rPr>
              <w:t>cm/s）进行防渗，满足《环境影响评价技术导则</w:t>
            </w:r>
            <w:r>
              <w:rPr>
                <w:rFonts w:hint="eastAsia"/>
                <w:bCs/>
                <w:sz w:val="24"/>
                <w:lang w:val="en-US" w:eastAsia="zh-CN"/>
              </w:rPr>
              <w:t xml:space="preserve"> </w:t>
            </w:r>
            <w:r>
              <w:rPr>
                <w:rFonts w:hint="eastAsia"/>
                <w:bCs/>
                <w:sz w:val="24"/>
              </w:rPr>
              <w:t>地下水环境》（HJ610-2016）一般防渗区的要求。</w:t>
            </w:r>
          </w:p>
          <w:p w14:paraId="753F7491">
            <w:pPr>
              <w:spacing w:line="360" w:lineRule="auto"/>
              <w:ind w:firstLine="480" w:firstLineChars="200"/>
              <w:rPr>
                <w:rFonts w:hint="eastAsia"/>
                <w:bCs/>
                <w:sz w:val="24"/>
              </w:rPr>
            </w:pPr>
            <w:r>
              <w:rPr>
                <w:rFonts w:hint="eastAsia"/>
                <w:bCs/>
                <w:sz w:val="24"/>
              </w:rPr>
              <w:t>d</w:t>
            </w:r>
            <w:r>
              <w:rPr>
                <w:rFonts w:hint="eastAsia"/>
                <w:bCs/>
                <w:sz w:val="24"/>
                <w:lang w:val="en-US" w:eastAsia="zh-CN"/>
              </w:rPr>
              <w:t>.</w:t>
            </w:r>
            <w:r>
              <w:rPr>
                <w:rFonts w:hint="eastAsia"/>
                <w:bCs/>
                <w:sz w:val="24"/>
              </w:rPr>
              <w:t>隔油池</w:t>
            </w:r>
          </w:p>
          <w:p w14:paraId="20DAE66D">
            <w:pPr>
              <w:spacing w:line="360" w:lineRule="auto"/>
              <w:ind w:firstLine="480" w:firstLineChars="200"/>
              <w:rPr>
                <w:rFonts w:hint="eastAsia" w:ascii="Times New Roman" w:hAnsi="Times New Roman" w:eastAsia="宋体" w:cs="Times New Roman"/>
                <w:bCs/>
                <w:sz w:val="24"/>
              </w:rPr>
            </w:pPr>
            <w:r>
              <w:rPr>
                <w:rFonts w:hint="eastAsia"/>
                <w:bCs/>
                <w:sz w:val="24"/>
              </w:rPr>
              <w:t>池底、池壁采用25cm厚P6等级混凝土进行防渗，渗透系数K≤0.49×10</w:t>
            </w:r>
            <w:r>
              <w:rPr>
                <w:rFonts w:hint="eastAsia"/>
                <w:bCs/>
                <w:sz w:val="24"/>
                <w:vertAlign w:val="superscript"/>
              </w:rPr>
              <w:t>-8</w:t>
            </w:r>
            <w:r>
              <w:rPr>
                <w:rFonts w:hint="eastAsia"/>
                <w:bCs/>
                <w:sz w:val="24"/>
              </w:rPr>
              <w:t>cm/s，</w:t>
            </w:r>
            <w:r>
              <w:rPr>
                <w:rFonts w:hint="eastAsia"/>
                <w:bCs/>
                <w:sz w:val="24"/>
                <w:lang w:val="en-US" w:eastAsia="zh-CN"/>
              </w:rPr>
              <w:t>确保</w:t>
            </w:r>
            <w:r>
              <w:rPr>
                <w:rFonts w:hint="eastAsia"/>
                <w:bCs/>
                <w:sz w:val="24"/>
              </w:rPr>
              <w:t>满足《环境影响评价技术导则</w:t>
            </w:r>
            <w:r>
              <w:rPr>
                <w:rFonts w:hint="eastAsia"/>
                <w:bCs/>
                <w:sz w:val="24"/>
                <w:lang w:val="en-US" w:eastAsia="zh-CN"/>
              </w:rPr>
              <w:t xml:space="preserve"> </w:t>
            </w:r>
            <w:r>
              <w:rPr>
                <w:rFonts w:hint="eastAsia"/>
                <w:bCs/>
                <w:sz w:val="24"/>
              </w:rPr>
              <w:t>地下水环境》（HJ610-2016）一般防渗区的要求。</w:t>
            </w:r>
          </w:p>
          <w:p w14:paraId="53D462F7">
            <w:pPr>
              <w:numPr>
                <w:ilvl w:val="0"/>
                <w:numId w:val="0"/>
              </w:numPr>
              <w:spacing w:line="360" w:lineRule="auto"/>
              <w:ind w:firstLine="482" w:firstLineChars="200"/>
              <w:rPr>
                <w:rFonts w:hint="eastAsia" w:ascii="Times New Roman" w:hAnsi="Times New Roman" w:eastAsia="宋体" w:cs="Times New Roman"/>
                <w:b/>
                <w:bCs w:val="0"/>
                <w:sz w:val="24"/>
              </w:rPr>
            </w:pPr>
            <w:r>
              <w:rPr>
                <w:rFonts w:hint="eastAsia" w:ascii="Times New Roman" w:hAnsi="Times New Roman" w:eastAsia="宋体" w:cs="Times New Roman"/>
                <w:b/>
                <w:bCs w:val="0"/>
                <w:sz w:val="24"/>
                <w:lang w:val="en-US" w:eastAsia="zh-CN"/>
              </w:rPr>
              <w:t>3）</w:t>
            </w:r>
            <w:r>
              <w:rPr>
                <w:rFonts w:hint="eastAsia" w:ascii="Times New Roman" w:hAnsi="Times New Roman" w:eastAsia="宋体" w:cs="Times New Roman"/>
                <w:b/>
                <w:bCs w:val="0"/>
                <w:sz w:val="24"/>
              </w:rPr>
              <w:t>简单防渗区</w:t>
            </w:r>
          </w:p>
          <w:p w14:paraId="5CD7D728">
            <w:pPr>
              <w:numPr>
                <w:ilvl w:val="0"/>
                <w:numId w:val="0"/>
              </w:numPr>
              <w:spacing w:line="360" w:lineRule="auto"/>
              <w:ind w:firstLine="480" w:firstLineChars="200"/>
              <w:rPr>
                <w:rFonts w:hint="eastAsia" w:ascii="Times New Roman" w:hAnsi="Times New Roman" w:eastAsia="宋体" w:cs="Times New Roman"/>
                <w:bCs/>
                <w:sz w:val="24"/>
              </w:rPr>
            </w:pPr>
            <w:r>
              <w:rPr>
                <w:rFonts w:hint="eastAsia" w:ascii="Times New Roman" w:hAnsi="Times New Roman" w:eastAsia="宋体" w:cs="Times New Roman"/>
                <w:bCs/>
                <w:sz w:val="24"/>
              </w:rPr>
              <w:t>办公区、</w:t>
            </w:r>
            <w:r>
              <w:rPr>
                <w:rFonts w:hint="eastAsia" w:ascii="Times New Roman" w:hAnsi="Times New Roman" w:eastAsia="宋体" w:cs="Times New Roman"/>
                <w:bCs/>
                <w:sz w:val="24"/>
                <w:lang w:val="en-US" w:eastAsia="zh-CN"/>
              </w:rPr>
              <w:t>住宿区</w:t>
            </w:r>
            <w:r>
              <w:rPr>
                <w:rFonts w:hint="eastAsia" w:ascii="Times New Roman" w:hAnsi="Times New Roman" w:eastAsia="宋体" w:cs="Times New Roman"/>
                <w:bCs/>
                <w:sz w:val="24"/>
              </w:rPr>
              <w:t>、食堂、厂区道路等除重点防渗区和一般防渗区以外的区域，</w:t>
            </w:r>
            <w:r>
              <w:rPr>
                <w:rFonts w:hint="eastAsia" w:ascii="Times New Roman" w:hAnsi="Times New Roman" w:eastAsia="宋体" w:cs="Times New Roman"/>
                <w:bCs/>
                <w:sz w:val="24"/>
                <w:lang w:val="en-US" w:eastAsia="zh-CN"/>
              </w:rPr>
              <w:t>已</w:t>
            </w:r>
            <w:r>
              <w:rPr>
                <w:rFonts w:hint="eastAsia" w:ascii="Times New Roman" w:hAnsi="Times New Roman" w:eastAsia="宋体" w:cs="Times New Roman"/>
                <w:bCs/>
                <w:sz w:val="24"/>
              </w:rPr>
              <w:t>采取一般地面硬化处理。</w:t>
            </w:r>
          </w:p>
          <w:p w14:paraId="4A5387A8">
            <w:pPr>
              <w:numPr>
                <w:ilvl w:val="0"/>
                <w:numId w:val="0"/>
              </w:numPr>
              <w:spacing w:line="360" w:lineRule="auto"/>
              <w:ind w:firstLine="480" w:firstLineChars="200"/>
              <w:rPr>
                <w:rFonts w:hint="eastAsia"/>
                <w:sz w:val="24"/>
                <w:szCs w:val="24"/>
              </w:rPr>
            </w:pPr>
            <w:r>
              <w:rPr>
                <w:rFonts w:hint="eastAsia"/>
                <w:bCs/>
                <w:sz w:val="24"/>
              </w:rPr>
              <w:t>在采取上述措施后，项目涉及的构筑物满足《危险废物贮存污染控制标准》（GB18597-2023）或《环境影响评价技术导则</w:t>
            </w:r>
            <w:r>
              <w:rPr>
                <w:rFonts w:hint="eastAsia"/>
                <w:bCs/>
                <w:sz w:val="24"/>
                <w:lang w:val="en-US" w:eastAsia="zh-CN"/>
              </w:rPr>
              <w:t xml:space="preserve"> </w:t>
            </w:r>
            <w:r>
              <w:rPr>
                <w:rFonts w:hint="eastAsia"/>
                <w:bCs/>
                <w:sz w:val="24"/>
              </w:rPr>
              <w:t>地下水环境》（HJ610-2016）的防渗要求。本项目运行过程中对地下水基本不会造成明显影响。</w:t>
            </w:r>
          </w:p>
          <w:p w14:paraId="3237950D">
            <w:pPr>
              <w:spacing w:line="360" w:lineRule="auto"/>
              <w:ind w:firstLine="482" w:firstLineChars="200"/>
              <w:rPr>
                <w:rFonts w:hint="eastAsia"/>
                <w:b/>
                <w:sz w:val="24"/>
              </w:rPr>
            </w:pPr>
            <w:r>
              <w:rPr>
                <w:rFonts w:hint="eastAsia"/>
                <w:b/>
                <w:sz w:val="24"/>
                <w:lang w:val="en-US" w:eastAsia="zh-CN"/>
              </w:rPr>
              <w:t>7</w:t>
            </w:r>
            <w:r>
              <w:rPr>
                <w:rFonts w:hint="eastAsia"/>
                <w:b/>
                <w:sz w:val="24"/>
              </w:rPr>
              <w:t>、环境风险分析</w:t>
            </w:r>
          </w:p>
          <w:p w14:paraId="0D7707BD">
            <w:pPr>
              <w:spacing w:line="360" w:lineRule="auto"/>
              <w:ind w:firstLine="482" w:firstLineChars="200"/>
              <w:rPr>
                <w:b/>
                <w:sz w:val="24"/>
              </w:rPr>
            </w:pPr>
            <w:r>
              <w:rPr>
                <w:rFonts w:hint="eastAsia"/>
                <w:b/>
                <w:sz w:val="24"/>
                <w:lang w:val="en-US" w:eastAsia="zh-CN"/>
              </w:rPr>
              <w:t>7.1</w:t>
            </w:r>
            <w:r>
              <w:rPr>
                <w:rFonts w:hint="eastAsia"/>
                <w:b/>
                <w:sz w:val="24"/>
              </w:rPr>
              <w:t>环境风险评价目的</w:t>
            </w:r>
          </w:p>
          <w:p w14:paraId="67442954">
            <w:pPr>
              <w:spacing w:line="360" w:lineRule="auto"/>
              <w:ind w:firstLine="480" w:firstLineChars="200"/>
              <w:rPr>
                <w:sz w:val="24"/>
              </w:rPr>
            </w:pPr>
            <w:r>
              <w:rPr>
                <w:sz w:val="24"/>
              </w:rPr>
              <w:t>树立风险意识和防范风险是企业安全生产的重要保证。风险分析是一项涉及工程工艺过程、设备维护、系统可靠性、防范措施有效性、后果估算等环节，以及发生后所采用的应急计划和措施。本评价根据《建设项目环境风险评价技术导则》要求，结合本项目生产特点和工艺过程，着重对在不可预见条件下</w:t>
            </w:r>
            <w:r>
              <w:rPr>
                <w:rFonts w:hint="eastAsia"/>
                <w:sz w:val="24"/>
                <w:lang w:eastAsia="zh-CN"/>
              </w:rPr>
              <w:t>发生概率</w:t>
            </w:r>
            <w:r>
              <w:rPr>
                <w:sz w:val="24"/>
              </w:rPr>
              <w:t>小而危害大的突发性事故，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14:paraId="6198BA54">
            <w:pPr>
              <w:wordWrap w:val="0"/>
              <w:spacing w:line="360" w:lineRule="auto"/>
              <w:ind w:firstLine="482" w:firstLineChars="200"/>
              <w:rPr>
                <w:rFonts w:hint="default" w:eastAsia="宋体"/>
                <w:b/>
                <w:bCs/>
                <w:sz w:val="24"/>
                <w:lang w:val="en-US" w:eastAsia="zh-CN"/>
              </w:rPr>
            </w:pPr>
            <w:r>
              <w:rPr>
                <w:rFonts w:hint="eastAsia"/>
                <w:b/>
                <w:bCs/>
                <w:sz w:val="24"/>
                <w:lang w:val="en-US" w:eastAsia="zh-CN"/>
              </w:rPr>
              <w:t>7.2环境</w:t>
            </w:r>
            <w:r>
              <w:rPr>
                <w:rFonts w:hint="eastAsia"/>
                <w:b/>
                <w:bCs/>
                <w:sz w:val="24"/>
              </w:rPr>
              <w:t>风险</w:t>
            </w:r>
            <w:r>
              <w:rPr>
                <w:rFonts w:hint="eastAsia"/>
                <w:b/>
                <w:bCs/>
                <w:sz w:val="24"/>
                <w:lang w:val="en-US" w:eastAsia="zh-CN"/>
              </w:rPr>
              <w:t>源调查</w:t>
            </w:r>
          </w:p>
          <w:p w14:paraId="5AAA5BFD">
            <w:pPr>
              <w:wordWrap w:val="0"/>
              <w:spacing w:line="360" w:lineRule="auto"/>
              <w:ind w:firstLine="480" w:firstLineChars="200"/>
              <w:rPr>
                <w:rFonts w:hint="eastAsia" w:eastAsia="宋体"/>
                <w:sz w:val="24"/>
                <w:lang w:eastAsia="zh-CN"/>
              </w:rPr>
            </w:pPr>
            <w:r>
              <w:rPr>
                <w:rFonts w:hint="eastAsia"/>
                <w:sz w:val="24"/>
              </w:rPr>
              <w:t>对照《危险化学品目录（2018）》及《建设项目环境风险评价技术导则》（HJ169</w:t>
            </w:r>
            <w:r>
              <w:rPr>
                <w:rFonts w:hint="eastAsia"/>
                <w:sz w:val="24"/>
                <w:lang w:val="en-US" w:eastAsia="zh-CN"/>
              </w:rPr>
              <w:t>-</w:t>
            </w:r>
            <w:r>
              <w:rPr>
                <w:rFonts w:hint="eastAsia"/>
                <w:sz w:val="24"/>
              </w:rPr>
              <w:t>2018）附录B中表B.1、B.2突发环境事件风险物质及临界量表，本项目所含有害物质的最大储存量及分布位置见下表</w:t>
            </w:r>
            <w:r>
              <w:rPr>
                <w:rFonts w:hint="eastAsia"/>
                <w:sz w:val="24"/>
                <w:lang w:eastAsia="zh-CN"/>
              </w:rPr>
              <w:t>：</w:t>
            </w:r>
          </w:p>
          <w:p w14:paraId="2DB06D08">
            <w:pPr>
              <w:numPr>
                <w:ilvl w:val="0"/>
                <w:numId w:val="6"/>
              </w:numPr>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项目涉及的危险物料最大使用量及储存方式</w:t>
            </w:r>
          </w:p>
          <w:tbl>
            <w:tblPr>
              <w:tblStyle w:val="27"/>
              <w:tblW w:w="787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63"/>
              <w:gridCol w:w="2244"/>
              <w:gridCol w:w="1812"/>
              <w:gridCol w:w="1582"/>
              <w:gridCol w:w="1576"/>
            </w:tblGrid>
            <w:tr w14:paraId="229A090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63" w:type="dxa"/>
                  <w:tcBorders>
                    <w:tl2br w:val="nil"/>
                    <w:tr2bl w:val="nil"/>
                  </w:tcBorders>
                  <w:noWrap w:val="0"/>
                  <w:vAlign w:val="center"/>
                </w:tcPr>
                <w:p w14:paraId="2EECE034">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序号</w:t>
                  </w:r>
                </w:p>
              </w:tc>
              <w:tc>
                <w:tcPr>
                  <w:tcW w:w="2244" w:type="dxa"/>
                  <w:tcBorders>
                    <w:tl2br w:val="nil"/>
                    <w:tr2bl w:val="nil"/>
                  </w:tcBorders>
                  <w:noWrap w:val="0"/>
                  <w:vAlign w:val="center"/>
                </w:tcPr>
                <w:p w14:paraId="20DABC2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名称</w:t>
                  </w:r>
                </w:p>
              </w:tc>
              <w:tc>
                <w:tcPr>
                  <w:tcW w:w="1812" w:type="dxa"/>
                  <w:tcBorders>
                    <w:tl2br w:val="nil"/>
                    <w:tr2bl w:val="nil"/>
                  </w:tcBorders>
                  <w:noWrap w:val="0"/>
                  <w:vAlign w:val="center"/>
                </w:tcPr>
                <w:p w14:paraId="311F07B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最大储存量</w:t>
                  </w:r>
                  <w:r>
                    <w:rPr>
                      <w:rFonts w:hint="eastAsia" w:cs="Times New Roman"/>
                      <w:sz w:val="21"/>
                      <w:szCs w:val="21"/>
                      <w:vertAlign w:val="baseline"/>
                      <w:lang w:val="en-US" w:eastAsia="zh-CN"/>
                    </w:rPr>
                    <w:t>/最大在线量</w:t>
                  </w:r>
                  <w:r>
                    <w:rPr>
                      <w:rFonts w:hint="default" w:ascii="Times New Roman" w:hAnsi="Times New Roman" w:eastAsia="宋体" w:cs="Times New Roman"/>
                      <w:sz w:val="21"/>
                      <w:szCs w:val="21"/>
                      <w:vertAlign w:val="baseline"/>
                    </w:rPr>
                    <w:t>（t）</w:t>
                  </w:r>
                </w:p>
              </w:tc>
              <w:tc>
                <w:tcPr>
                  <w:tcW w:w="1582" w:type="dxa"/>
                  <w:tcBorders>
                    <w:tl2br w:val="nil"/>
                    <w:tr2bl w:val="nil"/>
                  </w:tcBorders>
                  <w:noWrap w:val="0"/>
                  <w:vAlign w:val="center"/>
                </w:tcPr>
                <w:p w14:paraId="6C140DEE">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储存方式</w:t>
                  </w:r>
                </w:p>
              </w:tc>
              <w:tc>
                <w:tcPr>
                  <w:tcW w:w="1576" w:type="dxa"/>
                  <w:tcBorders>
                    <w:tl2br w:val="nil"/>
                    <w:tr2bl w:val="nil"/>
                  </w:tcBorders>
                  <w:noWrap w:val="0"/>
                  <w:vAlign w:val="center"/>
                </w:tcPr>
                <w:p w14:paraId="289A375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储存位置</w:t>
                  </w:r>
                </w:p>
              </w:tc>
            </w:tr>
            <w:tr w14:paraId="5EF5587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63" w:type="dxa"/>
                  <w:tcBorders>
                    <w:tl2br w:val="nil"/>
                    <w:tr2bl w:val="nil"/>
                  </w:tcBorders>
                  <w:noWrap w:val="0"/>
                  <w:vAlign w:val="center"/>
                </w:tcPr>
                <w:p w14:paraId="56ED271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2244" w:type="dxa"/>
                  <w:tcBorders>
                    <w:tl2br w:val="nil"/>
                    <w:tr2bl w:val="nil"/>
                  </w:tcBorders>
                  <w:noWrap w:val="0"/>
                  <w:vAlign w:val="center"/>
                </w:tcPr>
                <w:p w14:paraId="7802A7D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kern w:val="2"/>
                      <w:sz w:val="21"/>
                      <w:szCs w:val="21"/>
                      <w:vertAlign w:val="baseline"/>
                      <w:lang w:val="en-US" w:eastAsia="zh-CN" w:bidi="ar-SA"/>
                    </w:rPr>
                    <w:t>润滑油</w:t>
                  </w:r>
                </w:p>
              </w:tc>
              <w:tc>
                <w:tcPr>
                  <w:tcW w:w="1812" w:type="dxa"/>
                  <w:tcBorders>
                    <w:tl2br w:val="nil"/>
                    <w:tr2bl w:val="nil"/>
                  </w:tcBorders>
                  <w:noWrap w:val="0"/>
                  <w:vAlign w:val="center"/>
                </w:tcPr>
                <w:p w14:paraId="006EAFF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kern w:val="2"/>
                      <w:sz w:val="21"/>
                      <w:szCs w:val="21"/>
                      <w:vertAlign w:val="baseline"/>
                      <w:lang w:val="en-US" w:eastAsia="zh-CN" w:bidi="ar-SA"/>
                    </w:rPr>
                    <w:t>0.5</w:t>
                  </w:r>
                </w:p>
              </w:tc>
              <w:tc>
                <w:tcPr>
                  <w:tcW w:w="1582" w:type="dxa"/>
                  <w:tcBorders>
                    <w:tl2br w:val="nil"/>
                    <w:tr2bl w:val="nil"/>
                  </w:tcBorders>
                  <w:noWrap w:val="0"/>
                  <w:vAlign w:val="center"/>
                </w:tcPr>
                <w:p w14:paraId="490FCBA4">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桶装</w:t>
                  </w:r>
                </w:p>
              </w:tc>
              <w:tc>
                <w:tcPr>
                  <w:tcW w:w="1576" w:type="dxa"/>
                  <w:tcBorders>
                    <w:tl2br w:val="nil"/>
                    <w:tr2bl w:val="nil"/>
                  </w:tcBorders>
                  <w:noWrap w:val="0"/>
                  <w:vAlign w:val="center"/>
                </w:tcPr>
                <w:p w14:paraId="5F8FBA1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化学品库房</w:t>
                  </w:r>
                </w:p>
              </w:tc>
            </w:tr>
            <w:tr w14:paraId="4818A5D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63" w:type="dxa"/>
                  <w:tcBorders>
                    <w:tl2br w:val="nil"/>
                    <w:tr2bl w:val="nil"/>
                  </w:tcBorders>
                  <w:noWrap w:val="0"/>
                  <w:vAlign w:val="center"/>
                </w:tcPr>
                <w:p w14:paraId="2248FD9E">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w:t>
                  </w:r>
                </w:p>
              </w:tc>
              <w:tc>
                <w:tcPr>
                  <w:tcW w:w="2244" w:type="dxa"/>
                  <w:tcBorders>
                    <w:tl2br w:val="nil"/>
                    <w:tr2bl w:val="nil"/>
                  </w:tcBorders>
                  <w:noWrap w:val="0"/>
                  <w:vAlign w:val="center"/>
                </w:tcPr>
                <w:p w14:paraId="618640C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kern w:val="2"/>
                      <w:sz w:val="21"/>
                      <w:szCs w:val="21"/>
                      <w:vertAlign w:val="baseline"/>
                      <w:lang w:val="en-US" w:eastAsia="zh-CN" w:bidi="ar-SA"/>
                    </w:rPr>
                    <w:t>导热油</w:t>
                  </w:r>
                </w:p>
              </w:tc>
              <w:tc>
                <w:tcPr>
                  <w:tcW w:w="1812" w:type="dxa"/>
                  <w:tcBorders>
                    <w:tl2br w:val="nil"/>
                    <w:tr2bl w:val="nil"/>
                  </w:tcBorders>
                  <w:noWrap w:val="0"/>
                  <w:vAlign w:val="center"/>
                </w:tcPr>
                <w:p w14:paraId="65F6754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kern w:val="2"/>
                      <w:sz w:val="21"/>
                      <w:szCs w:val="21"/>
                      <w:vertAlign w:val="baseline"/>
                      <w:lang w:val="en-US" w:eastAsia="zh-CN" w:bidi="ar-SA"/>
                    </w:rPr>
                    <w:t>5</w:t>
                  </w:r>
                </w:p>
              </w:tc>
              <w:tc>
                <w:tcPr>
                  <w:tcW w:w="1582" w:type="dxa"/>
                  <w:tcBorders>
                    <w:tl2br w:val="nil"/>
                    <w:tr2bl w:val="nil"/>
                  </w:tcBorders>
                  <w:noWrap w:val="0"/>
                  <w:vAlign w:val="center"/>
                </w:tcPr>
                <w:p w14:paraId="60AF2B3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rPr>
                  </w:pPr>
                  <w:r>
                    <w:rPr>
                      <w:rFonts w:hint="eastAsia" w:cs="Times New Roman"/>
                      <w:sz w:val="21"/>
                      <w:szCs w:val="21"/>
                      <w:vertAlign w:val="baseline"/>
                      <w:lang w:val="en-US" w:eastAsia="zh-CN"/>
                    </w:rPr>
                    <w:t>/</w:t>
                  </w:r>
                </w:p>
              </w:tc>
              <w:tc>
                <w:tcPr>
                  <w:tcW w:w="1576" w:type="dxa"/>
                  <w:tcBorders>
                    <w:tl2br w:val="nil"/>
                    <w:tr2bl w:val="nil"/>
                  </w:tcBorders>
                  <w:noWrap w:val="0"/>
                  <w:vAlign w:val="center"/>
                </w:tcPr>
                <w:p w14:paraId="46EAF55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导热油炉</w:t>
                  </w:r>
                </w:p>
              </w:tc>
            </w:tr>
            <w:tr w14:paraId="4201F52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63" w:type="dxa"/>
                  <w:tcBorders>
                    <w:tl2br w:val="nil"/>
                    <w:tr2bl w:val="nil"/>
                  </w:tcBorders>
                  <w:shd w:val="clear" w:color="auto" w:fill="auto"/>
                  <w:noWrap w:val="0"/>
                  <w:vAlign w:val="center"/>
                </w:tcPr>
                <w:p w14:paraId="7C87BC2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3</w:t>
                  </w:r>
                </w:p>
              </w:tc>
              <w:tc>
                <w:tcPr>
                  <w:tcW w:w="2244" w:type="dxa"/>
                  <w:tcBorders>
                    <w:tl2br w:val="nil"/>
                    <w:tr2bl w:val="nil"/>
                  </w:tcBorders>
                  <w:noWrap w:val="0"/>
                  <w:vAlign w:val="center"/>
                </w:tcPr>
                <w:p w14:paraId="498D973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b w:val="0"/>
                      <w:bCs w:val="0"/>
                      <w:kern w:val="2"/>
                      <w:sz w:val="21"/>
                      <w:szCs w:val="21"/>
                      <w:vertAlign w:val="baseline"/>
                      <w:lang w:val="en-US" w:eastAsia="zh-CN" w:bidi="ar-SA"/>
                    </w:rPr>
                  </w:pPr>
                  <w:r>
                    <w:rPr>
                      <w:rFonts w:hint="eastAsia" w:cs="Times New Roman"/>
                      <w:b w:val="0"/>
                      <w:bCs w:val="0"/>
                      <w:kern w:val="2"/>
                      <w:sz w:val="21"/>
                      <w:szCs w:val="21"/>
                      <w:vertAlign w:val="baseline"/>
                      <w:lang w:val="en-US" w:eastAsia="zh-CN" w:bidi="ar-SA"/>
                    </w:rPr>
                    <w:t>沥青</w:t>
                  </w:r>
                </w:p>
              </w:tc>
              <w:tc>
                <w:tcPr>
                  <w:tcW w:w="1812" w:type="dxa"/>
                  <w:tcBorders>
                    <w:tl2br w:val="nil"/>
                    <w:tr2bl w:val="nil"/>
                  </w:tcBorders>
                  <w:noWrap w:val="0"/>
                  <w:vAlign w:val="center"/>
                </w:tcPr>
                <w:p w14:paraId="30DFC80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b w:val="0"/>
                      <w:bCs w:val="0"/>
                      <w:kern w:val="2"/>
                      <w:sz w:val="21"/>
                      <w:szCs w:val="21"/>
                      <w:vertAlign w:val="baseline"/>
                      <w:lang w:val="en-US" w:eastAsia="zh-CN" w:bidi="ar-SA"/>
                    </w:rPr>
                  </w:pPr>
                  <w:r>
                    <w:rPr>
                      <w:rFonts w:hint="eastAsia" w:cs="Times New Roman"/>
                      <w:b w:val="0"/>
                      <w:bCs w:val="0"/>
                      <w:kern w:val="2"/>
                      <w:sz w:val="21"/>
                      <w:szCs w:val="21"/>
                      <w:vertAlign w:val="baseline"/>
                      <w:lang w:val="en-US" w:eastAsia="zh-CN" w:bidi="ar-SA"/>
                    </w:rPr>
                    <w:t>200</w:t>
                  </w:r>
                </w:p>
              </w:tc>
              <w:tc>
                <w:tcPr>
                  <w:tcW w:w="1582" w:type="dxa"/>
                  <w:tcBorders>
                    <w:tl2br w:val="nil"/>
                    <w:tr2bl w:val="nil"/>
                  </w:tcBorders>
                  <w:noWrap w:val="0"/>
                  <w:vAlign w:val="center"/>
                </w:tcPr>
                <w:p w14:paraId="02C9E9B8">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灌装</w:t>
                  </w:r>
                </w:p>
              </w:tc>
              <w:tc>
                <w:tcPr>
                  <w:tcW w:w="1576" w:type="dxa"/>
                  <w:tcBorders>
                    <w:tl2br w:val="nil"/>
                    <w:tr2bl w:val="nil"/>
                  </w:tcBorders>
                  <w:noWrap w:val="0"/>
                  <w:vAlign w:val="center"/>
                </w:tcPr>
                <w:p w14:paraId="6F678EC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沥青储罐</w:t>
                  </w:r>
                </w:p>
              </w:tc>
            </w:tr>
            <w:tr w14:paraId="08A3F8D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63" w:type="dxa"/>
                  <w:tcBorders>
                    <w:tl2br w:val="nil"/>
                    <w:tr2bl w:val="nil"/>
                  </w:tcBorders>
                  <w:shd w:val="clear" w:color="auto" w:fill="auto"/>
                  <w:noWrap w:val="0"/>
                  <w:vAlign w:val="center"/>
                </w:tcPr>
                <w:p w14:paraId="29C0856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4</w:t>
                  </w:r>
                </w:p>
              </w:tc>
              <w:tc>
                <w:tcPr>
                  <w:tcW w:w="2244" w:type="dxa"/>
                  <w:tcBorders>
                    <w:tl2br w:val="nil"/>
                    <w:tr2bl w:val="nil"/>
                  </w:tcBorders>
                  <w:noWrap w:val="0"/>
                  <w:vAlign w:val="center"/>
                </w:tcPr>
                <w:p w14:paraId="5EBA1BD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b w:val="0"/>
                      <w:bCs w:val="0"/>
                      <w:kern w:val="2"/>
                      <w:sz w:val="21"/>
                      <w:szCs w:val="21"/>
                      <w:vertAlign w:val="baseline"/>
                      <w:lang w:val="en-US" w:eastAsia="zh-CN" w:bidi="ar-SA"/>
                    </w:rPr>
                  </w:pPr>
                  <w:r>
                    <w:rPr>
                      <w:rFonts w:hint="eastAsia" w:cs="Times New Roman"/>
                      <w:b w:val="0"/>
                      <w:bCs w:val="0"/>
                      <w:kern w:val="2"/>
                      <w:sz w:val="21"/>
                      <w:szCs w:val="21"/>
                      <w:vertAlign w:val="baseline"/>
                      <w:lang w:val="en-US" w:eastAsia="zh-CN" w:bidi="ar-SA"/>
                    </w:rPr>
                    <w:t>天然气</w:t>
                  </w:r>
                </w:p>
              </w:tc>
              <w:tc>
                <w:tcPr>
                  <w:tcW w:w="1812" w:type="dxa"/>
                  <w:tcBorders>
                    <w:tl2br w:val="nil"/>
                    <w:tr2bl w:val="nil"/>
                  </w:tcBorders>
                  <w:noWrap w:val="0"/>
                  <w:vAlign w:val="center"/>
                </w:tcPr>
                <w:p w14:paraId="43F0960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b w:val="0"/>
                      <w:bCs w:val="0"/>
                      <w:kern w:val="2"/>
                      <w:sz w:val="21"/>
                      <w:szCs w:val="21"/>
                      <w:vertAlign w:val="baseline"/>
                      <w:lang w:val="en-US" w:eastAsia="zh-CN" w:bidi="ar-SA"/>
                    </w:rPr>
                  </w:pPr>
                  <w:r>
                    <w:rPr>
                      <w:rFonts w:hint="eastAsia" w:cs="Times New Roman"/>
                      <w:b w:val="0"/>
                      <w:bCs w:val="0"/>
                      <w:kern w:val="2"/>
                      <w:sz w:val="21"/>
                      <w:szCs w:val="21"/>
                      <w:vertAlign w:val="baseline"/>
                      <w:lang w:val="en-US" w:eastAsia="zh-CN" w:bidi="ar-SA"/>
                    </w:rPr>
                    <w:t>0.02</w:t>
                  </w:r>
                </w:p>
              </w:tc>
              <w:tc>
                <w:tcPr>
                  <w:tcW w:w="1582" w:type="dxa"/>
                  <w:tcBorders>
                    <w:tl2br w:val="nil"/>
                    <w:tr2bl w:val="nil"/>
                  </w:tcBorders>
                  <w:noWrap w:val="0"/>
                  <w:vAlign w:val="center"/>
                </w:tcPr>
                <w:p w14:paraId="600CC0C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w:t>
                  </w:r>
                </w:p>
              </w:tc>
              <w:tc>
                <w:tcPr>
                  <w:tcW w:w="1576" w:type="dxa"/>
                  <w:tcBorders>
                    <w:tl2br w:val="nil"/>
                    <w:tr2bl w:val="nil"/>
                  </w:tcBorders>
                  <w:noWrap w:val="0"/>
                  <w:vAlign w:val="center"/>
                </w:tcPr>
                <w:p w14:paraId="2048F67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天然气管道</w:t>
                  </w:r>
                </w:p>
              </w:tc>
            </w:tr>
            <w:tr w14:paraId="3D50B77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63" w:type="dxa"/>
                  <w:tcBorders>
                    <w:tl2br w:val="nil"/>
                    <w:tr2bl w:val="nil"/>
                  </w:tcBorders>
                  <w:shd w:val="clear" w:color="auto" w:fill="auto"/>
                  <w:noWrap w:val="0"/>
                  <w:vAlign w:val="center"/>
                </w:tcPr>
                <w:p w14:paraId="4B1B7DF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5</w:t>
                  </w:r>
                </w:p>
              </w:tc>
              <w:tc>
                <w:tcPr>
                  <w:tcW w:w="2244" w:type="dxa"/>
                  <w:tcBorders>
                    <w:tl2br w:val="nil"/>
                    <w:tr2bl w:val="nil"/>
                  </w:tcBorders>
                  <w:shd w:val="clear" w:color="auto" w:fill="auto"/>
                  <w:noWrap w:val="0"/>
                  <w:vAlign w:val="center"/>
                </w:tcPr>
                <w:p w14:paraId="7B93B41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废导热油</w:t>
                  </w:r>
                </w:p>
              </w:tc>
              <w:tc>
                <w:tcPr>
                  <w:tcW w:w="1812" w:type="dxa"/>
                  <w:tcBorders>
                    <w:tl2br w:val="nil"/>
                    <w:tr2bl w:val="nil"/>
                  </w:tcBorders>
                  <w:shd w:val="clear" w:color="auto" w:fill="auto"/>
                  <w:noWrap w:val="0"/>
                  <w:vAlign w:val="center"/>
                </w:tcPr>
                <w:p w14:paraId="4FDAD1E3">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w:t>
                  </w:r>
                </w:p>
              </w:tc>
              <w:tc>
                <w:tcPr>
                  <w:tcW w:w="1582" w:type="dxa"/>
                  <w:tcBorders>
                    <w:tl2br w:val="nil"/>
                    <w:tr2bl w:val="nil"/>
                  </w:tcBorders>
                  <w:noWrap w:val="0"/>
                  <w:vAlign w:val="center"/>
                </w:tcPr>
                <w:p w14:paraId="2099C5D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eastAsia="zh-CN"/>
                    </w:rPr>
                  </w:pPr>
                  <w:r>
                    <w:rPr>
                      <w:rFonts w:hint="eastAsia" w:cs="Times New Roman"/>
                      <w:sz w:val="21"/>
                      <w:szCs w:val="21"/>
                      <w:vertAlign w:val="baseline"/>
                      <w:lang w:val="en-US" w:eastAsia="zh-CN"/>
                    </w:rPr>
                    <w:t>/</w:t>
                  </w:r>
                </w:p>
              </w:tc>
              <w:tc>
                <w:tcPr>
                  <w:tcW w:w="1576" w:type="dxa"/>
                  <w:vMerge w:val="restart"/>
                  <w:tcBorders>
                    <w:tl2br w:val="nil"/>
                    <w:tr2bl w:val="nil"/>
                  </w:tcBorders>
                  <w:noWrap w:val="0"/>
                  <w:vAlign w:val="center"/>
                </w:tcPr>
                <w:p w14:paraId="180B809D">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危废暂存间</w:t>
                  </w:r>
                </w:p>
              </w:tc>
            </w:tr>
            <w:tr w14:paraId="08EA323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63" w:type="dxa"/>
                  <w:tcBorders>
                    <w:tl2br w:val="nil"/>
                    <w:tr2bl w:val="nil"/>
                  </w:tcBorders>
                  <w:shd w:val="clear" w:color="auto" w:fill="auto"/>
                  <w:noWrap w:val="0"/>
                  <w:vAlign w:val="center"/>
                </w:tcPr>
                <w:p w14:paraId="428BD03D">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6</w:t>
                  </w:r>
                </w:p>
              </w:tc>
              <w:tc>
                <w:tcPr>
                  <w:tcW w:w="2244" w:type="dxa"/>
                  <w:tcBorders>
                    <w:tl2br w:val="nil"/>
                    <w:tr2bl w:val="nil"/>
                  </w:tcBorders>
                  <w:shd w:val="clear" w:color="auto" w:fill="auto"/>
                  <w:noWrap w:val="0"/>
                  <w:vAlign w:val="center"/>
                </w:tcPr>
                <w:p w14:paraId="7753123A">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废活性炭</w:t>
                  </w:r>
                </w:p>
              </w:tc>
              <w:tc>
                <w:tcPr>
                  <w:tcW w:w="1812" w:type="dxa"/>
                  <w:tcBorders>
                    <w:tl2br w:val="nil"/>
                    <w:tr2bl w:val="nil"/>
                  </w:tcBorders>
                  <w:shd w:val="clear" w:color="auto" w:fill="auto"/>
                  <w:noWrap w:val="0"/>
                  <w:vAlign w:val="center"/>
                </w:tcPr>
                <w:p w14:paraId="254C187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2</w:t>
                  </w:r>
                </w:p>
              </w:tc>
              <w:tc>
                <w:tcPr>
                  <w:tcW w:w="1582" w:type="dxa"/>
                  <w:tcBorders>
                    <w:tl2br w:val="nil"/>
                    <w:tr2bl w:val="nil"/>
                  </w:tcBorders>
                  <w:noWrap w:val="0"/>
                  <w:vAlign w:val="center"/>
                </w:tcPr>
                <w:p w14:paraId="5431876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袋装</w:t>
                  </w:r>
                </w:p>
              </w:tc>
              <w:tc>
                <w:tcPr>
                  <w:tcW w:w="1576" w:type="dxa"/>
                  <w:vMerge w:val="continue"/>
                  <w:tcBorders>
                    <w:tl2br w:val="nil"/>
                    <w:tr2bl w:val="nil"/>
                  </w:tcBorders>
                  <w:noWrap w:val="0"/>
                  <w:vAlign w:val="center"/>
                </w:tcPr>
                <w:p w14:paraId="539F20B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r>
            <w:tr w14:paraId="1061065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63" w:type="dxa"/>
                  <w:tcBorders>
                    <w:tl2br w:val="nil"/>
                    <w:tr2bl w:val="nil"/>
                  </w:tcBorders>
                  <w:shd w:val="clear" w:color="auto" w:fill="auto"/>
                  <w:noWrap w:val="0"/>
                  <w:vAlign w:val="center"/>
                </w:tcPr>
                <w:p w14:paraId="0F413004">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7</w:t>
                  </w:r>
                </w:p>
              </w:tc>
              <w:tc>
                <w:tcPr>
                  <w:tcW w:w="2244" w:type="dxa"/>
                  <w:tcBorders>
                    <w:tl2br w:val="nil"/>
                    <w:tr2bl w:val="nil"/>
                  </w:tcBorders>
                  <w:shd w:val="clear" w:color="auto" w:fill="auto"/>
                  <w:noWrap w:val="0"/>
                  <w:vAlign w:val="center"/>
                </w:tcPr>
                <w:p w14:paraId="3B1EFCF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废过滤棉</w:t>
                  </w:r>
                </w:p>
              </w:tc>
              <w:tc>
                <w:tcPr>
                  <w:tcW w:w="1812" w:type="dxa"/>
                  <w:tcBorders>
                    <w:tl2br w:val="nil"/>
                    <w:tr2bl w:val="nil"/>
                  </w:tcBorders>
                  <w:shd w:val="clear" w:color="auto" w:fill="auto"/>
                  <w:noWrap w:val="0"/>
                  <w:vAlign w:val="center"/>
                </w:tcPr>
                <w:p w14:paraId="6EBD7F1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0.01</w:t>
                  </w:r>
                </w:p>
              </w:tc>
              <w:tc>
                <w:tcPr>
                  <w:tcW w:w="1582" w:type="dxa"/>
                  <w:tcBorders>
                    <w:tl2br w:val="nil"/>
                    <w:tr2bl w:val="nil"/>
                  </w:tcBorders>
                  <w:noWrap w:val="0"/>
                  <w:vAlign w:val="center"/>
                </w:tcPr>
                <w:p w14:paraId="05880CD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袋装</w:t>
                  </w:r>
                </w:p>
              </w:tc>
              <w:tc>
                <w:tcPr>
                  <w:tcW w:w="1576" w:type="dxa"/>
                  <w:vMerge w:val="continue"/>
                  <w:tcBorders>
                    <w:tl2br w:val="nil"/>
                    <w:tr2bl w:val="nil"/>
                  </w:tcBorders>
                  <w:noWrap w:val="0"/>
                  <w:vAlign w:val="center"/>
                </w:tcPr>
                <w:p w14:paraId="6254691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r>
            <w:tr w14:paraId="4B15D8D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63" w:type="dxa"/>
                  <w:tcBorders>
                    <w:tl2br w:val="nil"/>
                    <w:tr2bl w:val="nil"/>
                  </w:tcBorders>
                  <w:shd w:val="clear" w:color="auto" w:fill="auto"/>
                  <w:noWrap w:val="0"/>
                  <w:vAlign w:val="center"/>
                </w:tcPr>
                <w:p w14:paraId="7AD304D9">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8</w:t>
                  </w:r>
                </w:p>
              </w:tc>
              <w:tc>
                <w:tcPr>
                  <w:tcW w:w="2244" w:type="dxa"/>
                  <w:tcBorders>
                    <w:tl2br w:val="nil"/>
                    <w:tr2bl w:val="nil"/>
                  </w:tcBorders>
                  <w:shd w:val="clear" w:color="auto" w:fill="auto"/>
                  <w:noWrap w:val="0"/>
                  <w:vAlign w:val="center"/>
                </w:tcPr>
                <w:p w14:paraId="56A78C6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废润滑油</w:t>
                  </w:r>
                </w:p>
              </w:tc>
              <w:tc>
                <w:tcPr>
                  <w:tcW w:w="1812" w:type="dxa"/>
                  <w:tcBorders>
                    <w:tl2br w:val="nil"/>
                    <w:tr2bl w:val="nil"/>
                  </w:tcBorders>
                  <w:shd w:val="clear" w:color="auto" w:fill="auto"/>
                  <w:noWrap w:val="0"/>
                  <w:vAlign w:val="center"/>
                </w:tcPr>
                <w:p w14:paraId="3597121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0.5</w:t>
                  </w:r>
                </w:p>
              </w:tc>
              <w:tc>
                <w:tcPr>
                  <w:tcW w:w="1582" w:type="dxa"/>
                  <w:tcBorders>
                    <w:tl2br w:val="nil"/>
                    <w:tr2bl w:val="nil"/>
                  </w:tcBorders>
                  <w:noWrap w:val="0"/>
                  <w:vAlign w:val="center"/>
                </w:tcPr>
                <w:p w14:paraId="40FB84E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桶装</w:t>
                  </w:r>
                </w:p>
              </w:tc>
              <w:tc>
                <w:tcPr>
                  <w:tcW w:w="1576" w:type="dxa"/>
                  <w:vMerge w:val="continue"/>
                  <w:tcBorders>
                    <w:tl2br w:val="nil"/>
                    <w:tr2bl w:val="nil"/>
                  </w:tcBorders>
                  <w:noWrap w:val="0"/>
                  <w:vAlign w:val="center"/>
                </w:tcPr>
                <w:p w14:paraId="1426AD0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r>
            <w:tr w14:paraId="09DB623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63" w:type="dxa"/>
                  <w:tcBorders>
                    <w:tl2br w:val="nil"/>
                    <w:tr2bl w:val="nil"/>
                  </w:tcBorders>
                  <w:shd w:val="clear" w:color="auto" w:fill="auto"/>
                  <w:noWrap w:val="0"/>
                  <w:vAlign w:val="center"/>
                </w:tcPr>
                <w:p w14:paraId="009CF18A">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9</w:t>
                  </w:r>
                </w:p>
              </w:tc>
              <w:tc>
                <w:tcPr>
                  <w:tcW w:w="2244" w:type="dxa"/>
                  <w:tcBorders>
                    <w:tl2br w:val="nil"/>
                    <w:tr2bl w:val="nil"/>
                  </w:tcBorders>
                  <w:shd w:val="clear" w:color="auto" w:fill="auto"/>
                  <w:noWrap w:val="0"/>
                  <w:vAlign w:val="center"/>
                </w:tcPr>
                <w:p w14:paraId="7CAA140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含油抹布手套</w:t>
                  </w:r>
                </w:p>
              </w:tc>
              <w:tc>
                <w:tcPr>
                  <w:tcW w:w="1812" w:type="dxa"/>
                  <w:tcBorders>
                    <w:tl2br w:val="nil"/>
                    <w:tr2bl w:val="nil"/>
                  </w:tcBorders>
                  <w:shd w:val="clear" w:color="auto" w:fill="auto"/>
                  <w:noWrap w:val="0"/>
                  <w:vAlign w:val="center"/>
                </w:tcPr>
                <w:p w14:paraId="3DF9474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0.01</w:t>
                  </w:r>
                </w:p>
              </w:tc>
              <w:tc>
                <w:tcPr>
                  <w:tcW w:w="1582" w:type="dxa"/>
                  <w:tcBorders>
                    <w:tl2br w:val="nil"/>
                    <w:tr2bl w:val="nil"/>
                  </w:tcBorders>
                  <w:noWrap w:val="0"/>
                  <w:vAlign w:val="center"/>
                </w:tcPr>
                <w:p w14:paraId="07795F9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袋装</w:t>
                  </w:r>
                </w:p>
              </w:tc>
              <w:tc>
                <w:tcPr>
                  <w:tcW w:w="1576" w:type="dxa"/>
                  <w:vMerge w:val="continue"/>
                  <w:tcBorders>
                    <w:tl2br w:val="nil"/>
                    <w:tr2bl w:val="nil"/>
                  </w:tcBorders>
                  <w:noWrap w:val="0"/>
                  <w:vAlign w:val="center"/>
                </w:tcPr>
                <w:p w14:paraId="1254F39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r>
            <w:tr w14:paraId="1541501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63" w:type="dxa"/>
                  <w:tcBorders>
                    <w:tl2br w:val="nil"/>
                    <w:tr2bl w:val="nil"/>
                  </w:tcBorders>
                  <w:shd w:val="clear" w:color="auto" w:fill="auto"/>
                  <w:noWrap w:val="0"/>
                  <w:vAlign w:val="center"/>
                </w:tcPr>
                <w:p w14:paraId="3E749B69">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val="en-US" w:eastAsia="zh-CN"/>
                    </w:rPr>
                    <w:t>10</w:t>
                  </w:r>
                </w:p>
              </w:tc>
              <w:tc>
                <w:tcPr>
                  <w:tcW w:w="2244" w:type="dxa"/>
                  <w:tcBorders>
                    <w:tl2br w:val="nil"/>
                    <w:tr2bl w:val="nil"/>
                  </w:tcBorders>
                  <w:shd w:val="clear" w:color="auto" w:fill="auto"/>
                  <w:noWrap w:val="0"/>
                  <w:vAlign w:val="center"/>
                </w:tcPr>
                <w:p w14:paraId="1F2B09D8">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废润滑油桶</w:t>
                  </w:r>
                </w:p>
              </w:tc>
              <w:tc>
                <w:tcPr>
                  <w:tcW w:w="1812" w:type="dxa"/>
                  <w:tcBorders>
                    <w:tl2br w:val="nil"/>
                    <w:tr2bl w:val="nil"/>
                  </w:tcBorders>
                  <w:shd w:val="clear" w:color="auto" w:fill="auto"/>
                  <w:noWrap w:val="0"/>
                  <w:vAlign w:val="center"/>
                </w:tcPr>
                <w:p w14:paraId="361FBB48">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0.05</w:t>
                  </w:r>
                </w:p>
              </w:tc>
              <w:tc>
                <w:tcPr>
                  <w:tcW w:w="1582" w:type="dxa"/>
                  <w:tcBorders>
                    <w:tl2br w:val="nil"/>
                    <w:tr2bl w:val="nil"/>
                  </w:tcBorders>
                  <w:noWrap w:val="0"/>
                  <w:vAlign w:val="center"/>
                </w:tcPr>
                <w:p w14:paraId="6EE1D5D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加盖密闭</w:t>
                  </w:r>
                </w:p>
              </w:tc>
              <w:tc>
                <w:tcPr>
                  <w:tcW w:w="1576" w:type="dxa"/>
                  <w:vMerge w:val="continue"/>
                  <w:tcBorders>
                    <w:tl2br w:val="nil"/>
                    <w:tr2bl w:val="nil"/>
                  </w:tcBorders>
                  <w:noWrap w:val="0"/>
                  <w:vAlign w:val="center"/>
                </w:tcPr>
                <w:p w14:paraId="790EDEBD">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r>
            <w:tr w14:paraId="02FAD0A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63" w:type="dxa"/>
                  <w:tcBorders>
                    <w:tl2br w:val="nil"/>
                    <w:tr2bl w:val="nil"/>
                  </w:tcBorders>
                  <w:shd w:val="clear" w:color="auto" w:fill="auto"/>
                  <w:noWrap w:val="0"/>
                  <w:vAlign w:val="center"/>
                </w:tcPr>
                <w:p w14:paraId="3D284903">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cs="Times New Roman"/>
                      <w:kern w:val="2"/>
                      <w:sz w:val="21"/>
                      <w:szCs w:val="21"/>
                      <w:vertAlign w:val="baseline"/>
                      <w:lang w:val="en-US" w:eastAsia="zh-CN" w:bidi="ar-SA"/>
                    </w:rPr>
                    <w:t>11</w:t>
                  </w:r>
                </w:p>
              </w:tc>
              <w:tc>
                <w:tcPr>
                  <w:tcW w:w="2244" w:type="dxa"/>
                  <w:tcBorders>
                    <w:tl2br w:val="nil"/>
                    <w:tr2bl w:val="nil"/>
                  </w:tcBorders>
                  <w:shd w:val="clear" w:color="auto" w:fill="auto"/>
                  <w:noWrap w:val="0"/>
                  <w:vAlign w:val="center"/>
                </w:tcPr>
                <w:p w14:paraId="7E07E3B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废包装桶</w:t>
                  </w:r>
                </w:p>
              </w:tc>
              <w:tc>
                <w:tcPr>
                  <w:tcW w:w="1812" w:type="dxa"/>
                  <w:tcBorders>
                    <w:tl2br w:val="nil"/>
                    <w:tr2bl w:val="nil"/>
                  </w:tcBorders>
                  <w:shd w:val="clear" w:color="auto" w:fill="auto"/>
                  <w:noWrap w:val="0"/>
                  <w:vAlign w:val="center"/>
                </w:tcPr>
                <w:p w14:paraId="660B241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7.5</w:t>
                  </w:r>
                </w:p>
              </w:tc>
              <w:tc>
                <w:tcPr>
                  <w:tcW w:w="1582" w:type="dxa"/>
                  <w:tcBorders>
                    <w:tl2br w:val="nil"/>
                    <w:tr2bl w:val="nil"/>
                  </w:tcBorders>
                  <w:noWrap w:val="0"/>
                  <w:vAlign w:val="center"/>
                </w:tcPr>
                <w:p w14:paraId="78434599">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加盖密闭</w:t>
                  </w:r>
                </w:p>
              </w:tc>
              <w:tc>
                <w:tcPr>
                  <w:tcW w:w="1576" w:type="dxa"/>
                  <w:vMerge w:val="continue"/>
                  <w:tcBorders>
                    <w:tl2br w:val="nil"/>
                    <w:tr2bl w:val="nil"/>
                  </w:tcBorders>
                  <w:noWrap w:val="0"/>
                  <w:vAlign w:val="center"/>
                </w:tcPr>
                <w:p w14:paraId="3B51610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r>
            <w:tr w14:paraId="32F7F2C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63" w:type="dxa"/>
                  <w:tcBorders>
                    <w:tl2br w:val="nil"/>
                    <w:tr2bl w:val="nil"/>
                  </w:tcBorders>
                  <w:shd w:val="clear" w:color="auto" w:fill="auto"/>
                  <w:noWrap w:val="0"/>
                  <w:vAlign w:val="center"/>
                </w:tcPr>
                <w:p w14:paraId="4969F33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cs="Times New Roman"/>
                      <w:kern w:val="2"/>
                      <w:sz w:val="21"/>
                      <w:szCs w:val="21"/>
                      <w:vertAlign w:val="baseline"/>
                      <w:lang w:val="en-US" w:eastAsia="zh-CN" w:bidi="ar-SA"/>
                    </w:rPr>
                    <w:t>12</w:t>
                  </w:r>
                </w:p>
              </w:tc>
              <w:tc>
                <w:tcPr>
                  <w:tcW w:w="2244" w:type="dxa"/>
                  <w:tcBorders>
                    <w:tl2br w:val="nil"/>
                    <w:tr2bl w:val="nil"/>
                  </w:tcBorders>
                  <w:shd w:val="clear" w:color="auto" w:fill="auto"/>
                  <w:noWrap w:val="0"/>
                  <w:vAlign w:val="center"/>
                </w:tcPr>
                <w:p w14:paraId="305A56B8">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隔油池油污</w:t>
                  </w:r>
                </w:p>
              </w:tc>
              <w:tc>
                <w:tcPr>
                  <w:tcW w:w="1812" w:type="dxa"/>
                  <w:tcBorders>
                    <w:tl2br w:val="nil"/>
                    <w:tr2bl w:val="nil"/>
                  </w:tcBorders>
                  <w:shd w:val="clear" w:color="auto" w:fill="auto"/>
                  <w:noWrap w:val="0"/>
                  <w:vAlign w:val="center"/>
                </w:tcPr>
                <w:p w14:paraId="51C63CD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0.05</w:t>
                  </w:r>
                </w:p>
              </w:tc>
              <w:tc>
                <w:tcPr>
                  <w:tcW w:w="1582" w:type="dxa"/>
                  <w:tcBorders>
                    <w:tl2br w:val="nil"/>
                    <w:tr2bl w:val="nil"/>
                  </w:tcBorders>
                  <w:noWrap w:val="0"/>
                  <w:vAlign w:val="center"/>
                </w:tcPr>
                <w:p w14:paraId="1531032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桶装</w:t>
                  </w:r>
                </w:p>
              </w:tc>
              <w:tc>
                <w:tcPr>
                  <w:tcW w:w="1576" w:type="dxa"/>
                  <w:vMerge w:val="continue"/>
                  <w:tcBorders>
                    <w:tl2br w:val="nil"/>
                    <w:tr2bl w:val="nil"/>
                  </w:tcBorders>
                  <w:noWrap w:val="0"/>
                  <w:vAlign w:val="center"/>
                </w:tcPr>
                <w:p w14:paraId="55B1F2B3">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r>
          </w:tbl>
          <w:p w14:paraId="24A19134">
            <w:pPr>
              <w:wordWrap w:val="0"/>
              <w:spacing w:line="240" w:lineRule="auto"/>
              <w:ind w:firstLine="420" w:firstLineChars="200"/>
              <w:jc w:val="center"/>
              <w:rPr>
                <w:rFonts w:hint="eastAsia"/>
                <w:sz w:val="21"/>
                <w:szCs w:val="21"/>
              </w:rPr>
            </w:pPr>
          </w:p>
          <w:p w14:paraId="0B9CDA43">
            <w:pPr>
              <w:wordWrap w:val="0"/>
              <w:spacing w:line="360" w:lineRule="auto"/>
              <w:ind w:firstLine="480" w:firstLineChars="200"/>
              <w:rPr>
                <w:rFonts w:hint="eastAsia"/>
                <w:sz w:val="24"/>
              </w:rPr>
            </w:pPr>
            <w:r>
              <w:rPr>
                <w:rFonts w:hint="eastAsia"/>
                <w:sz w:val="24"/>
              </w:rPr>
              <w:t>根据《危险化学品重大危险源辨识》（GB18218-2018）中“危险化学品中重大危险源辨识”中的要求判断重大危险源。重大危险源的辨识指标如下：</w:t>
            </w:r>
          </w:p>
          <w:p w14:paraId="29D8E9AF">
            <w:pPr>
              <w:wordWrap w:val="0"/>
              <w:spacing w:line="360" w:lineRule="auto"/>
              <w:ind w:firstLine="480" w:firstLineChars="200"/>
              <w:rPr>
                <w:rFonts w:hint="eastAsia"/>
                <w:sz w:val="24"/>
              </w:rPr>
            </w:pPr>
            <w:r>
              <w:rPr>
                <w:rFonts w:hint="eastAsia"/>
                <w:sz w:val="24"/>
              </w:rPr>
              <w:t>当单元内存在的危险物质为单一品种时，则该物质的数量即为单元内危险物质的总量，若等于或超过相应的临界量，则定为重大危险源。</w:t>
            </w:r>
          </w:p>
          <w:p w14:paraId="2AE49A0E">
            <w:pPr>
              <w:wordWrap w:val="0"/>
              <w:spacing w:line="360" w:lineRule="auto"/>
              <w:ind w:firstLine="480" w:firstLineChars="200"/>
              <w:rPr>
                <w:rFonts w:hint="eastAsia"/>
                <w:sz w:val="24"/>
              </w:rPr>
            </w:pPr>
            <w:r>
              <w:rPr>
                <w:rFonts w:hint="eastAsia"/>
                <w:sz w:val="24"/>
              </w:rPr>
              <w:t>当单元内存在的危险物质为多品种时，若满足下列公式，则定为重大危险源。</w:t>
            </w:r>
          </w:p>
          <w:p w14:paraId="1F25A903">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eastAsia="宋体"/>
                <w:sz w:val="21"/>
                <w:szCs w:val="21"/>
                <w:lang w:eastAsia="zh-CN"/>
              </w:rPr>
            </w:pPr>
            <w:r>
              <w:rPr>
                <w:rFonts w:hint="eastAsia" w:eastAsia="宋体"/>
                <w:sz w:val="21"/>
                <w:szCs w:val="21"/>
                <w:lang w:eastAsia="zh-CN"/>
              </w:rPr>
              <w:drawing>
                <wp:inline distT="0" distB="0" distL="114300" distR="114300">
                  <wp:extent cx="1048385" cy="362585"/>
                  <wp:effectExtent l="0" t="0" r="3175" b="3175"/>
                  <wp:docPr id="237" name="图片 140" descr="QQ20241106-11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40" descr="QQ20241106-111206"/>
                          <pic:cNvPicPr>
                            <a:picLocks noChangeAspect="1"/>
                          </pic:cNvPicPr>
                        </pic:nvPicPr>
                        <pic:blipFill>
                          <a:blip r:embed="rId22"/>
                          <a:stretch>
                            <a:fillRect/>
                          </a:stretch>
                        </pic:blipFill>
                        <pic:spPr>
                          <a:xfrm>
                            <a:off x="0" y="0"/>
                            <a:ext cx="1048385" cy="362585"/>
                          </a:xfrm>
                          <a:prstGeom prst="rect">
                            <a:avLst/>
                          </a:prstGeom>
                          <a:noFill/>
                          <a:ln>
                            <a:noFill/>
                          </a:ln>
                        </pic:spPr>
                      </pic:pic>
                    </a:graphicData>
                  </a:graphic>
                </wp:inline>
              </w:drawing>
            </w:r>
          </w:p>
          <w:p w14:paraId="7FE28FBF">
            <w:pPr>
              <w:wordWrap w:val="0"/>
              <w:spacing w:line="360" w:lineRule="auto"/>
              <w:ind w:firstLine="480" w:firstLineChars="200"/>
              <w:rPr>
                <w:rFonts w:hint="eastAsia"/>
                <w:sz w:val="24"/>
              </w:rPr>
            </w:pPr>
            <w:r>
              <w:rPr>
                <w:rFonts w:hint="eastAsia"/>
                <w:sz w:val="24"/>
              </w:rPr>
              <w:t>式中：q</w:t>
            </w:r>
            <w:r>
              <w:rPr>
                <w:rFonts w:hint="eastAsia"/>
                <w:sz w:val="24"/>
                <w:vertAlign w:val="subscript"/>
              </w:rPr>
              <w:t>1</w:t>
            </w:r>
            <w:r>
              <w:rPr>
                <w:rFonts w:hint="eastAsia"/>
                <w:sz w:val="24"/>
              </w:rPr>
              <w:t>、q</w:t>
            </w:r>
            <w:r>
              <w:rPr>
                <w:rFonts w:hint="eastAsia"/>
                <w:sz w:val="24"/>
                <w:vertAlign w:val="subscript"/>
              </w:rPr>
              <w:t>2</w:t>
            </w:r>
            <w:r>
              <w:rPr>
                <w:rFonts w:hint="eastAsia"/>
                <w:sz w:val="24"/>
              </w:rPr>
              <w:t>、q</w:t>
            </w:r>
            <w:r>
              <w:rPr>
                <w:rFonts w:hint="eastAsia"/>
                <w:sz w:val="24"/>
                <w:vertAlign w:val="subscript"/>
              </w:rPr>
              <w:t>n</w:t>
            </w:r>
            <w:r>
              <w:rPr>
                <w:rFonts w:hint="eastAsia"/>
                <w:sz w:val="24"/>
              </w:rPr>
              <w:t>——每种危险物质最大存在量，t；</w:t>
            </w:r>
          </w:p>
          <w:p w14:paraId="3C55DF94">
            <w:pPr>
              <w:wordWrap w:val="0"/>
              <w:spacing w:line="360" w:lineRule="auto"/>
              <w:ind w:firstLine="1200" w:firstLineChars="500"/>
              <w:rPr>
                <w:rFonts w:hint="eastAsia"/>
                <w:sz w:val="24"/>
              </w:rPr>
            </w:pPr>
            <w:r>
              <w:rPr>
                <w:rFonts w:hint="eastAsia"/>
                <w:sz w:val="24"/>
              </w:rPr>
              <w:t>Q</w:t>
            </w:r>
            <w:r>
              <w:rPr>
                <w:rFonts w:hint="eastAsia"/>
                <w:sz w:val="24"/>
                <w:vertAlign w:val="subscript"/>
              </w:rPr>
              <w:t>1</w:t>
            </w:r>
            <w:r>
              <w:rPr>
                <w:rFonts w:hint="eastAsia"/>
                <w:sz w:val="24"/>
              </w:rPr>
              <w:t>、Q</w:t>
            </w:r>
            <w:r>
              <w:rPr>
                <w:rFonts w:hint="eastAsia"/>
                <w:sz w:val="24"/>
                <w:vertAlign w:val="subscript"/>
              </w:rPr>
              <w:t>2</w:t>
            </w:r>
            <w:r>
              <w:rPr>
                <w:rFonts w:hint="eastAsia"/>
                <w:sz w:val="24"/>
              </w:rPr>
              <w:t>、Q</w:t>
            </w:r>
            <w:r>
              <w:rPr>
                <w:rFonts w:hint="eastAsia"/>
                <w:sz w:val="24"/>
                <w:vertAlign w:val="subscript"/>
              </w:rPr>
              <w:t>n</w:t>
            </w:r>
            <w:r>
              <w:rPr>
                <w:rFonts w:hint="eastAsia"/>
                <w:sz w:val="24"/>
              </w:rPr>
              <w:t>——每种危险物的临界量，t。</w:t>
            </w:r>
          </w:p>
          <w:p w14:paraId="0A3425E9">
            <w:pPr>
              <w:wordWrap w:val="0"/>
              <w:spacing w:line="360" w:lineRule="auto"/>
              <w:ind w:firstLine="480" w:firstLineChars="200"/>
              <w:rPr>
                <w:rFonts w:hint="eastAsia" w:eastAsia="宋体"/>
                <w:sz w:val="24"/>
                <w:lang w:eastAsia="zh-CN"/>
              </w:rPr>
            </w:pPr>
            <w:r>
              <w:rPr>
                <w:rFonts w:hint="eastAsia"/>
                <w:sz w:val="24"/>
              </w:rPr>
              <w:t>本项目厂区较小，且生产单元与储存单元距离较近，因此把整个厂区作为一个单元分析，生产单元和储存单元涉及的危险物质最大使用量及临界量见下表</w:t>
            </w:r>
            <w:r>
              <w:rPr>
                <w:rFonts w:hint="eastAsia"/>
                <w:sz w:val="24"/>
                <w:lang w:eastAsia="zh-CN"/>
              </w:rPr>
              <w:t>：</w:t>
            </w:r>
          </w:p>
          <w:p w14:paraId="0731DFAE">
            <w:pPr>
              <w:numPr>
                <w:ilvl w:val="0"/>
                <w:numId w:val="6"/>
              </w:numPr>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危险物质使用量及临界量</w:t>
            </w:r>
          </w:p>
          <w:tbl>
            <w:tblPr>
              <w:tblStyle w:val="27"/>
              <w:tblW w:w="7961"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477"/>
              <w:gridCol w:w="1467"/>
              <w:gridCol w:w="972"/>
              <w:gridCol w:w="1298"/>
              <w:gridCol w:w="624"/>
              <w:gridCol w:w="1123"/>
            </w:tblGrid>
            <w:tr w14:paraId="33A5A3A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477" w:type="dxa"/>
                  <w:tcBorders>
                    <w:tl2br w:val="nil"/>
                    <w:tr2bl w:val="nil"/>
                  </w:tcBorders>
                  <w:noWrap w:val="0"/>
                  <w:vAlign w:val="center"/>
                </w:tcPr>
                <w:p w14:paraId="46C4663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名称</w:t>
                  </w:r>
                </w:p>
              </w:tc>
              <w:tc>
                <w:tcPr>
                  <w:tcW w:w="1467" w:type="dxa"/>
                  <w:tcBorders>
                    <w:tl2br w:val="nil"/>
                    <w:tr2bl w:val="nil"/>
                  </w:tcBorders>
                  <w:noWrap w:val="0"/>
                  <w:vAlign w:val="center"/>
                </w:tcPr>
                <w:p w14:paraId="7B54FD9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最大储存量t</w:t>
                  </w:r>
                </w:p>
              </w:tc>
              <w:tc>
                <w:tcPr>
                  <w:tcW w:w="972" w:type="dxa"/>
                  <w:tcBorders>
                    <w:tl2br w:val="nil"/>
                    <w:tr2bl w:val="nil"/>
                  </w:tcBorders>
                  <w:noWrap w:val="0"/>
                  <w:vAlign w:val="center"/>
                </w:tcPr>
                <w:p w14:paraId="7A707F8A">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临界量t</w:t>
                  </w:r>
                </w:p>
              </w:tc>
              <w:tc>
                <w:tcPr>
                  <w:tcW w:w="1298" w:type="dxa"/>
                  <w:tcBorders>
                    <w:tl2br w:val="nil"/>
                    <w:tr2bl w:val="nil"/>
                  </w:tcBorders>
                  <w:noWrap w:val="0"/>
                  <w:vAlign w:val="center"/>
                </w:tcPr>
                <w:p w14:paraId="441F6B2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临界量依据</w:t>
                  </w:r>
                </w:p>
              </w:tc>
              <w:tc>
                <w:tcPr>
                  <w:tcW w:w="624" w:type="dxa"/>
                  <w:tcBorders>
                    <w:tl2br w:val="nil"/>
                    <w:tr2bl w:val="nil"/>
                  </w:tcBorders>
                  <w:noWrap w:val="0"/>
                  <w:vAlign w:val="center"/>
                </w:tcPr>
                <w:p w14:paraId="455E2ADD">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Q</w:t>
                  </w:r>
                </w:p>
              </w:tc>
              <w:tc>
                <w:tcPr>
                  <w:tcW w:w="1123" w:type="dxa"/>
                  <w:tcBorders>
                    <w:tl2br w:val="nil"/>
                    <w:tr2bl w:val="nil"/>
                  </w:tcBorders>
                  <w:noWrap w:val="0"/>
                  <w:vAlign w:val="center"/>
                </w:tcPr>
                <w:p w14:paraId="74F4140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风险潜势</w:t>
                  </w:r>
                </w:p>
              </w:tc>
            </w:tr>
            <w:tr w14:paraId="4D659DA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477" w:type="dxa"/>
                  <w:tcBorders>
                    <w:tl2br w:val="nil"/>
                    <w:tr2bl w:val="nil"/>
                  </w:tcBorders>
                  <w:noWrap w:val="0"/>
                  <w:vAlign w:val="center"/>
                </w:tcPr>
                <w:p w14:paraId="7390533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kern w:val="2"/>
                      <w:sz w:val="21"/>
                      <w:szCs w:val="21"/>
                      <w:vertAlign w:val="baseline"/>
                      <w:lang w:val="en-US" w:eastAsia="zh-CN" w:bidi="ar-SA"/>
                    </w:rPr>
                    <w:t>润滑油</w:t>
                  </w:r>
                </w:p>
              </w:tc>
              <w:tc>
                <w:tcPr>
                  <w:tcW w:w="1467" w:type="dxa"/>
                  <w:tcBorders>
                    <w:tl2br w:val="nil"/>
                    <w:tr2bl w:val="nil"/>
                  </w:tcBorders>
                  <w:noWrap w:val="0"/>
                  <w:vAlign w:val="center"/>
                </w:tcPr>
                <w:p w14:paraId="7045169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kern w:val="2"/>
                      <w:sz w:val="21"/>
                      <w:szCs w:val="21"/>
                      <w:vertAlign w:val="baseline"/>
                      <w:lang w:val="en-US" w:eastAsia="zh-CN" w:bidi="ar-SA"/>
                    </w:rPr>
                    <w:t>0.5</w:t>
                  </w:r>
                </w:p>
              </w:tc>
              <w:tc>
                <w:tcPr>
                  <w:tcW w:w="972" w:type="dxa"/>
                  <w:tcBorders>
                    <w:tl2br w:val="nil"/>
                    <w:tr2bl w:val="nil"/>
                  </w:tcBorders>
                  <w:noWrap w:val="0"/>
                  <w:vAlign w:val="center"/>
                </w:tcPr>
                <w:p w14:paraId="0066945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2500</w:t>
                  </w:r>
                </w:p>
              </w:tc>
              <w:tc>
                <w:tcPr>
                  <w:tcW w:w="1298" w:type="dxa"/>
                  <w:vMerge w:val="restart"/>
                  <w:tcBorders>
                    <w:tl2br w:val="nil"/>
                    <w:tr2bl w:val="nil"/>
                  </w:tcBorders>
                  <w:noWrap w:val="0"/>
                  <w:vAlign w:val="center"/>
                </w:tcPr>
                <w:p w14:paraId="0CE71563">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《危险化学品重大危险源辨识》（GB18218-2018）、《建设项目环境风险评价技术导则》（HJ169-2018）</w:t>
                  </w:r>
                </w:p>
              </w:tc>
              <w:tc>
                <w:tcPr>
                  <w:tcW w:w="624" w:type="dxa"/>
                  <w:vMerge w:val="restart"/>
                  <w:tcBorders>
                    <w:tl2br w:val="nil"/>
                    <w:tr2bl w:val="nil"/>
                  </w:tcBorders>
                  <w:noWrap w:val="0"/>
                  <w:vAlign w:val="center"/>
                </w:tcPr>
                <w:p w14:paraId="45EC1F44">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0.2866</w:t>
                  </w:r>
                </w:p>
              </w:tc>
              <w:tc>
                <w:tcPr>
                  <w:tcW w:w="1123" w:type="dxa"/>
                  <w:vMerge w:val="restart"/>
                  <w:tcBorders>
                    <w:tl2br w:val="nil"/>
                    <w:tr2bl w:val="nil"/>
                  </w:tcBorders>
                  <w:noWrap w:val="0"/>
                  <w:vAlign w:val="center"/>
                </w:tcPr>
                <w:p w14:paraId="4AD809DA">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Ⅰ</w:t>
                  </w:r>
                </w:p>
              </w:tc>
            </w:tr>
            <w:tr w14:paraId="19FE83C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477" w:type="dxa"/>
                  <w:tcBorders>
                    <w:tl2br w:val="nil"/>
                    <w:tr2bl w:val="nil"/>
                  </w:tcBorders>
                  <w:noWrap w:val="0"/>
                  <w:vAlign w:val="center"/>
                </w:tcPr>
                <w:p w14:paraId="2B215EB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kern w:val="2"/>
                      <w:sz w:val="21"/>
                      <w:szCs w:val="21"/>
                      <w:vertAlign w:val="baseline"/>
                      <w:lang w:val="en-US" w:eastAsia="zh-CN" w:bidi="ar-SA"/>
                    </w:rPr>
                    <w:t>导热油</w:t>
                  </w:r>
                </w:p>
              </w:tc>
              <w:tc>
                <w:tcPr>
                  <w:tcW w:w="1467" w:type="dxa"/>
                  <w:tcBorders>
                    <w:tl2br w:val="nil"/>
                    <w:tr2bl w:val="nil"/>
                  </w:tcBorders>
                  <w:noWrap w:val="0"/>
                  <w:vAlign w:val="center"/>
                </w:tcPr>
                <w:p w14:paraId="0106832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kern w:val="2"/>
                      <w:sz w:val="21"/>
                      <w:szCs w:val="21"/>
                      <w:vertAlign w:val="baseline"/>
                      <w:lang w:val="en-US" w:eastAsia="zh-CN" w:bidi="ar-SA"/>
                    </w:rPr>
                    <w:t>5</w:t>
                  </w:r>
                </w:p>
              </w:tc>
              <w:tc>
                <w:tcPr>
                  <w:tcW w:w="972" w:type="dxa"/>
                  <w:tcBorders>
                    <w:tl2br w:val="nil"/>
                    <w:tr2bl w:val="nil"/>
                  </w:tcBorders>
                  <w:noWrap w:val="0"/>
                  <w:vAlign w:val="center"/>
                </w:tcPr>
                <w:p w14:paraId="5369720D">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2500</w:t>
                  </w:r>
                </w:p>
              </w:tc>
              <w:tc>
                <w:tcPr>
                  <w:tcW w:w="1298" w:type="dxa"/>
                  <w:vMerge w:val="continue"/>
                  <w:tcBorders>
                    <w:tl2br w:val="nil"/>
                    <w:tr2bl w:val="nil"/>
                  </w:tcBorders>
                  <w:noWrap w:val="0"/>
                  <w:vAlign w:val="center"/>
                </w:tcPr>
                <w:p w14:paraId="4173817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c>
                <w:tcPr>
                  <w:tcW w:w="624" w:type="dxa"/>
                  <w:vMerge w:val="continue"/>
                  <w:tcBorders>
                    <w:tl2br w:val="nil"/>
                    <w:tr2bl w:val="nil"/>
                  </w:tcBorders>
                  <w:noWrap w:val="0"/>
                  <w:vAlign w:val="center"/>
                </w:tcPr>
                <w:p w14:paraId="6A29B2A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c>
                <w:tcPr>
                  <w:tcW w:w="1123" w:type="dxa"/>
                  <w:vMerge w:val="continue"/>
                  <w:tcBorders>
                    <w:tl2br w:val="nil"/>
                    <w:tr2bl w:val="nil"/>
                  </w:tcBorders>
                  <w:noWrap w:val="0"/>
                  <w:vAlign w:val="center"/>
                </w:tcPr>
                <w:p w14:paraId="0609699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r>
            <w:tr w14:paraId="122623C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477" w:type="dxa"/>
                  <w:tcBorders>
                    <w:tl2br w:val="nil"/>
                    <w:tr2bl w:val="nil"/>
                  </w:tcBorders>
                  <w:noWrap w:val="0"/>
                  <w:vAlign w:val="center"/>
                </w:tcPr>
                <w:p w14:paraId="5B8C16A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b w:val="0"/>
                      <w:bCs w:val="0"/>
                      <w:kern w:val="2"/>
                      <w:sz w:val="21"/>
                      <w:szCs w:val="21"/>
                      <w:vertAlign w:val="baseline"/>
                      <w:lang w:val="en-US" w:eastAsia="zh-CN" w:bidi="ar-SA"/>
                    </w:rPr>
                  </w:pPr>
                  <w:r>
                    <w:rPr>
                      <w:rFonts w:hint="eastAsia" w:cs="Times New Roman"/>
                      <w:b w:val="0"/>
                      <w:bCs w:val="0"/>
                      <w:kern w:val="2"/>
                      <w:sz w:val="21"/>
                      <w:szCs w:val="21"/>
                      <w:vertAlign w:val="baseline"/>
                      <w:lang w:val="en-US" w:eastAsia="zh-CN" w:bidi="ar-SA"/>
                    </w:rPr>
                    <w:t>沥青</w:t>
                  </w:r>
                </w:p>
              </w:tc>
              <w:tc>
                <w:tcPr>
                  <w:tcW w:w="1467" w:type="dxa"/>
                  <w:tcBorders>
                    <w:tl2br w:val="nil"/>
                    <w:tr2bl w:val="nil"/>
                  </w:tcBorders>
                  <w:noWrap w:val="0"/>
                  <w:vAlign w:val="center"/>
                </w:tcPr>
                <w:p w14:paraId="0DEE71F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b w:val="0"/>
                      <w:bCs w:val="0"/>
                      <w:kern w:val="2"/>
                      <w:sz w:val="21"/>
                      <w:szCs w:val="21"/>
                      <w:vertAlign w:val="baseline"/>
                      <w:lang w:val="en-US" w:eastAsia="zh-CN" w:bidi="ar-SA"/>
                    </w:rPr>
                  </w:pPr>
                  <w:r>
                    <w:rPr>
                      <w:rFonts w:hint="eastAsia" w:cs="Times New Roman"/>
                      <w:b w:val="0"/>
                      <w:bCs w:val="0"/>
                      <w:kern w:val="2"/>
                      <w:sz w:val="21"/>
                      <w:szCs w:val="21"/>
                      <w:vertAlign w:val="baseline"/>
                      <w:lang w:val="en-US" w:eastAsia="zh-CN" w:bidi="ar-SA"/>
                    </w:rPr>
                    <w:t>200</w:t>
                  </w:r>
                </w:p>
              </w:tc>
              <w:tc>
                <w:tcPr>
                  <w:tcW w:w="972" w:type="dxa"/>
                  <w:tcBorders>
                    <w:tl2br w:val="nil"/>
                    <w:tr2bl w:val="nil"/>
                  </w:tcBorders>
                  <w:noWrap w:val="0"/>
                  <w:vAlign w:val="center"/>
                </w:tcPr>
                <w:p w14:paraId="092BEDC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2500</w:t>
                  </w:r>
                </w:p>
              </w:tc>
              <w:tc>
                <w:tcPr>
                  <w:tcW w:w="1298" w:type="dxa"/>
                  <w:vMerge w:val="continue"/>
                  <w:tcBorders>
                    <w:tl2br w:val="nil"/>
                    <w:tr2bl w:val="nil"/>
                  </w:tcBorders>
                  <w:noWrap w:val="0"/>
                  <w:vAlign w:val="center"/>
                </w:tcPr>
                <w:p w14:paraId="22337B9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c>
                <w:tcPr>
                  <w:tcW w:w="624" w:type="dxa"/>
                  <w:vMerge w:val="continue"/>
                  <w:tcBorders>
                    <w:tl2br w:val="nil"/>
                    <w:tr2bl w:val="nil"/>
                  </w:tcBorders>
                  <w:noWrap w:val="0"/>
                  <w:vAlign w:val="center"/>
                </w:tcPr>
                <w:p w14:paraId="3778F214">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c>
                <w:tcPr>
                  <w:tcW w:w="1123" w:type="dxa"/>
                  <w:vMerge w:val="continue"/>
                  <w:tcBorders>
                    <w:tl2br w:val="nil"/>
                    <w:tr2bl w:val="nil"/>
                  </w:tcBorders>
                  <w:noWrap w:val="0"/>
                  <w:vAlign w:val="center"/>
                </w:tcPr>
                <w:p w14:paraId="369C40E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r>
            <w:tr w14:paraId="368D23B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477" w:type="dxa"/>
                  <w:tcBorders>
                    <w:tl2br w:val="nil"/>
                    <w:tr2bl w:val="nil"/>
                  </w:tcBorders>
                  <w:noWrap w:val="0"/>
                  <w:vAlign w:val="center"/>
                </w:tcPr>
                <w:p w14:paraId="4F7900B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b w:val="0"/>
                      <w:bCs w:val="0"/>
                      <w:kern w:val="2"/>
                      <w:sz w:val="21"/>
                      <w:szCs w:val="21"/>
                      <w:vertAlign w:val="baseline"/>
                      <w:lang w:val="en-US" w:eastAsia="zh-CN" w:bidi="ar-SA"/>
                    </w:rPr>
                  </w:pPr>
                  <w:r>
                    <w:rPr>
                      <w:rFonts w:hint="eastAsia" w:cs="Times New Roman"/>
                      <w:b w:val="0"/>
                      <w:bCs w:val="0"/>
                      <w:kern w:val="2"/>
                      <w:sz w:val="21"/>
                      <w:szCs w:val="21"/>
                      <w:vertAlign w:val="baseline"/>
                      <w:lang w:val="en-US" w:eastAsia="zh-CN" w:bidi="ar-SA"/>
                    </w:rPr>
                    <w:t>天然气</w:t>
                  </w:r>
                </w:p>
              </w:tc>
              <w:tc>
                <w:tcPr>
                  <w:tcW w:w="1467" w:type="dxa"/>
                  <w:tcBorders>
                    <w:tl2br w:val="nil"/>
                    <w:tr2bl w:val="nil"/>
                  </w:tcBorders>
                  <w:noWrap w:val="0"/>
                  <w:vAlign w:val="center"/>
                </w:tcPr>
                <w:p w14:paraId="63A294F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Times New Roman"/>
                      <w:b w:val="0"/>
                      <w:bCs w:val="0"/>
                      <w:kern w:val="2"/>
                      <w:sz w:val="21"/>
                      <w:szCs w:val="21"/>
                      <w:vertAlign w:val="baseline"/>
                      <w:lang w:val="en-US" w:eastAsia="zh-CN" w:bidi="ar-SA"/>
                    </w:rPr>
                  </w:pPr>
                  <w:r>
                    <w:rPr>
                      <w:rFonts w:hint="eastAsia" w:cs="Times New Roman"/>
                      <w:b w:val="0"/>
                      <w:bCs w:val="0"/>
                      <w:kern w:val="2"/>
                      <w:sz w:val="21"/>
                      <w:szCs w:val="21"/>
                      <w:vertAlign w:val="baseline"/>
                      <w:lang w:val="en-US" w:eastAsia="zh-CN" w:bidi="ar-SA"/>
                    </w:rPr>
                    <w:t>0.02（管道量）</w:t>
                  </w:r>
                </w:p>
              </w:tc>
              <w:tc>
                <w:tcPr>
                  <w:tcW w:w="972" w:type="dxa"/>
                  <w:tcBorders>
                    <w:tl2br w:val="nil"/>
                    <w:tr2bl w:val="nil"/>
                  </w:tcBorders>
                  <w:noWrap w:val="0"/>
                  <w:vAlign w:val="center"/>
                </w:tcPr>
                <w:p w14:paraId="6316E5C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cs="Times New Roman"/>
                      <w:sz w:val="21"/>
                      <w:szCs w:val="21"/>
                      <w:vertAlign w:val="baseline"/>
                      <w:lang w:val="en-US" w:eastAsia="zh-CN"/>
                    </w:rPr>
                  </w:pPr>
                  <w:r>
                    <w:rPr>
                      <w:rFonts w:hint="eastAsia" w:cs="Times New Roman"/>
                      <w:sz w:val="21"/>
                      <w:szCs w:val="21"/>
                      <w:vertAlign w:val="baseline"/>
                      <w:lang w:val="en-US" w:eastAsia="zh-CN"/>
                    </w:rPr>
                    <w:t>10</w:t>
                  </w:r>
                </w:p>
              </w:tc>
              <w:tc>
                <w:tcPr>
                  <w:tcW w:w="1298" w:type="dxa"/>
                  <w:vMerge w:val="continue"/>
                  <w:tcBorders>
                    <w:tl2br w:val="nil"/>
                    <w:tr2bl w:val="nil"/>
                  </w:tcBorders>
                  <w:noWrap w:val="0"/>
                  <w:vAlign w:val="center"/>
                </w:tcPr>
                <w:p w14:paraId="39A34E1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c>
                <w:tcPr>
                  <w:tcW w:w="624" w:type="dxa"/>
                  <w:vMerge w:val="continue"/>
                  <w:tcBorders>
                    <w:tl2br w:val="nil"/>
                    <w:tr2bl w:val="nil"/>
                  </w:tcBorders>
                  <w:noWrap w:val="0"/>
                  <w:vAlign w:val="center"/>
                </w:tcPr>
                <w:p w14:paraId="7276785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c>
                <w:tcPr>
                  <w:tcW w:w="1123" w:type="dxa"/>
                  <w:vMerge w:val="continue"/>
                  <w:tcBorders>
                    <w:tl2br w:val="nil"/>
                    <w:tr2bl w:val="nil"/>
                  </w:tcBorders>
                  <w:noWrap w:val="0"/>
                  <w:vAlign w:val="center"/>
                </w:tcPr>
                <w:p w14:paraId="63AA38EA">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r>
            <w:tr w14:paraId="4A2E0F7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477" w:type="dxa"/>
                  <w:tcBorders>
                    <w:tl2br w:val="nil"/>
                    <w:tr2bl w:val="nil"/>
                  </w:tcBorders>
                  <w:shd w:val="clear" w:color="auto" w:fill="auto"/>
                  <w:noWrap w:val="0"/>
                  <w:vAlign w:val="center"/>
                </w:tcPr>
                <w:p w14:paraId="72B3CB44">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废导热油</w:t>
                  </w:r>
                </w:p>
              </w:tc>
              <w:tc>
                <w:tcPr>
                  <w:tcW w:w="1467" w:type="dxa"/>
                  <w:tcBorders>
                    <w:tl2br w:val="nil"/>
                    <w:tr2bl w:val="nil"/>
                  </w:tcBorders>
                  <w:noWrap w:val="0"/>
                  <w:vAlign w:val="center"/>
                </w:tcPr>
                <w:p w14:paraId="2E95EC9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w:t>
                  </w:r>
                </w:p>
              </w:tc>
              <w:tc>
                <w:tcPr>
                  <w:tcW w:w="972" w:type="dxa"/>
                  <w:tcBorders>
                    <w:tl2br w:val="nil"/>
                    <w:tr2bl w:val="nil"/>
                  </w:tcBorders>
                  <w:noWrap w:val="0"/>
                  <w:vAlign w:val="center"/>
                </w:tcPr>
                <w:p w14:paraId="7B2DA3C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50</w:t>
                  </w:r>
                </w:p>
              </w:tc>
              <w:tc>
                <w:tcPr>
                  <w:tcW w:w="1298" w:type="dxa"/>
                  <w:vMerge w:val="continue"/>
                  <w:tcBorders>
                    <w:tl2br w:val="nil"/>
                    <w:tr2bl w:val="nil"/>
                  </w:tcBorders>
                  <w:noWrap w:val="0"/>
                  <w:vAlign w:val="center"/>
                </w:tcPr>
                <w:p w14:paraId="3D7DE32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c>
                <w:tcPr>
                  <w:tcW w:w="624" w:type="dxa"/>
                  <w:vMerge w:val="continue"/>
                  <w:tcBorders>
                    <w:tl2br w:val="nil"/>
                    <w:tr2bl w:val="nil"/>
                  </w:tcBorders>
                  <w:noWrap w:val="0"/>
                  <w:vAlign w:val="center"/>
                </w:tcPr>
                <w:p w14:paraId="0A8AC2D9">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c>
                <w:tcPr>
                  <w:tcW w:w="1123" w:type="dxa"/>
                  <w:vMerge w:val="continue"/>
                  <w:tcBorders>
                    <w:tl2br w:val="nil"/>
                    <w:tr2bl w:val="nil"/>
                  </w:tcBorders>
                  <w:noWrap w:val="0"/>
                  <w:vAlign w:val="center"/>
                </w:tcPr>
                <w:p w14:paraId="5CC298A8">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r>
            <w:tr w14:paraId="6523EDD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477" w:type="dxa"/>
                  <w:tcBorders>
                    <w:tl2br w:val="nil"/>
                    <w:tr2bl w:val="nil"/>
                  </w:tcBorders>
                  <w:shd w:val="clear" w:color="auto" w:fill="auto"/>
                  <w:noWrap w:val="0"/>
                  <w:vAlign w:val="center"/>
                </w:tcPr>
                <w:p w14:paraId="4ADD7A8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废活性炭</w:t>
                  </w:r>
                </w:p>
              </w:tc>
              <w:tc>
                <w:tcPr>
                  <w:tcW w:w="1467" w:type="dxa"/>
                  <w:tcBorders>
                    <w:tl2br w:val="nil"/>
                    <w:tr2bl w:val="nil"/>
                  </w:tcBorders>
                  <w:noWrap w:val="0"/>
                  <w:vAlign w:val="center"/>
                </w:tcPr>
                <w:p w14:paraId="09799EDA">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2</w:t>
                  </w:r>
                </w:p>
              </w:tc>
              <w:tc>
                <w:tcPr>
                  <w:tcW w:w="972" w:type="dxa"/>
                  <w:tcBorders>
                    <w:tl2br w:val="nil"/>
                    <w:tr2bl w:val="nil"/>
                  </w:tcBorders>
                  <w:noWrap w:val="0"/>
                  <w:vAlign w:val="center"/>
                </w:tcPr>
                <w:p w14:paraId="5D8F9FE4">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50</w:t>
                  </w:r>
                </w:p>
              </w:tc>
              <w:tc>
                <w:tcPr>
                  <w:tcW w:w="1298" w:type="dxa"/>
                  <w:vMerge w:val="continue"/>
                  <w:tcBorders>
                    <w:tl2br w:val="nil"/>
                    <w:tr2bl w:val="nil"/>
                  </w:tcBorders>
                  <w:noWrap w:val="0"/>
                  <w:vAlign w:val="center"/>
                </w:tcPr>
                <w:p w14:paraId="6544152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c>
                <w:tcPr>
                  <w:tcW w:w="624" w:type="dxa"/>
                  <w:vMerge w:val="continue"/>
                  <w:tcBorders>
                    <w:tl2br w:val="nil"/>
                    <w:tr2bl w:val="nil"/>
                  </w:tcBorders>
                  <w:noWrap w:val="0"/>
                  <w:vAlign w:val="center"/>
                </w:tcPr>
                <w:p w14:paraId="12A3A558">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c>
                <w:tcPr>
                  <w:tcW w:w="1123" w:type="dxa"/>
                  <w:vMerge w:val="continue"/>
                  <w:tcBorders>
                    <w:tl2br w:val="nil"/>
                    <w:tr2bl w:val="nil"/>
                  </w:tcBorders>
                  <w:noWrap w:val="0"/>
                  <w:vAlign w:val="center"/>
                </w:tcPr>
                <w:p w14:paraId="67C8F4A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r>
            <w:tr w14:paraId="3994036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477" w:type="dxa"/>
                  <w:tcBorders>
                    <w:tl2br w:val="nil"/>
                    <w:tr2bl w:val="nil"/>
                  </w:tcBorders>
                  <w:shd w:val="clear" w:color="auto" w:fill="auto"/>
                  <w:noWrap w:val="0"/>
                  <w:vAlign w:val="center"/>
                </w:tcPr>
                <w:p w14:paraId="1437A1DA">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废过滤棉</w:t>
                  </w:r>
                </w:p>
              </w:tc>
              <w:tc>
                <w:tcPr>
                  <w:tcW w:w="1467" w:type="dxa"/>
                  <w:tcBorders>
                    <w:tl2br w:val="nil"/>
                    <w:tr2bl w:val="nil"/>
                  </w:tcBorders>
                  <w:noWrap w:val="0"/>
                  <w:vAlign w:val="center"/>
                </w:tcPr>
                <w:p w14:paraId="4AD85DAA">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highlight w:val="none"/>
                      <w:vertAlign w:val="baseline"/>
                      <w:lang w:eastAsia="zh-CN"/>
                    </w:rPr>
                    <w:t>0.01</w:t>
                  </w:r>
                </w:p>
              </w:tc>
              <w:tc>
                <w:tcPr>
                  <w:tcW w:w="972" w:type="dxa"/>
                  <w:tcBorders>
                    <w:tl2br w:val="nil"/>
                    <w:tr2bl w:val="nil"/>
                  </w:tcBorders>
                  <w:noWrap w:val="0"/>
                  <w:vAlign w:val="center"/>
                </w:tcPr>
                <w:p w14:paraId="76E9E4A4">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50</w:t>
                  </w:r>
                </w:p>
              </w:tc>
              <w:tc>
                <w:tcPr>
                  <w:tcW w:w="1298" w:type="dxa"/>
                  <w:vMerge w:val="continue"/>
                  <w:tcBorders>
                    <w:tl2br w:val="nil"/>
                    <w:tr2bl w:val="nil"/>
                  </w:tcBorders>
                  <w:noWrap w:val="0"/>
                  <w:vAlign w:val="center"/>
                </w:tcPr>
                <w:p w14:paraId="2B4089E3">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c>
                <w:tcPr>
                  <w:tcW w:w="624" w:type="dxa"/>
                  <w:vMerge w:val="continue"/>
                  <w:tcBorders>
                    <w:tl2br w:val="nil"/>
                    <w:tr2bl w:val="nil"/>
                  </w:tcBorders>
                  <w:noWrap w:val="0"/>
                  <w:vAlign w:val="center"/>
                </w:tcPr>
                <w:p w14:paraId="1FF055F3">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c>
                <w:tcPr>
                  <w:tcW w:w="1123" w:type="dxa"/>
                  <w:vMerge w:val="continue"/>
                  <w:tcBorders>
                    <w:tl2br w:val="nil"/>
                    <w:tr2bl w:val="nil"/>
                  </w:tcBorders>
                  <w:noWrap w:val="0"/>
                  <w:vAlign w:val="center"/>
                </w:tcPr>
                <w:p w14:paraId="731BEAD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r>
            <w:tr w14:paraId="6BC85B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477" w:type="dxa"/>
                  <w:tcBorders>
                    <w:tl2br w:val="nil"/>
                    <w:tr2bl w:val="nil"/>
                  </w:tcBorders>
                  <w:shd w:val="clear" w:color="auto" w:fill="auto"/>
                  <w:noWrap w:val="0"/>
                  <w:vAlign w:val="center"/>
                </w:tcPr>
                <w:p w14:paraId="1CE8D3A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废润滑油</w:t>
                  </w:r>
                </w:p>
              </w:tc>
              <w:tc>
                <w:tcPr>
                  <w:tcW w:w="1467" w:type="dxa"/>
                  <w:tcBorders>
                    <w:tl2br w:val="nil"/>
                    <w:tr2bl w:val="nil"/>
                  </w:tcBorders>
                  <w:noWrap w:val="0"/>
                  <w:vAlign w:val="center"/>
                </w:tcPr>
                <w:p w14:paraId="7826186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0.5</w:t>
                  </w:r>
                </w:p>
              </w:tc>
              <w:tc>
                <w:tcPr>
                  <w:tcW w:w="972" w:type="dxa"/>
                  <w:tcBorders>
                    <w:tl2br w:val="nil"/>
                    <w:tr2bl w:val="nil"/>
                  </w:tcBorders>
                  <w:noWrap w:val="0"/>
                  <w:vAlign w:val="center"/>
                </w:tcPr>
                <w:p w14:paraId="767D1E2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50</w:t>
                  </w:r>
                </w:p>
              </w:tc>
              <w:tc>
                <w:tcPr>
                  <w:tcW w:w="1298" w:type="dxa"/>
                  <w:vMerge w:val="continue"/>
                  <w:tcBorders>
                    <w:tl2br w:val="nil"/>
                    <w:tr2bl w:val="nil"/>
                  </w:tcBorders>
                  <w:noWrap w:val="0"/>
                  <w:vAlign w:val="center"/>
                </w:tcPr>
                <w:p w14:paraId="2138F8E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c>
                <w:tcPr>
                  <w:tcW w:w="624" w:type="dxa"/>
                  <w:vMerge w:val="continue"/>
                  <w:tcBorders>
                    <w:tl2br w:val="nil"/>
                    <w:tr2bl w:val="nil"/>
                  </w:tcBorders>
                  <w:noWrap w:val="0"/>
                  <w:vAlign w:val="center"/>
                </w:tcPr>
                <w:p w14:paraId="4AD8350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c>
                <w:tcPr>
                  <w:tcW w:w="1123" w:type="dxa"/>
                  <w:vMerge w:val="continue"/>
                  <w:tcBorders>
                    <w:tl2br w:val="nil"/>
                    <w:tr2bl w:val="nil"/>
                  </w:tcBorders>
                  <w:noWrap w:val="0"/>
                  <w:vAlign w:val="center"/>
                </w:tcPr>
                <w:p w14:paraId="47DF008E">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r>
            <w:tr w14:paraId="0BA5CC5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477" w:type="dxa"/>
                  <w:tcBorders>
                    <w:tl2br w:val="nil"/>
                    <w:tr2bl w:val="nil"/>
                  </w:tcBorders>
                  <w:shd w:val="clear" w:color="auto" w:fill="auto"/>
                  <w:noWrap w:val="0"/>
                  <w:vAlign w:val="center"/>
                </w:tcPr>
                <w:p w14:paraId="42D039C9">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含油抹布手套</w:t>
                  </w:r>
                </w:p>
              </w:tc>
              <w:tc>
                <w:tcPr>
                  <w:tcW w:w="1467" w:type="dxa"/>
                  <w:tcBorders>
                    <w:tl2br w:val="nil"/>
                    <w:tr2bl w:val="nil"/>
                  </w:tcBorders>
                  <w:noWrap w:val="0"/>
                  <w:vAlign w:val="center"/>
                </w:tcPr>
                <w:p w14:paraId="0A0B38B4">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0.01</w:t>
                  </w:r>
                </w:p>
              </w:tc>
              <w:tc>
                <w:tcPr>
                  <w:tcW w:w="972" w:type="dxa"/>
                  <w:tcBorders>
                    <w:tl2br w:val="nil"/>
                    <w:tr2bl w:val="nil"/>
                  </w:tcBorders>
                  <w:noWrap w:val="0"/>
                  <w:vAlign w:val="center"/>
                </w:tcPr>
                <w:p w14:paraId="6BA465C9">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50</w:t>
                  </w:r>
                </w:p>
              </w:tc>
              <w:tc>
                <w:tcPr>
                  <w:tcW w:w="1298" w:type="dxa"/>
                  <w:vMerge w:val="continue"/>
                  <w:tcBorders>
                    <w:tl2br w:val="nil"/>
                    <w:tr2bl w:val="nil"/>
                  </w:tcBorders>
                  <w:noWrap w:val="0"/>
                  <w:vAlign w:val="center"/>
                </w:tcPr>
                <w:p w14:paraId="28410808">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c>
                <w:tcPr>
                  <w:tcW w:w="624" w:type="dxa"/>
                  <w:vMerge w:val="continue"/>
                  <w:tcBorders>
                    <w:tl2br w:val="nil"/>
                    <w:tr2bl w:val="nil"/>
                  </w:tcBorders>
                  <w:noWrap w:val="0"/>
                  <w:vAlign w:val="center"/>
                </w:tcPr>
                <w:p w14:paraId="531F1FE3">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c>
                <w:tcPr>
                  <w:tcW w:w="1123" w:type="dxa"/>
                  <w:vMerge w:val="continue"/>
                  <w:tcBorders>
                    <w:tl2br w:val="nil"/>
                    <w:tr2bl w:val="nil"/>
                  </w:tcBorders>
                  <w:noWrap w:val="0"/>
                  <w:vAlign w:val="center"/>
                </w:tcPr>
                <w:p w14:paraId="7A70296E">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r>
            <w:tr w14:paraId="1A6AC7A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477" w:type="dxa"/>
                  <w:tcBorders>
                    <w:tl2br w:val="nil"/>
                    <w:tr2bl w:val="nil"/>
                  </w:tcBorders>
                  <w:shd w:val="clear" w:color="auto" w:fill="auto"/>
                  <w:noWrap w:val="0"/>
                  <w:vAlign w:val="center"/>
                </w:tcPr>
                <w:p w14:paraId="29CD71C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废润滑油桶</w:t>
                  </w:r>
                </w:p>
              </w:tc>
              <w:tc>
                <w:tcPr>
                  <w:tcW w:w="1467" w:type="dxa"/>
                  <w:tcBorders>
                    <w:tl2br w:val="nil"/>
                    <w:tr2bl w:val="nil"/>
                  </w:tcBorders>
                  <w:noWrap w:val="0"/>
                  <w:vAlign w:val="center"/>
                </w:tcPr>
                <w:p w14:paraId="45B694D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0.05</w:t>
                  </w:r>
                </w:p>
              </w:tc>
              <w:tc>
                <w:tcPr>
                  <w:tcW w:w="972" w:type="dxa"/>
                  <w:tcBorders>
                    <w:tl2br w:val="nil"/>
                    <w:tr2bl w:val="nil"/>
                  </w:tcBorders>
                  <w:noWrap w:val="0"/>
                  <w:vAlign w:val="center"/>
                </w:tcPr>
                <w:p w14:paraId="650B68F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50</w:t>
                  </w:r>
                </w:p>
              </w:tc>
              <w:tc>
                <w:tcPr>
                  <w:tcW w:w="1298" w:type="dxa"/>
                  <w:vMerge w:val="continue"/>
                  <w:tcBorders>
                    <w:tl2br w:val="nil"/>
                    <w:tr2bl w:val="nil"/>
                  </w:tcBorders>
                  <w:noWrap w:val="0"/>
                  <w:vAlign w:val="center"/>
                </w:tcPr>
                <w:p w14:paraId="7931317E">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c>
                <w:tcPr>
                  <w:tcW w:w="624" w:type="dxa"/>
                  <w:vMerge w:val="continue"/>
                  <w:tcBorders>
                    <w:tl2br w:val="nil"/>
                    <w:tr2bl w:val="nil"/>
                  </w:tcBorders>
                  <w:noWrap w:val="0"/>
                  <w:vAlign w:val="center"/>
                </w:tcPr>
                <w:p w14:paraId="4A102589">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c>
                <w:tcPr>
                  <w:tcW w:w="1123" w:type="dxa"/>
                  <w:vMerge w:val="continue"/>
                  <w:tcBorders>
                    <w:tl2br w:val="nil"/>
                    <w:tr2bl w:val="nil"/>
                  </w:tcBorders>
                  <w:noWrap w:val="0"/>
                  <w:vAlign w:val="center"/>
                </w:tcPr>
                <w:p w14:paraId="511F7B3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r>
            <w:tr w14:paraId="6B83F06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477" w:type="dxa"/>
                  <w:tcBorders>
                    <w:tl2br w:val="nil"/>
                    <w:tr2bl w:val="nil"/>
                  </w:tcBorders>
                  <w:shd w:val="clear" w:color="auto" w:fill="auto"/>
                  <w:noWrap w:val="0"/>
                  <w:vAlign w:val="center"/>
                </w:tcPr>
                <w:p w14:paraId="3B208E2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废包装桶</w:t>
                  </w:r>
                </w:p>
              </w:tc>
              <w:tc>
                <w:tcPr>
                  <w:tcW w:w="1467" w:type="dxa"/>
                  <w:tcBorders>
                    <w:tl2br w:val="nil"/>
                    <w:tr2bl w:val="nil"/>
                  </w:tcBorders>
                  <w:noWrap w:val="0"/>
                  <w:vAlign w:val="center"/>
                </w:tcPr>
                <w:p w14:paraId="35C3ED2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7.5</w:t>
                  </w:r>
                </w:p>
              </w:tc>
              <w:tc>
                <w:tcPr>
                  <w:tcW w:w="972" w:type="dxa"/>
                  <w:tcBorders>
                    <w:tl2br w:val="nil"/>
                    <w:tr2bl w:val="nil"/>
                  </w:tcBorders>
                  <w:noWrap w:val="0"/>
                  <w:vAlign w:val="center"/>
                </w:tcPr>
                <w:p w14:paraId="2D4D5F7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50</w:t>
                  </w:r>
                </w:p>
              </w:tc>
              <w:tc>
                <w:tcPr>
                  <w:tcW w:w="1298" w:type="dxa"/>
                  <w:vMerge w:val="continue"/>
                  <w:tcBorders>
                    <w:tl2br w:val="nil"/>
                    <w:tr2bl w:val="nil"/>
                  </w:tcBorders>
                  <w:noWrap w:val="0"/>
                  <w:vAlign w:val="center"/>
                </w:tcPr>
                <w:p w14:paraId="659CF1C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c>
                <w:tcPr>
                  <w:tcW w:w="624" w:type="dxa"/>
                  <w:vMerge w:val="continue"/>
                  <w:tcBorders>
                    <w:tl2br w:val="nil"/>
                    <w:tr2bl w:val="nil"/>
                  </w:tcBorders>
                  <w:noWrap w:val="0"/>
                  <w:vAlign w:val="center"/>
                </w:tcPr>
                <w:p w14:paraId="730A3F2E">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c>
                <w:tcPr>
                  <w:tcW w:w="1123" w:type="dxa"/>
                  <w:vMerge w:val="continue"/>
                  <w:tcBorders>
                    <w:tl2br w:val="nil"/>
                    <w:tr2bl w:val="nil"/>
                  </w:tcBorders>
                  <w:noWrap w:val="0"/>
                  <w:vAlign w:val="center"/>
                </w:tcPr>
                <w:p w14:paraId="1378D9D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r>
            <w:tr w14:paraId="53A7CDC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477" w:type="dxa"/>
                  <w:tcBorders>
                    <w:tl2br w:val="nil"/>
                    <w:tr2bl w:val="nil"/>
                  </w:tcBorders>
                  <w:shd w:val="clear" w:color="auto" w:fill="auto"/>
                  <w:noWrap w:val="0"/>
                  <w:vAlign w:val="center"/>
                </w:tcPr>
                <w:p w14:paraId="766B202E">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隔油池油污</w:t>
                  </w:r>
                </w:p>
              </w:tc>
              <w:tc>
                <w:tcPr>
                  <w:tcW w:w="1467" w:type="dxa"/>
                  <w:tcBorders>
                    <w:tl2br w:val="nil"/>
                    <w:tr2bl w:val="nil"/>
                  </w:tcBorders>
                  <w:noWrap w:val="0"/>
                  <w:vAlign w:val="center"/>
                </w:tcPr>
                <w:p w14:paraId="37A2190E">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highlight w:val="none"/>
                      <w:vertAlign w:val="baseline"/>
                      <w:lang w:val="en-US" w:eastAsia="zh-CN"/>
                    </w:rPr>
                    <w:t>0.05</w:t>
                  </w:r>
                </w:p>
              </w:tc>
              <w:tc>
                <w:tcPr>
                  <w:tcW w:w="972" w:type="dxa"/>
                  <w:tcBorders>
                    <w:tl2br w:val="nil"/>
                    <w:tr2bl w:val="nil"/>
                  </w:tcBorders>
                  <w:noWrap w:val="0"/>
                  <w:vAlign w:val="center"/>
                </w:tcPr>
                <w:p w14:paraId="772A4F5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50</w:t>
                  </w:r>
                </w:p>
              </w:tc>
              <w:tc>
                <w:tcPr>
                  <w:tcW w:w="1298" w:type="dxa"/>
                  <w:vMerge w:val="continue"/>
                  <w:tcBorders>
                    <w:tl2br w:val="nil"/>
                    <w:tr2bl w:val="nil"/>
                  </w:tcBorders>
                  <w:noWrap w:val="0"/>
                  <w:vAlign w:val="center"/>
                </w:tcPr>
                <w:p w14:paraId="0F6FE8B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c>
                <w:tcPr>
                  <w:tcW w:w="624" w:type="dxa"/>
                  <w:vMerge w:val="continue"/>
                  <w:tcBorders>
                    <w:tl2br w:val="nil"/>
                    <w:tr2bl w:val="nil"/>
                  </w:tcBorders>
                  <w:noWrap w:val="0"/>
                  <w:vAlign w:val="center"/>
                </w:tcPr>
                <w:p w14:paraId="3A9B7B8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c>
                <w:tcPr>
                  <w:tcW w:w="1123" w:type="dxa"/>
                  <w:vMerge w:val="continue"/>
                  <w:tcBorders>
                    <w:tl2br w:val="nil"/>
                    <w:tr2bl w:val="nil"/>
                  </w:tcBorders>
                  <w:noWrap w:val="0"/>
                  <w:vAlign w:val="center"/>
                </w:tcPr>
                <w:p w14:paraId="39307FD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p>
              </w:tc>
            </w:tr>
            <w:tr w14:paraId="7E633EE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7961" w:type="dxa"/>
                  <w:gridSpan w:val="6"/>
                  <w:tcBorders>
                    <w:tl2br w:val="nil"/>
                    <w:tr2bl w:val="nil"/>
                  </w:tcBorders>
                  <w:shd w:val="clear" w:color="auto" w:fill="auto"/>
                  <w:noWrap w:val="0"/>
                  <w:vAlign w:val="center"/>
                </w:tcPr>
                <w:p w14:paraId="173CA488">
                  <w:pPr>
                    <w:keepNext w:val="0"/>
                    <w:keepLines w:val="0"/>
                    <w:pageBreakBefore w:val="0"/>
                    <w:widowControl w:val="0"/>
                    <w:kinsoku/>
                    <w:wordWrap w:val="0"/>
                    <w:overflowPunct/>
                    <w:topLinePunct w:val="0"/>
                    <w:autoSpaceDE/>
                    <w:autoSpaceDN/>
                    <w:bidi w:val="0"/>
                    <w:adjustRightInd/>
                    <w:snapToGrid/>
                    <w:spacing w:line="240" w:lineRule="exact"/>
                    <w:jc w:val="both"/>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注：天然气临界量参考甲烷，临界量为10t；沥青临界量参考油类物质，临界量为2500t</w:t>
                  </w:r>
                </w:p>
              </w:tc>
            </w:tr>
          </w:tbl>
          <w:p w14:paraId="317D4BF2">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sz w:val="21"/>
                <w:szCs w:val="21"/>
              </w:rPr>
            </w:pPr>
          </w:p>
          <w:p w14:paraId="75BE1CB2">
            <w:pPr>
              <w:wordWrap w:val="0"/>
              <w:spacing w:line="360" w:lineRule="auto"/>
              <w:ind w:firstLine="480" w:firstLineChars="200"/>
              <w:rPr>
                <w:rFonts w:hint="eastAsia"/>
                <w:sz w:val="24"/>
              </w:rPr>
            </w:pPr>
            <w:r>
              <w:rPr>
                <w:rFonts w:hint="eastAsia"/>
                <w:sz w:val="24"/>
              </w:rPr>
              <w:t>根据计算Q=</w:t>
            </w:r>
            <w:r>
              <w:rPr>
                <w:rFonts w:hint="eastAsia"/>
                <w:sz w:val="24"/>
                <w:lang w:val="en-US" w:eastAsia="zh-CN"/>
              </w:rPr>
              <w:t>0.2866</w:t>
            </w:r>
            <w:r>
              <w:rPr>
                <w:rFonts w:hint="eastAsia"/>
                <w:sz w:val="24"/>
              </w:rPr>
              <w:t>&lt;1，确定本项目环境风险潜势为I，有毒有害和易燃易爆危险物质存储量未超过临界量，无需开展环评风险专项评价。</w:t>
            </w:r>
          </w:p>
          <w:p w14:paraId="6A6180AB">
            <w:pPr>
              <w:wordWrap w:val="0"/>
              <w:spacing w:line="360" w:lineRule="auto"/>
              <w:ind w:firstLine="482" w:firstLineChars="200"/>
              <w:rPr>
                <w:rFonts w:hint="eastAsia"/>
                <w:b/>
                <w:bCs/>
                <w:sz w:val="24"/>
              </w:rPr>
            </w:pPr>
            <w:r>
              <w:rPr>
                <w:rFonts w:hint="eastAsia"/>
                <w:b/>
                <w:bCs/>
                <w:sz w:val="24"/>
                <w:lang w:val="en-US" w:eastAsia="zh-CN"/>
              </w:rPr>
              <w:t>7.3环境风险识别</w:t>
            </w:r>
          </w:p>
          <w:p w14:paraId="0ACE6D1B">
            <w:pPr>
              <w:wordWrap w:val="0"/>
              <w:spacing w:line="360" w:lineRule="auto"/>
              <w:ind w:firstLine="480" w:firstLineChars="200"/>
              <w:rPr>
                <w:rFonts w:hint="eastAsia"/>
                <w:sz w:val="24"/>
              </w:rPr>
            </w:pPr>
            <w:r>
              <w:rPr>
                <w:rFonts w:hint="eastAsia"/>
                <w:sz w:val="24"/>
              </w:rPr>
              <w:t>项目在生产过程中，可能发生环境风险事故的环节包括：天然气、导热油、</w:t>
            </w:r>
            <w:r>
              <w:rPr>
                <w:rFonts w:hint="eastAsia"/>
                <w:sz w:val="24"/>
                <w:lang w:val="en-US" w:eastAsia="zh-CN"/>
              </w:rPr>
              <w:t>润滑油、</w:t>
            </w:r>
            <w:r>
              <w:rPr>
                <w:rFonts w:hint="eastAsia"/>
                <w:sz w:val="24"/>
              </w:rPr>
              <w:t>沥青使用</w:t>
            </w:r>
            <w:r>
              <w:rPr>
                <w:rFonts w:hint="eastAsia"/>
                <w:sz w:val="24"/>
                <w:lang w:val="en-US" w:eastAsia="zh-CN"/>
              </w:rPr>
              <w:t>及</w:t>
            </w:r>
            <w:r>
              <w:rPr>
                <w:rFonts w:hint="eastAsia"/>
                <w:sz w:val="24"/>
              </w:rPr>
              <w:t>储存过程中可能会发生泄露、火灾；废气治理设施故障或损坏，污染环境等；危险废物泄漏污染土壤、地下水等。</w:t>
            </w:r>
          </w:p>
          <w:p w14:paraId="5A87844E">
            <w:pPr>
              <w:wordWrap w:val="0"/>
              <w:spacing w:line="360" w:lineRule="auto"/>
              <w:ind w:firstLine="482" w:firstLineChars="200"/>
              <w:rPr>
                <w:rFonts w:hint="eastAsia"/>
                <w:b/>
                <w:bCs/>
                <w:sz w:val="24"/>
              </w:rPr>
            </w:pPr>
            <w:r>
              <w:rPr>
                <w:rFonts w:hint="eastAsia"/>
                <w:b/>
                <w:bCs/>
                <w:sz w:val="24"/>
                <w:lang w:val="en-US" w:eastAsia="zh-CN"/>
              </w:rPr>
              <w:t>7.4</w:t>
            </w:r>
            <w:r>
              <w:rPr>
                <w:rFonts w:hint="eastAsia"/>
                <w:b/>
                <w:bCs/>
                <w:sz w:val="24"/>
              </w:rPr>
              <w:t>环境风险事故防范措施及应急要求</w:t>
            </w:r>
          </w:p>
          <w:p w14:paraId="708EEB6B">
            <w:pPr>
              <w:wordWrap w:val="0"/>
              <w:spacing w:line="360" w:lineRule="auto"/>
              <w:ind w:firstLine="482" w:firstLineChars="200"/>
              <w:rPr>
                <w:rFonts w:hint="eastAsia"/>
                <w:b/>
                <w:bCs/>
                <w:sz w:val="24"/>
              </w:rPr>
            </w:pPr>
            <w:r>
              <w:rPr>
                <w:rFonts w:hint="eastAsia"/>
                <w:b/>
                <w:bCs/>
                <w:sz w:val="24"/>
              </w:rPr>
              <w:t>（1）生产、仓储方面</w:t>
            </w:r>
          </w:p>
          <w:p w14:paraId="4983BFB9">
            <w:pPr>
              <w:wordWrap w:val="0"/>
              <w:spacing w:line="360" w:lineRule="auto"/>
              <w:ind w:firstLine="480" w:firstLineChars="200"/>
              <w:rPr>
                <w:rFonts w:hint="eastAsia"/>
                <w:sz w:val="24"/>
              </w:rPr>
            </w:pPr>
            <w:r>
              <w:rPr>
                <w:rFonts w:hint="eastAsia"/>
                <w:sz w:val="24"/>
              </w:rPr>
              <w:t>在总平面图布置上，各建筑单体之间要按有关设计规范要求，留有足够的防火间距。必须有符合国家标准的生产工艺、设备或者储存方式、设施，虽然项目生产中使用和储存的危险物不构成重大危险源，其储存地仍尽量应远离水源、居住区等。必须在使用和储存易燃液体的场所采取防火、防爆措施，远离火种。建设方应配备符合生产或者储存需要的管理人员和技术人员，有健全的安全管理制度。建立完善的安全生产规章制度和操作规程，严格按操作规程生产。加强环保设施运行管理，确保其正常、高效地运转。</w:t>
            </w:r>
          </w:p>
          <w:p w14:paraId="5DB5E692">
            <w:pPr>
              <w:wordWrap w:val="0"/>
              <w:spacing w:line="360" w:lineRule="auto"/>
              <w:ind w:firstLine="482" w:firstLineChars="200"/>
              <w:rPr>
                <w:rFonts w:hint="eastAsia"/>
                <w:b/>
                <w:bCs/>
                <w:sz w:val="24"/>
              </w:rPr>
            </w:pPr>
            <w:r>
              <w:rPr>
                <w:rFonts w:hint="eastAsia"/>
                <w:b/>
                <w:bCs/>
                <w:sz w:val="24"/>
              </w:rPr>
              <w:t>（2）</w:t>
            </w:r>
            <w:r>
              <w:rPr>
                <w:rFonts w:hint="eastAsia"/>
                <w:b/>
                <w:bCs/>
                <w:sz w:val="24"/>
                <w:lang w:val="en-US" w:eastAsia="zh-CN"/>
              </w:rPr>
              <w:t>沥青、油类</w:t>
            </w:r>
            <w:r>
              <w:rPr>
                <w:rFonts w:hint="eastAsia"/>
                <w:b/>
                <w:bCs/>
                <w:sz w:val="24"/>
              </w:rPr>
              <w:t>物质</w:t>
            </w:r>
            <w:r>
              <w:rPr>
                <w:rFonts w:hint="eastAsia"/>
                <w:b/>
                <w:bCs/>
                <w:sz w:val="24"/>
                <w:lang w:val="en-US" w:eastAsia="zh-CN"/>
              </w:rPr>
              <w:t>储存</w:t>
            </w:r>
            <w:r>
              <w:rPr>
                <w:rFonts w:hint="eastAsia"/>
                <w:b/>
                <w:bCs/>
                <w:sz w:val="24"/>
              </w:rPr>
              <w:t>、运输和使用过程中的风险防范措施</w:t>
            </w:r>
          </w:p>
          <w:p w14:paraId="3557ABD3">
            <w:pPr>
              <w:wordWrap w:val="0"/>
              <w:spacing w:line="360" w:lineRule="auto"/>
              <w:ind w:firstLine="480" w:firstLineChars="200"/>
              <w:rPr>
                <w:rFonts w:hint="eastAsia"/>
                <w:sz w:val="24"/>
              </w:rPr>
            </w:pPr>
            <w:r>
              <w:rPr>
                <w:rFonts w:hint="eastAsia"/>
                <w:sz w:val="24"/>
              </w:rPr>
              <w:t>①各类储罐的结构、材料应与储存条件相适应，采取防腐措施，进行整体实验；罐体内设置高液位报警器、高液位泵系统设施，设立检查制度，管道安装质量检验，运行中要对管道进行维护检查、监测。</w:t>
            </w:r>
          </w:p>
          <w:p w14:paraId="1FB059F6">
            <w:pPr>
              <w:wordWrap w:val="0"/>
              <w:spacing w:line="360" w:lineRule="auto"/>
              <w:ind w:firstLine="480" w:firstLineChars="200"/>
              <w:rPr>
                <w:rFonts w:hint="eastAsia"/>
                <w:sz w:val="24"/>
              </w:rPr>
            </w:pPr>
            <w:r>
              <w:rPr>
                <w:rFonts w:hint="eastAsia"/>
                <w:sz w:val="24"/>
              </w:rPr>
              <w:t>②储罐使用时，要严防罐体下沉和罐体变形。如果罐体出现均匀沉降超过50mm，罐壁周围10m周长范围内沉降差超过25mm必须腾空存量，对罐体进行技术处理。</w:t>
            </w:r>
          </w:p>
          <w:p w14:paraId="3B6802FB">
            <w:pPr>
              <w:wordWrap w:val="0"/>
              <w:spacing w:line="360" w:lineRule="auto"/>
              <w:ind w:firstLine="480" w:firstLineChars="200"/>
              <w:rPr>
                <w:rFonts w:hint="eastAsia"/>
                <w:sz w:val="24"/>
              </w:rPr>
            </w:pPr>
            <w:r>
              <w:rPr>
                <w:rFonts w:hint="eastAsia"/>
                <w:sz w:val="24"/>
              </w:rPr>
              <w:t>③沥青罐区、导热油储存区</w:t>
            </w:r>
            <w:r>
              <w:rPr>
                <w:rFonts w:hint="eastAsia"/>
                <w:sz w:val="24"/>
                <w:lang w:eastAsia="zh-CN"/>
              </w:rPr>
              <w:t>、</w:t>
            </w:r>
            <w:r>
              <w:rPr>
                <w:rFonts w:hint="eastAsia"/>
                <w:sz w:val="24"/>
                <w:lang w:val="en-US" w:eastAsia="zh-CN"/>
              </w:rPr>
              <w:t>润滑油储存区</w:t>
            </w:r>
            <w:r>
              <w:rPr>
                <w:rFonts w:hint="eastAsia"/>
                <w:sz w:val="24"/>
              </w:rPr>
              <w:t>等地面采取防腐、防渗防漏处理，满足重点防渗区要求，防止</w:t>
            </w:r>
            <w:r>
              <w:rPr>
                <w:rFonts w:hint="eastAsia"/>
                <w:sz w:val="24"/>
                <w:lang w:val="en-US" w:eastAsia="zh-CN"/>
              </w:rPr>
              <w:t>沥青、导热油、润滑油等发生泄露</w:t>
            </w:r>
            <w:r>
              <w:rPr>
                <w:rFonts w:hint="eastAsia"/>
                <w:sz w:val="24"/>
              </w:rPr>
              <w:t>污染地下水</w:t>
            </w:r>
            <w:r>
              <w:rPr>
                <w:rFonts w:hint="eastAsia"/>
                <w:sz w:val="24"/>
                <w:lang w:eastAsia="zh-CN"/>
              </w:rPr>
              <w:t>、</w:t>
            </w:r>
            <w:r>
              <w:rPr>
                <w:rFonts w:hint="eastAsia"/>
                <w:sz w:val="24"/>
                <w:lang w:val="en-US" w:eastAsia="zh-CN"/>
              </w:rPr>
              <w:t>土壤</w:t>
            </w:r>
            <w:r>
              <w:rPr>
                <w:rFonts w:hint="eastAsia"/>
                <w:sz w:val="24"/>
              </w:rPr>
              <w:t>。罐区四周设置围堰，围堰容积按最不利事件泄漏情况下设计，不小于发生泄漏事故情况下最大的泄漏容积。沥青罐区、导热油储存区分区设置20cm高事故围堰以及初期雨水切换阀；同时，要求事故围堰的底部、四周按照重点防渗区要求进行防腐、防渗漏处理。</w:t>
            </w:r>
          </w:p>
          <w:p w14:paraId="05742DB2">
            <w:pPr>
              <w:wordWrap w:val="0"/>
              <w:spacing w:line="360" w:lineRule="auto"/>
              <w:ind w:firstLine="480" w:firstLineChars="200"/>
              <w:rPr>
                <w:rFonts w:hint="eastAsia"/>
                <w:sz w:val="24"/>
              </w:rPr>
            </w:pPr>
            <w:r>
              <w:rPr>
                <w:rFonts w:hint="eastAsia"/>
                <w:sz w:val="24"/>
              </w:rPr>
              <w:t>④危废</w:t>
            </w:r>
            <w:r>
              <w:rPr>
                <w:rFonts w:hint="eastAsia"/>
                <w:sz w:val="24"/>
                <w:lang w:val="en-US" w:eastAsia="zh-CN"/>
              </w:rPr>
              <w:t>暂存间</w:t>
            </w:r>
            <w:r>
              <w:rPr>
                <w:rFonts w:hint="eastAsia"/>
                <w:sz w:val="24"/>
              </w:rPr>
              <w:t>应加强日常管理，建立进出台账；严格管理，操作正确，加强日常检查，正常情况下，可以避免发生溢出和泄漏事故，但不能排除非正常情况下泄漏事故的发生，如地震和其它一些潜在突然因素的发生。</w:t>
            </w:r>
          </w:p>
          <w:p w14:paraId="05C32EF5">
            <w:pPr>
              <w:wordWrap w:val="0"/>
              <w:spacing w:line="360" w:lineRule="auto"/>
              <w:ind w:firstLine="480" w:firstLineChars="200"/>
              <w:rPr>
                <w:rFonts w:hint="eastAsia"/>
                <w:sz w:val="24"/>
              </w:rPr>
            </w:pPr>
            <w:r>
              <w:rPr>
                <w:rFonts w:hint="eastAsia"/>
                <w:sz w:val="24"/>
              </w:rPr>
              <w:t>⑤制</w:t>
            </w:r>
            <w:r>
              <w:rPr>
                <w:rFonts w:hint="eastAsia"/>
                <w:sz w:val="24"/>
                <w:lang w:val="en-US" w:eastAsia="zh-CN"/>
              </w:rPr>
              <w:t>定</w:t>
            </w:r>
            <w:r>
              <w:rPr>
                <w:rFonts w:hint="eastAsia"/>
                <w:sz w:val="24"/>
              </w:rPr>
              <w:t>发生事故时迅速撤离泄漏污染区人员至安全区的方案，一旦发生事故，则要根据具体情况采取应急措施，切断泄漏源、火源，控制事故扩大，立即报警，采取遏制泄漏物进入环境的紧急措施。</w:t>
            </w:r>
          </w:p>
          <w:p w14:paraId="222FD5C5">
            <w:pPr>
              <w:wordWrap w:val="0"/>
              <w:spacing w:line="360" w:lineRule="auto"/>
              <w:ind w:firstLine="480" w:firstLineChars="200"/>
              <w:rPr>
                <w:rFonts w:hint="eastAsia"/>
                <w:sz w:val="24"/>
              </w:rPr>
            </w:pPr>
            <w:r>
              <w:rPr>
                <w:rFonts w:hint="eastAsia"/>
                <w:sz w:val="24"/>
              </w:rPr>
              <w:t>⑥应该做好抗静电工作，防止静电引起存储区火灾和爆炸。做好预防雷击造成火灾事件的发生，安装规范的防雷与接地措施。消防通道和建筑物耐火等级应满足消防要求。按照《建筑灭火器配置设计规范》（GBJ140-90）的规定，应配置相应的灭火器类型（干粉灭火器等）与数量，并在火灾危险场所设置报警装置；严禁区内有明火出现。</w:t>
            </w:r>
          </w:p>
          <w:p w14:paraId="44D2E122">
            <w:pPr>
              <w:wordWrap w:val="0"/>
              <w:spacing w:line="360" w:lineRule="auto"/>
              <w:ind w:firstLine="480" w:firstLineChars="200"/>
              <w:rPr>
                <w:rFonts w:hint="eastAsia"/>
                <w:sz w:val="24"/>
              </w:rPr>
            </w:pPr>
            <w:r>
              <w:rPr>
                <w:rFonts w:hint="eastAsia"/>
                <w:sz w:val="24"/>
              </w:rPr>
              <w:t>⑦使用润滑油、导热油、沥青的过程中，泄漏和渗漏的包装容器应迅速移至安全区域。</w:t>
            </w:r>
          </w:p>
          <w:p w14:paraId="2BDBDE9E">
            <w:pPr>
              <w:wordWrap w:val="0"/>
              <w:spacing w:line="360" w:lineRule="auto"/>
              <w:ind w:firstLine="480" w:firstLineChars="200"/>
              <w:rPr>
                <w:rFonts w:hint="eastAsia"/>
                <w:sz w:val="24"/>
              </w:rPr>
            </w:pPr>
            <w:r>
              <w:rPr>
                <w:rFonts w:hint="eastAsia"/>
                <w:sz w:val="24"/>
              </w:rPr>
              <w:t>⑧加强管理，防止因管理不善而导致火灾：每天对车间设备，进行检查，防止因为设备故障而引起火灾。</w:t>
            </w:r>
          </w:p>
          <w:p w14:paraId="1156B6F6">
            <w:pPr>
              <w:wordWrap w:val="0"/>
              <w:spacing w:line="360" w:lineRule="auto"/>
              <w:ind w:firstLine="480" w:firstLineChars="200"/>
              <w:rPr>
                <w:rFonts w:hint="eastAsia"/>
                <w:sz w:val="24"/>
              </w:rPr>
            </w:pPr>
            <w:r>
              <w:rPr>
                <w:rFonts w:hint="eastAsia"/>
                <w:sz w:val="24"/>
              </w:rPr>
              <w:t>⑨加强储罐渗漏事故的防护，对储罐、阀门等进行定期检测，对泄漏到液池内的物料应进行临时抽吸系统尽快收集，减少着火机会，一旦发生火灾事故，要尽快使用已有的消防设施扑救，疏散周围非急救人员，远离事故区。</w:t>
            </w:r>
          </w:p>
          <w:p w14:paraId="506FA189">
            <w:pPr>
              <w:wordWrap w:val="0"/>
              <w:spacing w:line="360" w:lineRule="auto"/>
              <w:ind w:firstLine="482" w:firstLineChars="200"/>
              <w:rPr>
                <w:rFonts w:hint="eastAsia" w:eastAsia="宋体"/>
                <w:b/>
                <w:bCs/>
                <w:sz w:val="24"/>
                <w:lang w:eastAsia="zh-CN"/>
              </w:rPr>
            </w:pPr>
            <w:r>
              <w:rPr>
                <w:rFonts w:hint="eastAsia"/>
                <w:b/>
                <w:bCs/>
                <w:sz w:val="24"/>
                <w:lang w:eastAsia="zh-CN"/>
              </w:rPr>
              <w:t>（</w:t>
            </w:r>
            <w:r>
              <w:rPr>
                <w:rFonts w:hint="eastAsia"/>
                <w:b/>
                <w:bCs/>
                <w:sz w:val="24"/>
                <w:lang w:val="en-US" w:eastAsia="zh-CN"/>
              </w:rPr>
              <w:t>3</w:t>
            </w:r>
            <w:r>
              <w:rPr>
                <w:rFonts w:hint="eastAsia"/>
                <w:b/>
                <w:bCs/>
                <w:sz w:val="24"/>
                <w:lang w:eastAsia="zh-CN"/>
              </w:rPr>
              <w:t>）</w:t>
            </w:r>
            <w:r>
              <w:rPr>
                <w:rFonts w:hint="eastAsia"/>
                <w:b/>
                <w:bCs/>
                <w:sz w:val="24"/>
                <w:lang w:val="en-US" w:eastAsia="zh-CN"/>
              </w:rPr>
              <w:t>天然气</w:t>
            </w:r>
            <w:r>
              <w:rPr>
                <w:rFonts w:hint="eastAsia"/>
                <w:b/>
                <w:bCs/>
                <w:sz w:val="24"/>
              </w:rPr>
              <w:t>使用过程中的风险防范措施</w:t>
            </w:r>
          </w:p>
          <w:p w14:paraId="6BB70C52">
            <w:pPr>
              <w:wordWrap w:val="0"/>
              <w:spacing w:line="360" w:lineRule="auto"/>
              <w:ind w:firstLine="480" w:firstLineChars="200"/>
              <w:rPr>
                <w:rFonts w:hint="eastAsia"/>
                <w:b w:val="0"/>
                <w:bCs w:val="0"/>
                <w:sz w:val="24"/>
              </w:rPr>
            </w:pPr>
            <w:r>
              <w:rPr>
                <w:rFonts w:hint="eastAsia"/>
                <w:b w:val="0"/>
                <w:bCs w:val="0"/>
                <w:sz w:val="24"/>
                <w:lang w:val="en-US" w:eastAsia="zh-CN"/>
              </w:rPr>
              <w:t>①</w:t>
            </w:r>
            <w:r>
              <w:rPr>
                <w:rFonts w:hint="eastAsia"/>
                <w:b w:val="0"/>
                <w:bCs w:val="0"/>
                <w:sz w:val="24"/>
              </w:rPr>
              <w:t>加强职工的安全教育，提高安全防范风险的意识；</w:t>
            </w:r>
          </w:p>
          <w:p w14:paraId="5B2FBFB1">
            <w:pPr>
              <w:wordWrap w:val="0"/>
              <w:spacing w:line="360" w:lineRule="auto"/>
              <w:ind w:firstLine="480" w:firstLineChars="200"/>
              <w:rPr>
                <w:rFonts w:hint="eastAsia"/>
                <w:b w:val="0"/>
                <w:bCs w:val="0"/>
                <w:sz w:val="24"/>
              </w:rPr>
            </w:pPr>
            <w:r>
              <w:rPr>
                <w:rFonts w:hint="eastAsia"/>
                <w:b w:val="0"/>
                <w:bCs w:val="0"/>
                <w:sz w:val="24"/>
                <w:lang w:val="en-US" w:eastAsia="zh-CN"/>
              </w:rPr>
              <w:t>②</w:t>
            </w:r>
            <w:r>
              <w:rPr>
                <w:rFonts w:hint="eastAsia"/>
                <w:b w:val="0"/>
                <w:bCs w:val="0"/>
                <w:sz w:val="24"/>
              </w:rPr>
              <w:t>针对运营中可能发生的异常现象和存在的安全隐患，设置合理可行的技术措施，制定严格的操作规程；</w:t>
            </w:r>
          </w:p>
          <w:p w14:paraId="41BE5FF1">
            <w:pPr>
              <w:wordWrap w:val="0"/>
              <w:spacing w:line="360" w:lineRule="auto"/>
              <w:ind w:firstLine="480" w:firstLineChars="200"/>
              <w:rPr>
                <w:rFonts w:hint="eastAsia"/>
                <w:b w:val="0"/>
                <w:bCs w:val="0"/>
                <w:sz w:val="24"/>
              </w:rPr>
            </w:pPr>
            <w:r>
              <w:rPr>
                <w:rFonts w:hint="eastAsia"/>
                <w:b w:val="0"/>
                <w:bCs w:val="0"/>
                <w:sz w:val="24"/>
                <w:lang w:val="en-US" w:eastAsia="zh-CN"/>
              </w:rPr>
              <w:t>③</w:t>
            </w:r>
            <w:r>
              <w:rPr>
                <w:rFonts w:hint="eastAsia"/>
                <w:b w:val="0"/>
                <w:bCs w:val="0"/>
                <w:sz w:val="24"/>
              </w:rPr>
              <w:t>对易发生泄漏的部位实行定期的巡检制度，及时发现问题，尽快解决；</w:t>
            </w:r>
          </w:p>
          <w:p w14:paraId="7488E31C">
            <w:pPr>
              <w:wordWrap w:val="0"/>
              <w:spacing w:line="360" w:lineRule="auto"/>
              <w:ind w:firstLine="480" w:firstLineChars="200"/>
              <w:rPr>
                <w:rFonts w:hint="eastAsia"/>
                <w:b w:val="0"/>
                <w:bCs w:val="0"/>
                <w:sz w:val="24"/>
              </w:rPr>
            </w:pPr>
            <w:r>
              <w:rPr>
                <w:rFonts w:hint="eastAsia"/>
                <w:b w:val="0"/>
                <w:bCs w:val="0"/>
                <w:sz w:val="24"/>
                <w:lang w:val="en-US" w:eastAsia="zh-CN"/>
              </w:rPr>
              <w:t>④</w:t>
            </w:r>
            <w:r>
              <w:rPr>
                <w:rFonts w:hint="eastAsia"/>
                <w:b w:val="0"/>
                <w:bCs w:val="0"/>
                <w:sz w:val="24"/>
              </w:rPr>
              <w:t>严格执行防火、防爆、防雷击、防毒害等各项要求；</w:t>
            </w:r>
          </w:p>
          <w:p w14:paraId="400E29F1">
            <w:pPr>
              <w:wordWrap w:val="0"/>
              <w:spacing w:line="360" w:lineRule="auto"/>
              <w:ind w:firstLine="480" w:firstLineChars="200"/>
              <w:rPr>
                <w:rFonts w:hint="eastAsia"/>
                <w:b w:val="0"/>
                <w:bCs w:val="0"/>
                <w:sz w:val="24"/>
              </w:rPr>
            </w:pPr>
            <w:r>
              <w:rPr>
                <w:rFonts w:hint="eastAsia"/>
                <w:b w:val="0"/>
                <w:bCs w:val="0"/>
                <w:sz w:val="24"/>
                <w:lang w:val="en-US" w:eastAsia="zh-CN"/>
              </w:rPr>
              <w:t>⑤</w:t>
            </w:r>
            <w:r>
              <w:rPr>
                <w:rFonts w:hint="eastAsia"/>
                <w:b w:val="0"/>
                <w:bCs w:val="0"/>
                <w:sz w:val="24"/>
              </w:rPr>
              <w:t>建立健全安全、环境管理体系及高效的安全生产机构，一旦发生事故，要做到快速、高效、安全处置；</w:t>
            </w:r>
          </w:p>
          <w:p w14:paraId="27333797">
            <w:pPr>
              <w:wordWrap w:val="0"/>
              <w:spacing w:line="360" w:lineRule="auto"/>
              <w:ind w:firstLine="480" w:firstLineChars="200"/>
              <w:rPr>
                <w:rFonts w:hint="eastAsia"/>
                <w:b w:val="0"/>
                <w:bCs w:val="0"/>
                <w:sz w:val="24"/>
              </w:rPr>
            </w:pPr>
            <w:r>
              <w:rPr>
                <w:rFonts w:hint="eastAsia"/>
                <w:b w:val="0"/>
                <w:bCs w:val="0"/>
                <w:sz w:val="24"/>
                <w:lang w:val="en-US" w:eastAsia="zh-CN"/>
              </w:rPr>
              <w:t>⑥</w:t>
            </w:r>
            <w:r>
              <w:rPr>
                <w:rFonts w:hint="eastAsia"/>
                <w:b w:val="0"/>
                <w:bCs w:val="0"/>
                <w:sz w:val="24"/>
              </w:rPr>
              <w:t>在天然气入口处设立警告牌（严禁烟火），站内放置灭火器，设置天然气泄露报警装置；</w:t>
            </w:r>
          </w:p>
          <w:p w14:paraId="4A3FE845">
            <w:pPr>
              <w:wordWrap w:val="0"/>
              <w:spacing w:line="360" w:lineRule="auto"/>
              <w:ind w:firstLine="480" w:firstLineChars="200"/>
              <w:rPr>
                <w:rFonts w:hint="eastAsia"/>
                <w:b w:val="0"/>
                <w:bCs w:val="0"/>
                <w:sz w:val="24"/>
              </w:rPr>
            </w:pPr>
            <w:r>
              <w:rPr>
                <w:rFonts w:hint="eastAsia"/>
                <w:b w:val="0"/>
                <w:bCs w:val="0"/>
                <w:sz w:val="24"/>
                <w:lang w:val="en-US" w:eastAsia="zh-CN"/>
              </w:rPr>
              <w:t>⑦</w:t>
            </w:r>
            <w:r>
              <w:rPr>
                <w:rFonts w:hint="eastAsia"/>
                <w:b w:val="0"/>
                <w:bCs w:val="0"/>
                <w:sz w:val="24"/>
              </w:rPr>
              <w:t>按照设计图的要求，注意避雷针的安全防护措施。</w:t>
            </w:r>
          </w:p>
          <w:p w14:paraId="39287483">
            <w:pPr>
              <w:wordWrap w:val="0"/>
              <w:spacing w:line="360" w:lineRule="auto"/>
              <w:ind w:firstLine="482" w:firstLineChars="200"/>
              <w:rPr>
                <w:rFonts w:hint="eastAsia"/>
                <w:b/>
                <w:bCs/>
                <w:sz w:val="24"/>
              </w:rPr>
            </w:pPr>
            <w:r>
              <w:rPr>
                <w:rFonts w:hint="eastAsia"/>
                <w:b/>
                <w:bCs/>
                <w:sz w:val="24"/>
              </w:rPr>
              <w:t>（</w:t>
            </w:r>
            <w:r>
              <w:rPr>
                <w:rFonts w:hint="eastAsia"/>
                <w:b/>
                <w:bCs/>
                <w:sz w:val="24"/>
                <w:lang w:val="en-US" w:eastAsia="zh-CN"/>
              </w:rPr>
              <w:t>4</w:t>
            </w:r>
            <w:r>
              <w:rPr>
                <w:rFonts w:hint="eastAsia"/>
                <w:b/>
                <w:bCs/>
                <w:sz w:val="24"/>
              </w:rPr>
              <w:t>）生产管理防范措施</w:t>
            </w:r>
          </w:p>
          <w:p w14:paraId="18B6AD75">
            <w:pPr>
              <w:wordWrap w:val="0"/>
              <w:spacing w:line="360" w:lineRule="auto"/>
              <w:ind w:firstLine="480" w:firstLineChars="200"/>
              <w:rPr>
                <w:rFonts w:hint="eastAsia"/>
                <w:sz w:val="24"/>
              </w:rPr>
            </w:pPr>
            <w:r>
              <w:rPr>
                <w:rFonts w:hint="eastAsia"/>
                <w:sz w:val="24"/>
              </w:rPr>
              <w:t>①建立和完善各级安全生产责任制，并切实落到实处。各级领导和生产管理人员必须重视安全生产，积极推广科学安全管理方法，强化安全操作制度和劳动纪律。</w:t>
            </w:r>
          </w:p>
          <w:p w14:paraId="599A4601">
            <w:pPr>
              <w:wordWrap w:val="0"/>
              <w:spacing w:line="360" w:lineRule="auto"/>
              <w:ind w:firstLine="480" w:firstLineChars="200"/>
              <w:rPr>
                <w:rFonts w:hint="eastAsia"/>
                <w:sz w:val="24"/>
              </w:rPr>
            </w:pPr>
            <w:r>
              <w:rPr>
                <w:rFonts w:hint="eastAsia"/>
                <w:sz w:val="24"/>
              </w:rPr>
              <w:t>②对职工要加强职业培训和安全教育。培养职工要有高度的安全生产责任心，并且要熟悉相应的业务，有熟练的操作技能。</w:t>
            </w:r>
          </w:p>
          <w:p w14:paraId="274E0B37">
            <w:pPr>
              <w:wordWrap w:val="0"/>
              <w:spacing w:line="360" w:lineRule="auto"/>
              <w:ind w:firstLine="480" w:firstLineChars="200"/>
              <w:rPr>
                <w:rFonts w:hint="eastAsia"/>
                <w:sz w:val="24"/>
              </w:rPr>
            </w:pPr>
            <w:r>
              <w:rPr>
                <w:rFonts w:hint="eastAsia"/>
                <w:sz w:val="24"/>
              </w:rPr>
              <w:t>③建立健全安全检查制度，定期进行安全检查，及时整改安全隐患，防止事故发生。</w:t>
            </w:r>
          </w:p>
          <w:p w14:paraId="2D707DAA">
            <w:pPr>
              <w:wordWrap w:val="0"/>
              <w:spacing w:line="360" w:lineRule="auto"/>
              <w:ind w:firstLine="480" w:firstLineChars="200"/>
              <w:rPr>
                <w:rFonts w:hint="eastAsia"/>
                <w:sz w:val="24"/>
              </w:rPr>
            </w:pPr>
            <w:r>
              <w:rPr>
                <w:rFonts w:hint="eastAsia"/>
                <w:sz w:val="24"/>
              </w:rPr>
              <w:t>④加强环保设施管理和维护，设置环保专员，定期检查维护环保设备，定期更换活性炭，并建立管理台账。</w:t>
            </w:r>
          </w:p>
          <w:p w14:paraId="7AAFBA65">
            <w:pPr>
              <w:wordWrap w:val="0"/>
              <w:spacing w:line="360" w:lineRule="auto"/>
              <w:ind w:firstLine="482" w:firstLineChars="200"/>
              <w:rPr>
                <w:rFonts w:hint="eastAsia"/>
                <w:b/>
                <w:bCs/>
                <w:sz w:val="24"/>
              </w:rPr>
            </w:pPr>
            <w:r>
              <w:rPr>
                <w:rFonts w:hint="eastAsia"/>
                <w:b/>
                <w:bCs/>
                <w:sz w:val="24"/>
              </w:rPr>
              <w:t>（</w:t>
            </w:r>
            <w:r>
              <w:rPr>
                <w:rFonts w:hint="eastAsia"/>
                <w:b/>
                <w:bCs/>
                <w:sz w:val="24"/>
                <w:lang w:val="en-US" w:eastAsia="zh-CN"/>
              </w:rPr>
              <w:t>5</w:t>
            </w:r>
            <w:r>
              <w:rPr>
                <w:rFonts w:hint="eastAsia"/>
                <w:b/>
                <w:bCs/>
                <w:sz w:val="24"/>
              </w:rPr>
              <w:t>）危险废物存放及管理要求</w:t>
            </w:r>
          </w:p>
          <w:p w14:paraId="7C5764B7">
            <w:pPr>
              <w:wordWrap w:val="0"/>
              <w:spacing w:line="360" w:lineRule="auto"/>
              <w:ind w:firstLine="480" w:firstLineChars="200"/>
              <w:rPr>
                <w:rFonts w:hint="eastAsia"/>
                <w:sz w:val="24"/>
              </w:rPr>
            </w:pPr>
            <w:r>
              <w:rPr>
                <w:rFonts w:hint="eastAsia"/>
                <w:sz w:val="24"/>
              </w:rPr>
              <w:t>危险废物暂存间应设置20cm高围堰，各类危险废物应分类存放，液体危险废物需由密闭的专用容器收集，固体危险废物需由加盖的储存桶收集，同时容器下方设置金属托盘。按照环评提出的防渗措施，严格落实防渗建设要求。危废暂存间按照《危险废物贮存污染控制标准》</w:t>
            </w:r>
            <w:r>
              <w:rPr>
                <w:rFonts w:hint="eastAsia"/>
                <w:sz w:val="24"/>
                <w:lang w:eastAsia="zh-CN"/>
              </w:rPr>
              <w:t>（</w:t>
            </w:r>
            <w:r>
              <w:rPr>
                <w:rFonts w:hint="eastAsia"/>
                <w:sz w:val="24"/>
              </w:rPr>
              <w:t>GB18597</w:t>
            </w:r>
            <w:r>
              <w:rPr>
                <w:rFonts w:hint="eastAsia"/>
                <w:sz w:val="24"/>
                <w:lang w:val="en-US" w:eastAsia="zh-CN"/>
              </w:rPr>
              <w:t>-</w:t>
            </w:r>
            <w:r>
              <w:rPr>
                <w:rFonts w:hint="eastAsia"/>
                <w:sz w:val="24"/>
              </w:rPr>
              <w:t>2023</w:t>
            </w:r>
            <w:r>
              <w:rPr>
                <w:rFonts w:hint="eastAsia"/>
                <w:sz w:val="24"/>
                <w:lang w:eastAsia="zh-CN"/>
              </w:rPr>
              <w:t>）</w:t>
            </w:r>
            <w:r>
              <w:rPr>
                <w:rFonts w:hint="eastAsia"/>
                <w:sz w:val="24"/>
              </w:rPr>
              <w:t>的管理规定，对危废暂存间做好“六防”</w:t>
            </w:r>
            <w:r>
              <w:rPr>
                <w:rFonts w:hint="eastAsia"/>
                <w:sz w:val="24"/>
                <w:lang w:eastAsia="zh-CN"/>
              </w:rPr>
              <w:t>（</w:t>
            </w:r>
            <w:r>
              <w:rPr>
                <w:rFonts w:hint="eastAsia"/>
                <w:sz w:val="24"/>
              </w:rPr>
              <w:t>防风、防晒、防雨、防漏、防渗、防腐</w:t>
            </w:r>
            <w:r>
              <w:rPr>
                <w:rFonts w:hint="eastAsia"/>
                <w:sz w:val="24"/>
                <w:lang w:eastAsia="zh-CN"/>
              </w:rPr>
              <w:t>）</w:t>
            </w:r>
            <w:r>
              <w:rPr>
                <w:rFonts w:hint="eastAsia"/>
                <w:sz w:val="24"/>
              </w:rPr>
              <w:t>措施，外运过程要防止抛洒泄漏，扬尘等二次污染，企业内部应建立危险废物产生、外运、处置及最终去向的详细台账，按照《危险废物转移管理办法》（部令第23号，2021年11月30日）的要求做好危险废物转移工作，危废必须交由资质单位处理，如资质单位在处理能力不能满足的情况下，企业应提前积极寻找其他资质单位并签订协议，企业不得擅自处理或排放。</w:t>
            </w:r>
          </w:p>
          <w:p w14:paraId="115BA214">
            <w:pPr>
              <w:wordWrap w:val="0"/>
              <w:spacing w:line="360" w:lineRule="auto"/>
              <w:ind w:firstLine="480" w:firstLineChars="200"/>
              <w:rPr>
                <w:rFonts w:hint="eastAsia"/>
                <w:sz w:val="24"/>
              </w:rPr>
            </w:pPr>
            <w:r>
              <w:rPr>
                <w:rFonts w:hint="eastAsia"/>
                <w:sz w:val="24"/>
              </w:rPr>
              <w:t>项目应根据《中华人民共和国固体废物污染环境防治法》，对危险废物的容器和包装物以及收集、贮存、运输、处置危险废物的设施、场所，必须设置危险废物识别标志；收集、贮存危险废物，必须按照危险废物特性分类进行，禁止混合收集、贮存、运输、处置性质不相容而未经安全性处置的危险废物，确保危废得到妥善处置。项目危废暂存间应远离易爆、易燃品库，且暂存间内装载液体、半固体危险废物的容器内须留足够空间，容器顶部与液体表面之间保留100毫米以上的空间。</w:t>
            </w:r>
          </w:p>
          <w:p w14:paraId="7FE02496">
            <w:pPr>
              <w:wordWrap w:val="0"/>
              <w:spacing w:line="360" w:lineRule="auto"/>
              <w:ind w:firstLine="482" w:firstLineChars="200"/>
              <w:rPr>
                <w:rFonts w:hint="eastAsia"/>
                <w:b/>
                <w:bCs/>
                <w:sz w:val="24"/>
              </w:rPr>
            </w:pPr>
            <w:r>
              <w:rPr>
                <w:rFonts w:hint="eastAsia"/>
                <w:b/>
                <w:bCs/>
                <w:sz w:val="24"/>
              </w:rPr>
              <w:t>（</w:t>
            </w:r>
            <w:r>
              <w:rPr>
                <w:rFonts w:hint="eastAsia"/>
                <w:b/>
                <w:bCs/>
                <w:sz w:val="24"/>
                <w:lang w:val="en-US" w:eastAsia="zh-CN"/>
              </w:rPr>
              <w:t>6</w:t>
            </w:r>
            <w:r>
              <w:rPr>
                <w:rFonts w:hint="eastAsia"/>
                <w:b/>
                <w:bCs/>
                <w:sz w:val="24"/>
              </w:rPr>
              <w:t>）火灾风险防范措施</w:t>
            </w:r>
          </w:p>
          <w:p w14:paraId="1A31A38A">
            <w:pPr>
              <w:wordWrap w:val="0"/>
              <w:spacing w:line="360" w:lineRule="auto"/>
              <w:ind w:firstLine="480" w:firstLineChars="200"/>
              <w:rPr>
                <w:rFonts w:hint="eastAsia"/>
                <w:sz w:val="24"/>
              </w:rPr>
            </w:pPr>
            <w:r>
              <w:rPr>
                <w:rFonts w:hint="eastAsia"/>
                <w:sz w:val="24"/>
              </w:rPr>
              <w:t>①消防通道和建筑物耐火等级应满足消防要求；在原材料仓库、危废暂存间等区域设立警告牌（严禁烟火）。</w:t>
            </w:r>
          </w:p>
          <w:p w14:paraId="6ABCAD87">
            <w:pPr>
              <w:wordWrap w:val="0"/>
              <w:spacing w:line="360" w:lineRule="auto"/>
              <w:ind w:firstLine="480" w:firstLineChars="200"/>
              <w:rPr>
                <w:rFonts w:hint="eastAsia"/>
                <w:sz w:val="24"/>
              </w:rPr>
            </w:pPr>
            <w:r>
              <w:rPr>
                <w:rFonts w:hint="eastAsia"/>
                <w:sz w:val="24"/>
              </w:rPr>
              <w:t>②按照《建筑灭火器配置设计规范》（GB50140-2005）的规定，应配置相应的灭火器类型（干粉灭火器等）与数量，并在火灾危险场所设置报警装置；严禁区内有明火出现。</w:t>
            </w:r>
          </w:p>
          <w:p w14:paraId="53E2F55A">
            <w:pPr>
              <w:wordWrap w:val="0"/>
              <w:spacing w:line="360" w:lineRule="auto"/>
              <w:ind w:firstLine="480" w:firstLineChars="200"/>
              <w:rPr>
                <w:rFonts w:hint="eastAsia"/>
                <w:sz w:val="24"/>
              </w:rPr>
            </w:pPr>
            <w:r>
              <w:rPr>
                <w:rFonts w:hint="eastAsia"/>
                <w:sz w:val="24"/>
              </w:rPr>
              <w:t>③严格执行防火、防爆、防雷击、防毒害等各项要求。</w:t>
            </w:r>
          </w:p>
          <w:p w14:paraId="5D96B37F">
            <w:pPr>
              <w:wordWrap w:val="0"/>
              <w:spacing w:line="360" w:lineRule="auto"/>
              <w:ind w:firstLine="480" w:firstLineChars="200"/>
              <w:rPr>
                <w:rFonts w:hint="eastAsia"/>
                <w:sz w:val="24"/>
              </w:rPr>
            </w:pPr>
            <w:r>
              <w:rPr>
                <w:rFonts w:hint="eastAsia"/>
                <w:sz w:val="24"/>
              </w:rPr>
              <w:t>④加强公司职工的教育培训，实行上岗证制度，增强职工风险意识，提高事故自救能力，制定和强化各种安全管理、安全生产的规程，减少人为风险事故（如误操作）的发生。</w:t>
            </w:r>
          </w:p>
          <w:p w14:paraId="0B00FC35">
            <w:pPr>
              <w:wordWrap w:val="0"/>
              <w:spacing w:line="360" w:lineRule="auto"/>
              <w:ind w:firstLine="480" w:firstLineChars="200"/>
              <w:rPr>
                <w:rFonts w:hint="eastAsia"/>
                <w:sz w:val="24"/>
              </w:rPr>
            </w:pPr>
            <w:r>
              <w:rPr>
                <w:rFonts w:hint="eastAsia"/>
                <w:sz w:val="24"/>
              </w:rPr>
              <w:t>⑤加强管理，防止因管理不善而导致火灾：每天对贮存设施设备进行全面检查，防止因为设备故障发生泄漏而引起火灾。</w:t>
            </w:r>
          </w:p>
          <w:p w14:paraId="1C945F31">
            <w:pPr>
              <w:wordWrap w:val="0"/>
              <w:spacing w:line="360" w:lineRule="auto"/>
              <w:ind w:firstLine="480" w:firstLineChars="200"/>
              <w:rPr>
                <w:rFonts w:hint="eastAsia"/>
                <w:sz w:val="24"/>
              </w:rPr>
            </w:pPr>
            <w:r>
              <w:rPr>
                <w:rFonts w:hint="eastAsia"/>
                <w:sz w:val="24"/>
              </w:rPr>
              <w:t>⑥防止静电起火：防止静电灾害可以采用的措施有：a.接地：使物体与大地之间构成电气泄漏电路，将产生在物体上的静电泄于大地，防止物体贮存静电；b.工作人员应该穿上防静电工作服；c.防止流动带电：管道输送溶剂时，流速越快，产生的静电越多。为防止高速流动带电，应该对流速作出限制；d.维持湿度：保持现场湿度大于60%，有利于静电的释放。</w:t>
            </w:r>
          </w:p>
          <w:p w14:paraId="6C6C6F01">
            <w:pPr>
              <w:wordWrap w:val="0"/>
              <w:spacing w:line="360" w:lineRule="auto"/>
              <w:ind w:firstLine="480" w:firstLineChars="200"/>
              <w:rPr>
                <w:rFonts w:hint="eastAsia"/>
                <w:sz w:val="24"/>
              </w:rPr>
            </w:pPr>
            <w:r>
              <w:rPr>
                <w:rFonts w:hint="eastAsia"/>
                <w:sz w:val="24"/>
              </w:rPr>
              <w:t>⑦厂区雨水排口设置截止阀，事故状态下立即关闭阀门，将消防废水用沙袋围堵在厂区内，再泵至</w:t>
            </w:r>
            <w:r>
              <w:rPr>
                <w:rFonts w:hint="eastAsia"/>
                <w:sz w:val="24"/>
                <w:lang w:val="en-US" w:eastAsia="zh-CN"/>
              </w:rPr>
              <w:t>三级沉淀池进行处理后回用于车辆清洗</w:t>
            </w:r>
            <w:r>
              <w:rPr>
                <w:rFonts w:hint="eastAsia"/>
                <w:sz w:val="24"/>
              </w:rPr>
              <w:t>。</w:t>
            </w:r>
          </w:p>
          <w:p w14:paraId="658E1675">
            <w:pPr>
              <w:wordWrap w:val="0"/>
              <w:spacing w:line="360" w:lineRule="auto"/>
              <w:ind w:firstLine="482" w:firstLineChars="200"/>
              <w:rPr>
                <w:rFonts w:hint="eastAsia"/>
                <w:b/>
                <w:bCs/>
                <w:sz w:val="24"/>
              </w:rPr>
            </w:pPr>
            <w:r>
              <w:rPr>
                <w:rFonts w:hint="eastAsia"/>
                <w:b/>
                <w:bCs/>
                <w:sz w:val="24"/>
              </w:rPr>
              <w:t>（</w:t>
            </w:r>
            <w:r>
              <w:rPr>
                <w:rFonts w:hint="eastAsia"/>
                <w:b/>
                <w:bCs/>
                <w:sz w:val="24"/>
                <w:lang w:val="en-US" w:eastAsia="zh-CN"/>
              </w:rPr>
              <w:t>7</w:t>
            </w:r>
            <w:r>
              <w:rPr>
                <w:rFonts w:hint="eastAsia"/>
                <w:b/>
                <w:bCs/>
                <w:sz w:val="24"/>
              </w:rPr>
              <w:t>）环保设施故障风险防范措施</w:t>
            </w:r>
          </w:p>
          <w:p w14:paraId="4E52BD7A">
            <w:pPr>
              <w:wordWrap w:val="0"/>
              <w:spacing w:line="360" w:lineRule="auto"/>
              <w:ind w:firstLine="480" w:firstLineChars="200"/>
              <w:rPr>
                <w:rFonts w:hint="eastAsia"/>
                <w:sz w:val="24"/>
              </w:rPr>
            </w:pPr>
            <w:r>
              <w:rPr>
                <w:rFonts w:hint="eastAsia"/>
                <w:sz w:val="24"/>
              </w:rPr>
              <w:t>①对污水收集管道及处理池进行定期检查和检修，发现问题立即采取措施进行控制。</w:t>
            </w:r>
          </w:p>
          <w:p w14:paraId="3EE77859">
            <w:pPr>
              <w:wordWrap w:val="0"/>
              <w:spacing w:line="360" w:lineRule="auto"/>
              <w:ind w:firstLine="480" w:firstLineChars="200"/>
              <w:rPr>
                <w:rFonts w:hint="eastAsia"/>
                <w:sz w:val="24"/>
              </w:rPr>
            </w:pPr>
            <w:r>
              <w:rPr>
                <w:rFonts w:hint="eastAsia"/>
                <w:sz w:val="24"/>
              </w:rPr>
              <w:t>②危废暂存间在确保安全的前提下密闭设置，并进行“六防”（防风、防晒、防雨、防漏、防渗、防腐）处理，各类危险废物分类规范地暂存于危废暂存间内，定期交由有专业资质的单位收运处置，避免污染事故发生。</w:t>
            </w:r>
          </w:p>
          <w:p w14:paraId="1BFEF5E3">
            <w:pPr>
              <w:wordWrap w:val="0"/>
              <w:spacing w:line="360" w:lineRule="auto"/>
              <w:ind w:firstLine="480" w:firstLineChars="200"/>
              <w:rPr>
                <w:rFonts w:hint="eastAsia"/>
                <w:sz w:val="24"/>
              </w:rPr>
            </w:pPr>
            <w:r>
              <w:rPr>
                <w:rFonts w:hint="eastAsia"/>
                <w:sz w:val="24"/>
              </w:rPr>
              <w:t>③各类设备选用安全可靠设备，管道应经过防腐处理。</w:t>
            </w:r>
          </w:p>
          <w:p w14:paraId="5DFFCE94">
            <w:pPr>
              <w:wordWrap w:val="0"/>
              <w:spacing w:line="360" w:lineRule="auto"/>
              <w:ind w:firstLine="480" w:firstLineChars="200"/>
              <w:rPr>
                <w:rFonts w:hint="eastAsia"/>
                <w:sz w:val="24"/>
              </w:rPr>
            </w:pPr>
            <w:r>
              <w:rPr>
                <w:rFonts w:hint="eastAsia"/>
                <w:sz w:val="24"/>
              </w:rPr>
              <w:t>④定期检查项目废气处理装置的运行情况，对关键性设备部件进行定期交换，是防止设备失灵引起事故的措施。</w:t>
            </w:r>
          </w:p>
          <w:p w14:paraId="515E8FD7">
            <w:pPr>
              <w:wordWrap w:val="0"/>
              <w:spacing w:line="360" w:lineRule="auto"/>
              <w:ind w:firstLine="480" w:firstLineChars="200"/>
              <w:rPr>
                <w:rFonts w:hint="eastAsia"/>
                <w:sz w:val="24"/>
              </w:rPr>
            </w:pPr>
            <w:r>
              <w:rPr>
                <w:rFonts w:hint="eastAsia"/>
                <w:sz w:val="24"/>
              </w:rPr>
              <w:t>⑤若处理设施出现异常，须立即停止生产并及时检修，待其检修合格、及时足量更换活性炭并正常运行后方可恢复生产；</w:t>
            </w:r>
          </w:p>
          <w:p w14:paraId="029ACBA4">
            <w:pPr>
              <w:wordWrap w:val="0"/>
              <w:spacing w:line="360" w:lineRule="auto"/>
              <w:ind w:firstLine="480" w:firstLineChars="200"/>
              <w:rPr>
                <w:rFonts w:hint="eastAsia"/>
                <w:sz w:val="24"/>
              </w:rPr>
            </w:pPr>
            <w:r>
              <w:rPr>
                <w:rFonts w:hint="eastAsia"/>
                <w:sz w:val="24"/>
              </w:rPr>
              <w:t>⑥加强废气处理设施的管理和维护，关键设备及零部件预留备用，若处理设施出现异常，须立即停产检修；</w:t>
            </w:r>
          </w:p>
          <w:p w14:paraId="6DEFD8EE">
            <w:pPr>
              <w:wordWrap w:val="0"/>
              <w:spacing w:line="360" w:lineRule="auto"/>
              <w:ind w:firstLine="480" w:firstLineChars="200"/>
              <w:rPr>
                <w:rFonts w:hint="eastAsia"/>
                <w:sz w:val="24"/>
              </w:rPr>
            </w:pPr>
            <w:r>
              <w:rPr>
                <w:rFonts w:hint="eastAsia"/>
                <w:sz w:val="24"/>
              </w:rPr>
              <w:t>⑦同时，企业通过制定风险防范措施及突发环境事件应急预案，加强职工培训与管理以提高员工安全生产技能，定期检查和保养生产设备以保证设施安全正常运行等措施，以降低环境风险发生的概率和影响。</w:t>
            </w:r>
          </w:p>
          <w:p w14:paraId="62551F22">
            <w:pPr>
              <w:wordWrap w:val="0"/>
              <w:spacing w:line="360" w:lineRule="auto"/>
              <w:ind w:firstLine="482" w:firstLineChars="200"/>
              <w:rPr>
                <w:rFonts w:hint="eastAsia"/>
                <w:b/>
                <w:bCs/>
                <w:sz w:val="24"/>
              </w:rPr>
            </w:pPr>
            <w:r>
              <w:rPr>
                <w:rFonts w:hint="eastAsia"/>
                <w:b/>
                <w:bCs/>
                <w:sz w:val="24"/>
                <w:lang w:val="en-US" w:eastAsia="zh-CN"/>
              </w:rPr>
              <w:t>7.5</w:t>
            </w:r>
            <w:r>
              <w:rPr>
                <w:rFonts w:hint="eastAsia"/>
                <w:b/>
                <w:bCs/>
                <w:sz w:val="24"/>
              </w:rPr>
              <w:t>风险应急预案</w:t>
            </w:r>
          </w:p>
          <w:p w14:paraId="77410B62">
            <w:pPr>
              <w:wordWrap w:val="0"/>
              <w:spacing w:line="360" w:lineRule="auto"/>
              <w:ind w:firstLine="480" w:firstLineChars="200"/>
              <w:rPr>
                <w:rFonts w:hint="eastAsia"/>
                <w:sz w:val="24"/>
              </w:rPr>
            </w:pPr>
            <w:r>
              <w:rPr>
                <w:rFonts w:hint="eastAsia"/>
                <w:sz w:val="24"/>
              </w:rPr>
              <w:t>为保证企业及人民生命财产安全，防止突发性重大环境事故发生，或在发生事故时能迅速有序地开展救援工作，尽最大努力减少事故的危害和损失。企业应制定突发环境事件应急预案，并组织专业队伍学习和演练，防患于未然，以便应急救援工作的顺利开展。企业在制定突发环境事件应急预案时，还应包括</w:t>
            </w:r>
            <w:r>
              <w:rPr>
                <w:rFonts w:hint="eastAsia"/>
                <w:sz w:val="24"/>
                <w:lang w:val="en-US" w:eastAsia="zh-CN"/>
              </w:rPr>
              <w:t>下</w:t>
            </w:r>
            <w:r>
              <w:rPr>
                <w:rFonts w:hint="eastAsia"/>
                <w:sz w:val="24"/>
              </w:rPr>
              <w:t>表所示内容。</w:t>
            </w:r>
          </w:p>
          <w:p w14:paraId="7C9ECC4E">
            <w:pPr>
              <w:numPr>
                <w:ilvl w:val="0"/>
                <w:numId w:val="6"/>
              </w:numPr>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rPr>
              <w:t>突发环境事件应急预案内容</w:t>
            </w:r>
          </w:p>
          <w:tbl>
            <w:tblPr>
              <w:tblStyle w:val="27"/>
              <w:tblW w:w="787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32"/>
              <w:gridCol w:w="2562"/>
              <w:gridCol w:w="4583"/>
            </w:tblGrid>
            <w:tr w14:paraId="45AC3D1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732" w:type="dxa"/>
                  <w:tcBorders>
                    <w:tl2br w:val="nil"/>
                    <w:tr2bl w:val="nil"/>
                  </w:tcBorders>
                  <w:vAlign w:val="center"/>
                </w:tcPr>
                <w:p w14:paraId="0CF9638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序号</w:t>
                  </w:r>
                </w:p>
              </w:tc>
              <w:tc>
                <w:tcPr>
                  <w:tcW w:w="2562" w:type="dxa"/>
                  <w:tcBorders>
                    <w:tl2br w:val="nil"/>
                    <w:tr2bl w:val="nil"/>
                  </w:tcBorders>
                  <w:vAlign w:val="center"/>
                </w:tcPr>
                <w:p w14:paraId="2583767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项目</w:t>
                  </w:r>
                </w:p>
              </w:tc>
              <w:tc>
                <w:tcPr>
                  <w:tcW w:w="4583" w:type="dxa"/>
                  <w:tcBorders>
                    <w:tl2br w:val="nil"/>
                    <w:tr2bl w:val="nil"/>
                  </w:tcBorders>
                  <w:vAlign w:val="center"/>
                </w:tcPr>
                <w:p w14:paraId="1DFF4FDD">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内容及要求</w:t>
                  </w:r>
                </w:p>
              </w:tc>
            </w:tr>
            <w:tr w14:paraId="69A261A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732" w:type="dxa"/>
                  <w:tcBorders>
                    <w:tl2br w:val="nil"/>
                    <w:tr2bl w:val="nil"/>
                  </w:tcBorders>
                  <w:vAlign w:val="center"/>
                </w:tcPr>
                <w:p w14:paraId="26BB6FE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2562" w:type="dxa"/>
                  <w:tcBorders>
                    <w:tl2br w:val="nil"/>
                    <w:tr2bl w:val="nil"/>
                  </w:tcBorders>
                  <w:vAlign w:val="center"/>
                </w:tcPr>
                <w:p w14:paraId="4301F44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应急组织机构、人员</w:t>
                  </w:r>
                </w:p>
              </w:tc>
              <w:tc>
                <w:tcPr>
                  <w:tcW w:w="4583" w:type="dxa"/>
                  <w:tcBorders>
                    <w:tl2br w:val="nil"/>
                    <w:tr2bl w:val="nil"/>
                  </w:tcBorders>
                  <w:vAlign w:val="center"/>
                </w:tcPr>
                <w:p w14:paraId="7C17CE7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公司应急机构人员，地方政府应急组织人员</w:t>
                  </w:r>
                </w:p>
              </w:tc>
            </w:tr>
            <w:tr w14:paraId="1A86B47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732" w:type="dxa"/>
                  <w:tcBorders>
                    <w:tl2br w:val="nil"/>
                    <w:tr2bl w:val="nil"/>
                  </w:tcBorders>
                  <w:vAlign w:val="center"/>
                </w:tcPr>
                <w:p w14:paraId="2BA56A44">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w:t>
                  </w:r>
                </w:p>
              </w:tc>
              <w:tc>
                <w:tcPr>
                  <w:tcW w:w="2562" w:type="dxa"/>
                  <w:tcBorders>
                    <w:tl2br w:val="nil"/>
                    <w:tr2bl w:val="nil"/>
                  </w:tcBorders>
                  <w:vAlign w:val="center"/>
                </w:tcPr>
                <w:p w14:paraId="3D383853">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预案分级响应条件</w:t>
                  </w:r>
                </w:p>
              </w:tc>
              <w:tc>
                <w:tcPr>
                  <w:tcW w:w="4583" w:type="dxa"/>
                  <w:tcBorders>
                    <w:tl2br w:val="nil"/>
                    <w:tr2bl w:val="nil"/>
                  </w:tcBorders>
                  <w:vAlign w:val="center"/>
                </w:tcPr>
                <w:p w14:paraId="6430367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规定预案的级别及分级响应程序</w:t>
                  </w:r>
                </w:p>
              </w:tc>
            </w:tr>
            <w:tr w14:paraId="0A13553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732" w:type="dxa"/>
                  <w:tcBorders>
                    <w:tl2br w:val="nil"/>
                    <w:tr2bl w:val="nil"/>
                  </w:tcBorders>
                  <w:vAlign w:val="center"/>
                </w:tcPr>
                <w:p w14:paraId="37F20194">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w:t>
                  </w:r>
                </w:p>
              </w:tc>
              <w:tc>
                <w:tcPr>
                  <w:tcW w:w="2562" w:type="dxa"/>
                  <w:tcBorders>
                    <w:tl2br w:val="nil"/>
                    <w:tr2bl w:val="nil"/>
                  </w:tcBorders>
                  <w:vAlign w:val="center"/>
                </w:tcPr>
                <w:p w14:paraId="78A4E8C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应急救援保障</w:t>
                  </w:r>
                </w:p>
              </w:tc>
              <w:tc>
                <w:tcPr>
                  <w:tcW w:w="4583" w:type="dxa"/>
                  <w:tcBorders>
                    <w:tl2br w:val="nil"/>
                    <w:tr2bl w:val="nil"/>
                  </w:tcBorders>
                  <w:vAlign w:val="center"/>
                </w:tcPr>
                <w:p w14:paraId="45E0F6D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应急设施、设备与器材等</w:t>
                  </w:r>
                </w:p>
              </w:tc>
            </w:tr>
            <w:tr w14:paraId="7FE2CC7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732" w:type="dxa"/>
                  <w:tcBorders>
                    <w:tl2br w:val="nil"/>
                    <w:tr2bl w:val="nil"/>
                  </w:tcBorders>
                  <w:vAlign w:val="center"/>
                </w:tcPr>
                <w:p w14:paraId="323D254D">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w:t>
                  </w:r>
                </w:p>
              </w:tc>
              <w:tc>
                <w:tcPr>
                  <w:tcW w:w="2562" w:type="dxa"/>
                  <w:tcBorders>
                    <w:tl2br w:val="nil"/>
                    <w:tr2bl w:val="nil"/>
                  </w:tcBorders>
                  <w:vAlign w:val="center"/>
                </w:tcPr>
                <w:p w14:paraId="115DC73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报警、通讯联络方式</w:t>
                  </w:r>
                </w:p>
              </w:tc>
              <w:tc>
                <w:tcPr>
                  <w:tcW w:w="4583" w:type="dxa"/>
                  <w:tcBorders>
                    <w:tl2br w:val="nil"/>
                    <w:tr2bl w:val="nil"/>
                  </w:tcBorders>
                  <w:vAlign w:val="center"/>
                </w:tcPr>
                <w:p w14:paraId="28854D0E">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规定应急状态下的报警通讯方式；交通保障、管制</w:t>
                  </w:r>
                </w:p>
              </w:tc>
            </w:tr>
            <w:tr w14:paraId="02B4900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732" w:type="dxa"/>
                  <w:tcBorders>
                    <w:tl2br w:val="nil"/>
                    <w:tr2bl w:val="nil"/>
                  </w:tcBorders>
                  <w:vAlign w:val="center"/>
                </w:tcPr>
                <w:p w14:paraId="307D1D2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w:t>
                  </w:r>
                </w:p>
              </w:tc>
              <w:tc>
                <w:tcPr>
                  <w:tcW w:w="2562" w:type="dxa"/>
                  <w:tcBorders>
                    <w:tl2br w:val="nil"/>
                    <w:tr2bl w:val="nil"/>
                  </w:tcBorders>
                  <w:vAlign w:val="center"/>
                </w:tcPr>
                <w:p w14:paraId="520AE4EE">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应急环境监测、抢险、救援及控制措施</w:t>
                  </w:r>
                </w:p>
              </w:tc>
              <w:tc>
                <w:tcPr>
                  <w:tcW w:w="4583" w:type="dxa"/>
                  <w:tcBorders>
                    <w:tl2br w:val="nil"/>
                    <w:tr2bl w:val="nil"/>
                  </w:tcBorders>
                  <w:vAlign w:val="center"/>
                </w:tcPr>
                <w:p w14:paraId="7DDE638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由环境监测站负责对事故现场进行监测，对事故性质、参数与后果进行评估，为指挥部门提供决策根据</w:t>
                  </w:r>
                </w:p>
              </w:tc>
            </w:tr>
            <w:tr w14:paraId="468E720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732" w:type="dxa"/>
                  <w:tcBorders>
                    <w:tl2br w:val="nil"/>
                    <w:tr2bl w:val="nil"/>
                  </w:tcBorders>
                  <w:vAlign w:val="center"/>
                </w:tcPr>
                <w:p w14:paraId="6B67DE0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c>
                <w:tcPr>
                  <w:tcW w:w="2562" w:type="dxa"/>
                  <w:tcBorders>
                    <w:tl2br w:val="nil"/>
                    <w:tr2bl w:val="nil"/>
                  </w:tcBorders>
                  <w:vAlign w:val="center"/>
                </w:tcPr>
                <w:p w14:paraId="4A31D109">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应急检测、防护措施、清除泄漏措施器材</w:t>
                  </w:r>
                </w:p>
              </w:tc>
              <w:tc>
                <w:tcPr>
                  <w:tcW w:w="4583" w:type="dxa"/>
                  <w:tcBorders>
                    <w:tl2br w:val="nil"/>
                    <w:tr2bl w:val="nil"/>
                  </w:tcBorders>
                  <w:vAlign w:val="center"/>
                </w:tcPr>
                <w:p w14:paraId="0A32F19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事故现场、邻近区域、控制防火区域，控制和清除污染措施及相应设备</w:t>
                  </w:r>
                </w:p>
              </w:tc>
            </w:tr>
            <w:tr w14:paraId="4EDDF95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732" w:type="dxa"/>
                  <w:tcBorders>
                    <w:tl2br w:val="nil"/>
                    <w:tr2bl w:val="nil"/>
                  </w:tcBorders>
                  <w:vAlign w:val="center"/>
                </w:tcPr>
                <w:p w14:paraId="6AE8016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w:t>
                  </w:r>
                </w:p>
              </w:tc>
              <w:tc>
                <w:tcPr>
                  <w:tcW w:w="2562" w:type="dxa"/>
                  <w:tcBorders>
                    <w:tl2br w:val="nil"/>
                    <w:tr2bl w:val="nil"/>
                  </w:tcBorders>
                  <w:vAlign w:val="center"/>
                </w:tcPr>
                <w:p w14:paraId="1E2B68F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人员紧急撤离、疏散</w:t>
                  </w:r>
                </w:p>
              </w:tc>
              <w:tc>
                <w:tcPr>
                  <w:tcW w:w="4583" w:type="dxa"/>
                  <w:tcBorders>
                    <w:tl2br w:val="nil"/>
                    <w:tr2bl w:val="nil"/>
                  </w:tcBorders>
                  <w:vAlign w:val="center"/>
                </w:tcPr>
                <w:p w14:paraId="056AA29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撤离组织计划及救护，医疗救护与公众健康</w:t>
                  </w:r>
                </w:p>
              </w:tc>
            </w:tr>
            <w:tr w14:paraId="38AFFC7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732" w:type="dxa"/>
                  <w:tcBorders>
                    <w:tl2br w:val="nil"/>
                    <w:tr2bl w:val="nil"/>
                  </w:tcBorders>
                  <w:vAlign w:val="center"/>
                </w:tcPr>
                <w:p w14:paraId="26D08548">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8</w:t>
                  </w:r>
                </w:p>
              </w:tc>
              <w:tc>
                <w:tcPr>
                  <w:tcW w:w="2562" w:type="dxa"/>
                  <w:tcBorders>
                    <w:tl2br w:val="nil"/>
                    <w:tr2bl w:val="nil"/>
                  </w:tcBorders>
                  <w:vAlign w:val="center"/>
                </w:tcPr>
                <w:p w14:paraId="1125408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事故应急救援关闭程序与恢复措施</w:t>
                  </w:r>
                </w:p>
              </w:tc>
              <w:tc>
                <w:tcPr>
                  <w:tcW w:w="4583" w:type="dxa"/>
                  <w:tcBorders>
                    <w:tl2br w:val="nil"/>
                    <w:tr2bl w:val="nil"/>
                  </w:tcBorders>
                  <w:vAlign w:val="center"/>
                </w:tcPr>
                <w:p w14:paraId="624CA3CE">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专业队伍抢救结束后，做好事故现场善后处理，邻近区域解除事故警戒及善后恢复措施，现场调查、清理、清洗工作恢复生产状态，组织生产</w:t>
                  </w:r>
                </w:p>
              </w:tc>
            </w:tr>
            <w:tr w14:paraId="61DE82A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732" w:type="dxa"/>
                  <w:tcBorders>
                    <w:tl2br w:val="nil"/>
                    <w:tr2bl w:val="nil"/>
                  </w:tcBorders>
                  <w:vAlign w:val="center"/>
                </w:tcPr>
                <w:p w14:paraId="7255B0B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9</w:t>
                  </w:r>
                </w:p>
              </w:tc>
              <w:tc>
                <w:tcPr>
                  <w:tcW w:w="2562" w:type="dxa"/>
                  <w:tcBorders>
                    <w:tl2br w:val="nil"/>
                    <w:tr2bl w:val="nil"/>
                  </w:tcBorders>
                  <w:vAlign w:val="center"/>
                </w:tcPr>
                <w:p w14:paraId="5F280A1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应急培训计划</w:t>
                  </w:r>
                </w:p>
              </w:tc>
              <w:tc>
                <w:tcPr>
                  <w:tcW w:w="4583" w:type="dxa"/>
                  <w:tcBorders>
                    <w:tl2br w:val="nil"/>
                    <w:tr2bl w:val="nil"/>
                  </w:tcBorders>
                  <w:vAlign w:val="center"/>
                </w:tcPr>
                <w:p w14:paraId="43BB8C68">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制定计划，安排人员培训与演练</w:t>
                  </w:r>
                </w:p>
              </w:tc>
            </w:tr>
          </w:tbl>
          <w:p w14:paraId="58341F9A">
            <w:pPr>
              <w:wordWrap w:val="0"/>
              <w:spacing w:line="240" w:lineRule="auto"/>
              <w:ind w:firstLine="420" w:firstLineChars="200"/>
              <w:jc w:val="center"/>
              <w:rPr>
                <w:rFonts w:hint="eastAsia"/>
                <w:sz w:val="21"/>
                <w:szCs w:val="21"/>
              </w:rPr>
            </w:pPr>
          </w:p>
          <w:p w14:paraId="641AB63A">
            <w:pPr>
              <w:wordWrap w:val="0"/>
              <w:spacing w:line="360" w:lineRule="auto"/>
              <w:ind w:firstLine="480" w:firstLineChars="200"/>
              <w:rPr>
                <w:rFonts w:hint="eastAsia"/>
                <w:sz w:val="24"/>
              </w:rPr>
            </w:pPr>
            <w:r>
              <w:rPr>
                <w:rFonts w:hint="eastAsia"/>
                <w:sz w:val="24"/>
              </w:rPr>
              <w:t>综上所述，运营期落实在本环评提出的各项措施、建立和落实各项风险预警防范措施和事故应急计划，杜绝重大安全事故和重大环境污染事故的发生，可使项目建成后风险水平处于可接受程度。</w:t>
            </w:r>
          </w:p>
          <w:p w14:paraId="4E8B0863">
            <w:pPr>
              <w:wordWrap w:val="0"/>
              <w:spacing w:line="360" w:lineRule="auto"/>
              <w:ind w:firstLine="480" w:firstLineChars="200"/>
              <w:rPr>
                <w:rFonts w:hint="eastAsia" w:eastAsia="宋体"/>
                <w:sz w:val="24"/>
                <w:lang w:eastAsia="zh-CN"/>
              </w:rPr>
            </w:pPr>
            <w:r>
              <w:rPr>
                <w:rFonts w:hint="eastAsia"/>
                <w:sz w:val="24"/>
              </w:rPr>
              <w:t>环境风险简单分析内容见下表</w:t>
            </w:r>
            <w:r>
              <w:rPr>
                <w:rFonts w:hint="eastAsia"/>
                <w:sz w:val="24"/>
                <w:lang w:eastAsia="zh-CN"/>
              </w:rPr>
              <w:t>：</w:t>
            </w:r>
          </w:p>
          <w:p w14:paraId="7FBA8848">
            <w:pPr>
              <w:numPr>
                <w:ilvl w:val="0"/>
                <w:numId w:val="6"/>
              </w:numPr>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rPr>
              <w:t>建设项目环境风险简单分析内容表</w:t>
            </w:r>
          </w:p>
          <w:tbl>
            <w:tblPr>
              <w:tblStyle w:val="27"/>
              <w:tblW w:w="783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133"/>
              <w:gridCol w:w="5704"/>
            </w:tblGrid>
            <w:tr w14:paraId="4E12A04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133" w:type="dxa"/>
                  <w:tcBorders>
                    <w:tl2br w:val="nil"/>
                    <w:tr2bl w:val="nil"/>
                  </w:tcBorders>
                  <w:noWrap w:val="0"/>
                  <w:vAlign w:val="center"/>
                </w:tcPr>
                <w:p w14:paraId="25717A8D">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建设项目名称</w:t>
                  </w:r>
                </w:p>
              </w:tc>
              <w:tc>
                <w:tcPr>
                  <w:tcW w:w="5704" w:type="dxa"/>
                  <w:tcBorders>
                    <w:tl2br w:val="nil"/>
                    <w:tr2bl w:val="nil"/>
                  </w:tcBorders>
                  <w:noWrap w:val="0"/>
                  <w:vAlign w:val="center"/>
                </w:tcPr>
                <w:p w14:paraId="0AC6364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四川省达州市瑞欣路面材料有限责任公司</w:t>
                  </w:r>
                </w:p>
              </w:tc>
            </w:tr>
            <w:tr w14:paraId="5D3D8D5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133" w:type="dxa"/>
                  <w:tcBorders>
                    <w:tl2br w:val="nil"/>
                    <w:tr2bl w:val="nil"/>
                  </w:tcBorders>
                  <w:noWrap w:val="0"/>
                  <w:vAlign w:val="center"/>
                </w:tcPr>
                <w:p w14:paraId="43D2A71E">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建设地点</w:t>
                  </w:r>
                </w:p>
              </w:tc>
              <w:tc>
                <w:tcPr>
                  <w:tcW w:w="5704" w:type="dxa"/>
                  <w:tcBorders>
                    <w:tl2br w:val="nil"/>
                    <w:tr2bl w:val="nil"/>
                  </w:tcBorders>
                  <w:noWrap w:val="0"/>
                  <w:vAlign w:val="center"/>
                </w:tcPr>
                <w:p w14:paraId="2476A80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四川省达州市通川区东岳镇有力村九组</w:t>
                  </w:r>
                </w:p>
              </w:tc>
            </w:tr>
            <w:tr w14:paraId="28004A6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133" w:type="dxa"/>
                  <w:tcBorders>
                    <w:tl2br w:val="nil"/>
                    <w:tr2bl w:val="nil"/>
                  </w:tcBorders>
                  <w:noWrap w:val="0"/>
                  <w:vAlign w:val="center"/>
                </w:tcPr>
                <w:p w14:paraId="291DA55A">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地理坐标</w:t>
                  </w:r>
                </w:p>
              </w:tc>
              <w:tc>
                <w:tcPr>
                  <w:tcW w:w="5704" w:type="dxa"/>
                  <w:tcBorders>
                    <w:tl2br w:val="nil"/>
                    <w:tr2bl w:val="nil"/>
                  </w:tcBorders>
                  <w:noWrap w:val="0"/>
                  <w:vAlign w:val="center"/>
                </w:tcPr>
                <w:p w14:paraId="3178378E">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东经：107度28分55.2648秒，北纬：31度19分38.1756秒</w:t>
                  </w:r>
                </w:p>
              </w:tc>
            </w:tr>
            <w:tr w14:paraId="14E043C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33" w:type="dxa"/>
                  <w:tcBorders>
                    <w:tl2br w:val="nil"/>
                    <w:tr2bl w:val="nil"/>
                  </w:tcBorders>
                  <w:noWrap w:val="0"/>
                  <w:vAlign w:val="center"/>
                </w:tcPr>
                <w:p w14:paraId="1A910EB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主要危险物质及分布</w:t>
                  </w:r>
                </w:p>
              </w:tc>
              <w:tc>
                <w:tcPr>
                  <w:tcW w:w="5704" w:type="dxa"/>
                  <w:tcBorders>
                    <w:tl2br w:val="nil"/>
                    <w:tr2bl w:val="nil"/>
                  </w:tcBorders>
                  <w:noWrap w:val="0"/>
                  <w:vAlign w:val="center"/>
                </w:tcPr>
                <w:p w14:paraId="195BD50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危废暂存间、化学品库房、</w:t>
                  </w:r>
                  <w:r>
                    <w:rPr>
                      <w:rFonts w:hint="eastAsia" w:cs="Times New Roman"/>
                      <w:sz w:val="21"/>
                      <w:szCs w:val="21"/>
                      <w:vertAlign w:val="baseline"/>
                      <w:lang w:val="en-US" w:eastAsia="zh-CN"/>
                    </w:rPr>
                    <w:t>导热油炉、</w:t>
                  </w:r>
                  <w:r>
                    <w:rPr>
                      <w:rFonts w:hint="eastAsia" w:ascii="Times New Roman" w:hAnsi="Times New Roman" w:eastAsia="宋体" w:cs="Times New Roman"/>
                      <w:sz w:val="21"/>
                      <w:szCs w:val="21"/>
                      <w:vertAlign w:val="baseline"/>
                      <w:lang w:val="en-US" w:eastAsia="zh-CN"/>
                    </w:rPr>
                    <w:t>含油设备区</w:t>
                  </w:r>
                </w:p>
              </w:tc>
            </w:tr>
            <w:tr w14:paraId="1F83F6E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133" w:type="dxa"/>
                  <w:tcBorders>
                    <w:tl2br w:val="nil"/>
                    <w:tr2bl w:val="nil"/>
                  </w:tcBorders>
                  <w:noWrap w:val="0"/>
                  <w:vAlign w:val="center"/>
                </w:tcPr>
                <w:p w14:paraId="02448CBD">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环境影响途径及危害后果（大气、地表水、地下水等）</w:t>
                  </w:r>
                </w:p>
              </w:tc>
              <w:tc>
                <w:tcPr>
                  <w:tcW w:w="5704" w:type="dxa"/>
                  <w:tcBorders>
                    <w:tl2br w:val="nil"/>
                    <w:tr2bl w:val="nil"/>
                  </w:tcBorders>
                  <w:noWrap w:val="0"/>
                  <w:vAlign w:val="center"/>
                </w:tcPr>
                <w:p w14:paraId="660B198A">
                  <w:pPr>
                    <w:keepNext w:val="0"/>
                    <w:keepLines w:val="0"/>
                    <w:pageBreakBefore w:val="0"/>
                    <w:widowControl w:val="0"/>
                    <w:kinsoku/>
                    <w:wordWrap w:val="0"/>
                    <w:overflowPunct/>
                    <w:topLinePunct w:val="0"/>
                    <w:autoSpaceDE/>
                    <w:autoSpaceDN/>
                    <w:bidi w:val="0"/>
                    <w:adjustRightInd/>
                    <w:snapToGrid/>
                    <w:spacing w:line="240" w:lineRule="exact"/>
                    <w:ind w:firstLine="420" w:firstLineChars="200"/>
                    <w:jc w:val="both"/>
                    <w:textAlignment w:val="auto"/>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天然气、导热油、润滑油、沥青使用及储存过程中可能会发生泄露、火灾；废气治理设施故障或损坏，污染环境等；危险废物泄漏污染土壤、地下水等。</w:t>
                  </w:r>
                </w:p>
              </w:tc>
            </w:tr>
            <w:tr w14:paraId="405EF7F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133" w:type="dxa"/>
                  <w:tcBorders>
                    <w:tl2br w:val="nil"/>
                    <w:tr2bl w:val="nil"/>
                  </w:tcBorders>
                  <w:noWrap w:val="0"/>
                  <w:vAlign w:val="center"/>
                </w:tcPr>
                <w:p w14:paraId="6D7103E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风险防范措施要求</w:t>
                  </w:r>
                </w:p>
              </w:tc>
              <w:tc>
                <w:tcPr>
                  <w:tcW w:w="5704" w:type="dxa"/>
                  <w:tcBorders>
                    <w:tl2br w:val="nil"/>
                    <w:tr2bl w:val="nil"/>
                  </w:tcBorders>
                  <w:noWrap w:val="0"/>
                  <w:vAlign w:val="center"/>
                </w:tcPr>
                <w:p w14:paraId="7EFAD8C9">
                  <w:pPr>
                    <w:keepNext w:val="0"/>
                    <w:keepLines w:val="0"/>
                    <w:pageBreakBefore w:val="0"/>
                    <w:widowControl w:val="0"/>
                    <w:kinsoku/>
                    <w:wordWrap w:val="0"/>
                    <w:overflowPunct/>
                    <w:topLinePunct w:val="0"/>
                    <w:autoSpaceDE/>
                    <w:autoSpaceDN/>
                    <w:bidi w:val="0"/>
                    <w:adjustRightInd/>
                    <w:snapToGrid/>
                    <w:spacing w:line="240" w:lineRule="exact"/>
                    <w:ind w:firstLine="420" w:firstLineChars="200"/>
                    <w:jc w:val="both"/>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（1）在使用和储存易燃液体的场所采取防火、防爆措施，远离火种，配备符合生产或者储存需要的管理人员和技术人员，有健全的安全管理制度；</w:t>
                  </w:r>
                </w:p>
                <w:p w14:paraId="400981F1">
                  <w:pPr>
                    <w:keepNext w:val="0"/>
                    <w:keepLines w:val="0"/>
                    <w:pageBreakBefore w:val="0"/>
                    <w:widowControl w:val="0"/>
                    <w:kinsoku/>
                    <w:wordWrap w:val="0"/>
                    <w:overflowPunct/>
                    <w:topLinePunct w:val="0"/>
                    <w:autoSpaceDE/>
                    <w:autoSpaceDN/>
                    <w:bidi w:val="0"/>
                    <w:adjustRightInd/>
                    <w:snapToGrid/>
                    <w:spacing w:line="240" w:lineRule="exact"/>
                    <w:ind w:firstLine="420" w:firstLineChars="200"/>
                    <w:jc w:val="both"/>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（2）油类物质采用专用包装桶包装，定量暂存，并设置专员定期对包装情况进行检查，对可能发生油类物质泄漏事故区域采取重点防渗；</w:t>
                  </w:r>
                </w:p>
                <w:p w14:paraId="20CF625B">
                  <w:pPr>
                    <w:keepNext w:val="0"/>
                    <w:keepLines w:val="0"/>
                    <w:pageBreakBefore w:val="0"/>
                    <w:widowControl w:val="0"/>
                    <w:kinsoku/>
                    <w:wordWrap w:val="0"/>
                    <w:overflowPunct/>
                    <w:topLinePunct w:val="0"/>
                    <w:autoSpaceDE/>
                    <w:autoSpaceDN/>
                    <w:bidi w:val="0"/>
                    <w:adjustRightInd/>
                    <w:snapToGrid/>
                    <w:spacing w:line="240" w:lineRule="exact"/>
                    <w:ind w:firstLine="420" w:firstLineChars="200"/>
                    <w:jc w:val="both"/>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（3）沥青罐区、导热油储存区等地面采取防腐、防渗防漏处理，分区设置20cm高事故围堰以及初期雨水切换阀；</w:t>
                  </w:r>
                </w:p>
                <w:p w14:paraId="5202CDC4">
                  <w:pPr>
                    <w:keepNext w:val="0"/>
                    <w:keepLines w:val="0"/>
                    <w:pageBreakBefore w:val="0"/>
                    <w:widowControl w:val="0"/>
                    <w:kinsoku/>
                    <w:wordWrap w:val="0"/>
                    <w:overflowPunct/>
                    <w:topLinePunct w:val="0"/>
                    <w:autoSpaceDE/>
                    <w:autoSpaceDN/>
                    <w:bidi w:val="0"/>
                    <w:adjustRightInd/>
                    <w:snapToGrid/>
                    <w:spacing w:line="240" w:lineRule="exact"/>
                    <w:ind w:firstLine="420" w:firstLineChars="200"/>
                    <w:jc w:val="both"/>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（4）加强环保设施日常维护，建立污染物治理设施运行管理台账；</w:t>
                  </w:r>
                </w:p>
                <w:p w14:paraId="6AF7546D">
                  <w:pPr>
                    <w:keepNext w:val="0"/>
                    <w:keepLines w:val="0"/>
                    <w:pageBreakBefore w:val="0"/>
                    <w:widowControl w:val="0"/>
                    <w:kinsoku/>
                    <w:wordWrap w:val="0"/>
                    <w:overflowPunct/>
                    <w:topLinePunct w:val="0"/>
                    <w:autoSpaceDE/>
                    <w:autoSpaceDN/>
                    <w:bidi w:val="0"/>
                    <w:adjustRightInd/>
                    <w:snapToGrid/>
                    <w:spacing w:line="240" w:lineRule="exact"/>
                    <w:ind w:firstLine="420" w:firstLineChars="200"/>
                    <w:jc w:val="both"/>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（5）完善企业环境风险应急预案，定期组织培训和演练；</w:t>
                  </w:r>
                </w:p>
                <w:p w14:paraId="1AEE0B46">
                  <w:pPr>
                    <w:keepNext w:val="0"/>
                    <w:keepLines w:val="0"/>
                    <w:pageBreakBefore w:val="0"/>
                    <w:widowControl w:val="0"/>
                    <w:kinsoku/>
                    <w:wordWrap w:val="0"/>
                    <w:overflowPunct/>
                    <w:topLinePunct w:val="0"/>
                    <w:autoSpaceDE/>
                    <w:autoSpaceDN/>
                    <w:bidi w:val="0"/>
                    <w:adjustRightInd/>
                    <w:snapToGrid/>
                    <w:spacing w:line="240" w:lineRule="exact"/>
                    <w:ind w:firstLine="420" w:firstLineChars="200"/>
                    <w:jc w:val="both"/>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（6）加强运行巡检管理，建立隐患排查制度。</w:t>
                  </w:r>
                </w:p>
              </w:tc>
            </w:tr>
            <w:tr w14:paraId="51E9FFF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7837" w:type="dxa"/>
                  <w:gridSpan w:val="2"/>
                  <w:tcBorders>
                    <w:tl2br w:val="nil"/>
                    <w:tr2bl w:val="nil"/>
                  </w:tcBorders>
                  <w:noWrap w:val="0"/>
                  <w:vAlign w:val="center"/>
                </w:tcPr>
                <w:p w14:paraId="3F178D8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项目相关信息及评价说明：</w:t>
                  </w:r>
                  <w:r>
                    <w:rPr>
                      <w:rFonts w:hint="eastAsia" w:ascii="Times New Roman" w:hAnsi="Times New Roman" w:eastAsia="宋体" w:cs="Times New Roman"/>
                      <w:sz w:val="21"/>
                      <w:szCs w:val="21"/>
                      <w:vertAlign w:val="baseline"/>
                      <w:lang w:val="en-US" w:eastAsia="zh-CN"/>
                    </w:rPr>
                    <w:t>本项目</w:t>
                  </w:r>
                  <w:r>
                    <w:rPr>
                      <w:rFonts w:hint="default" w:ascii="Times New Roman" w:hAnsi="Times New Roman" w:eastAsia="宋体" w:cs="Times New Roman"/>
                      <w:sz w:val="21"/>
                      <w:szCs w:val="21"/>
                      <w:vertAlign w:val="baseline"/>
                    </w:rPr>
                    <w:t>涉及的风险物质为</w:t>
                  </w:r>
                  <w:r>
                    <w:rPr>
                      <w:rFonts w:hint="eastAsia" w:ascii="Times New Roman" w:hAnsi="Times New Roman" w:eastAsia="宋体" w:cs="Times New Roman"/>
                      <w:sz w:val="21"/>
                      <w:szCs w:val="21"/>
                      <w:vertAlign w:val="baseline"/>
                      <w:lang w:val="en-US" w:eastAsia="zh-CN"/>
                    </w:rPr>
                    <w:t>危险废物</w:t>
                  </w:r>
                  <w:r>
                    <w:rPr>
                      <w:rFonts w:hint="default" w:ascii="Times New Roman" w:hAnsi="Times New Roman" w:eastAsia="宋体" w:cs="Times New Roman"/>
                      <w:sz w:val="21"/>
                      <w:szCs w:val="21"/>
                      <w:vertAlign w:val="baseline"/>
                    </w:rPr>
                    <w:t>等，风险评价等级为“简单评价”。</w:t>
                  </w:r>
                </w:p>
              </w:tc>
            </w:tr>
          </w:tbl>
          <w:p w14:paraId="654F606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vertAlign w:val="baseline"/>
              </w:rPr>
            </w:pPr>
          </w:p>
        </w:tc>
      </w:tr>
    </w:tbl>
    <w:p w14:paraId="043D8D8A">
      <w:p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369967A">
      <w:pPr>
        <w:pStyle w:val="22"/>
        <w:wordWrap w:val="0"/>
        <w:spacing w:before="0" w:beforeAutospacing="0" w:after="0" w:afterAutospacing="0"/>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五、</w:t>
      </w:r>
      <w:bookmarkStart w:id="4" w:name="_Hlk54167917"/>
      <w:r>
        <w:rPr>
          <w:rFonts w:ascii="Times New Roman" w:hAnsi="Times New Roman" w:eastAsia="黑体"/>
          <w:snapToGrid w:val="0"/>
          <w:sz w:val="30"/>
          <w:szCs w:val="30"/>
        </w:rPr>
        <w:t>环境保护措施监督检查清单</w:t>
      </w:r>
      <w:bookmarkEnd w:id="4"/>
    </w:p>
    <w:tbl>
      <w:tblPr>
        <w:tblStyle w:val="26"/>
        <w:tblW w:w="887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 w:type="dxa"/>
          <w:bottom w:w="0" w:type="dxa"/>
          <w:right w:w="1" w:type="dxa"/>
        </w:tblCellMar>
      </w:tblPr>
      <w:tblGrid>
        <w:gridCol w:w="675"/>
        <w:gridCol w:w="1080"/>
        <w:gridCol w:w="1441"/>
        <w:gridCol w:w="2675"/>
        <w:gridCol w:w="3004"/>
      </w:tblGrid>
      <w:tr w14:paraId="1511A7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 w:type="dxa"/>
            <w:bottom w:w="0" w:type="dxa"/>
            <w:right w:w="1" w:type="dxa"/>
          </w:tblCellMar>
        </w:tblPrEx>
        <w:trPr>
          <w:trHeight w:val="90" w:hRule="atLeast"/>
          <w:jc w:val="center"/>
        </w:trPr>
        <w:tc>
          <w:tcPr>
            <w:tcW w:w="675" w:type="dxa"/>
            <w:tcBorders>
              <w:tl2br w:val="single" w:color="auto" w:sz="4" w:space="0"/>
            </w:tcBorders>
            <w:noWrap w:val="0"/>
            <w:vAlign w:val="top"/>
          </w:tcPr>
          <w:p w14:paraId="45AB48A7">
            <w:pPr>
              <w:wordWrap w:val="0"/>
              <w:adjustRightInd w:val="0"/>
              <w:jc w:val="right"/>
              <w:rPr>
                <w:b/>
                <w:sz w:val="24"/>
              </w:rPr>
            </w:pPr>
            <w:r>
              <w:rPr>
                <w:b/>
                <w:sz w:val="24"/>
              </w:rPr>
              <w:t>内容</w:t>
            </w:r>
          </w:p>
          <w:p w14:paraId="0E70539E">
            <w:pPr>
              <w:wordWrap w:val="0"/>
              <w:adjustRightInd w:val="0"/>
              <w:jc w:val="left"/>
              <w:rPr>
                <w:b/>
                <w:sz w:val="24"/>
              </w:rPr>
            </w:pPr>
            <w:r>
              <w:rPr>
                <w:b/>
                <w:sz w:val="24"/>
              </w:rPr>
              <w:t>要素</w:t>
            </w:r>
          </w:p>
        </w:tc>
        <w:tc>
          <w:tcPr>
            <w:tcW w:w="1080" w:type="dxa"/>
            <w:noWrap w:val="0"/>
            <w:vAlign w:val="center"/>
          </w:tcPr>
          <w:p w14:paraId="18A0F40B">
            <w:pPr>
              <w:wordWrap w:val="0"/>
              <w:adjustRightInd w:val="0"/>
              <w:jc w:val="center"/>
              <w:rPr>
                <w:b/>
                <w:sz w:val="24"/>
              </w:rPr>
            </w:pPr>
            <w:r>
              <w:rPr>
                <w:b/>
                <w:sz w:val="24"/>
              </w:rPr>
              <w:t>排放口/污染源</w:t>
            </w:r>
          </w:p>
        </w:tc>
        <w:tc>
          <w:tcPr>
            <w:tcW w:w="1441" w:type="dxa"/>
            <w:noWrap w:val="0"/>
            <w:vAlign w:val="center"/>
          </w:tcPr>
          <w:p w14:paraId="62E304A5">
            <w:pPr>
              <w:wordWrap w:val="0"/>
              <w:adjustRightInd w:val="0"/>
              <w:jc w:val="center"/>
              <w:rPr>
                <w:b/>
                <w:sz w:val="24"/>
              </w:rPr>
            </w:pPr>
            <w:r>
              <w:rPr>
                <w:b/>
                <w:sz w:val="24"/>
              </w:rPr>
              <w:t>污染物项目</w:t>
            </w:r>
          </w:p>
        </w:tc>
        <w:tc>
          <w:tcPr>
            <w:tcW w:w="2675" w:type="dxa"/>
            <w:noWrap w:val="0"/>
            <w:vAlign w:val="center"/>
          </w:tcPr>
          <w:p w14:paraId="0B0C78AB">
            <w:pPr>
              <w:wordWrap w:val="0"/>
              <w:adjustRightInd w:val="0"/>
              <w:jc w:val="center"/>
              <w:rPr>
                <w:b/>
                <w:sz w:val="24"/>
              </w:rPr>
            </w:pPr>
            <w:r>
              <w:rPr>
                <w:b/>
                <w:sz w:val="24"/>
              </w:rPr>
              <w:t>环境保护措施</w:t>
            </w:r>
          </w:p>
        </w:tc>
        <w:tc>
          <w:tcPr>
            <w:tcW w:w="3004" w:type="dxa"/>
            <w:noWrap w:val="0"/>
            <w:vAlign w:val="center"/>
          </w:tcPr>
          <w:p w14:paraId="604C16BC">
            <w:pPr>
              <w:wordWrap w:val="0"/>
              <w:adjustRightInd w:val="0"/>
              <w:jc w:val="center"/>
              <w:rPr>
                <w:b/>
                <w:sz w:val="24"/>
              </w:rPr>
            </w:pPr>
            <w:r>
              <w:rPr>
                <w:b/>
                <w:sz w:val="24"/>
              </w:rPr>
              <w:t>执行标准</w:t>
            </w:r>
          </w:p>
        </w:tc>
      </w:tr>
      <w:tr w14:paraId="71A0C1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 w:type="dxa"/>
            <w:bottom w:w="0" w:type="dxa"/>
            <w:right w:w="1" w:type="dxa"/>
          </w:tblCellMar>
        </w:tblPrEx>
        <w:trPr>
          <w:trHeight w:val="90" w:hRule="atLeast"/>
          <w:jc w:val="center"/>
        </w:trPr>
        <w:tc>
          <w:tcPr>
            <w:tcW w:w="675" w:type="dxa"/>
            <w:vMerge w:val="restart"/>
            <w:noWrap w:val="0"/>
            <w:vAlign w:val="center"/>
          </w:tcPr>
          <w:p w14:paraId="56CCF6B8">
            <w:pPr>
              <w:wordWrap w:val="0"/>
              <w:adjustRightInd w:val="0"/>
              <w:jc w:val="center"/>
              <w:rPr>
                <w:b/>
                <w:sz w:val="24"/>
              </w:rPr>
            </w:pPr>
            <w:r>
              <w:rPr>
                <w:b/>
                <w:sz w:val="24"/>
              </w:rPr>
              <w:t>大气环境</w:t>
            </w:r>
          </w:p>
        </w:tc>
        <w:tc>
          <w:tcPr>
            <w:tcW w:w="1080" w:type="dxa"/>
            <w:noWrap w:val="0"/>
            <w:vAlign w:val="center"/>
          </w:tcPr>
          <w:p w14:paraId="17DB4109">
            <w:pPr>
              <w:wordWrap w:val="0"/>
              <w:autoSpaceDE w:val="0"/>
              <w:autoSpaceDN w:val="0"/>
              <w:adjustRightInd w:val="0"/>
              <w:jc w:val="center"/>
              <w:rPr>
                <w:rFonts w:hint="default" w:eastAsia="宋体"/>
                <w:kern w:val="0"/>
                <w:sz w:val="24"/>
                <w:lang w:val="en-US" w:eastAsia="zh-CN"/>
              </w:rPr>
            </w:pPr>
            <w:r>
              <w:rPr>
                <w:rFonts w:hint="eastAsia" w:eastAsia="宋体"/>
                <w:kern w:val="0"/>
                <w:sz w:val="24"/>
                <w:lang w:eastAsia="zh-CN"/>
              </w:rPr>
              <w:t>DA001</w:t>
            </w:r>
          </w:p>
        </w:tc>
        <w:tc>
          <w:tcPr>
            <w:tcW w:w="1441" w:type="dxa"/>
            <w:noWrap w:val="0"/>
            <w:vAlign w:val="center"/>
          </w:tcPr>
          <w:p w14:paraId="095C302F">
            <w:pPr>
              <w:wordWrap w:val="0"/>
              <w:autoSpaceDE w:val="0"/>
              <w:autoSpaceDN w:val="0"/>
              <w:adjustRightInd w:val="0"/>
              <w:jc w:val="center"/>
              <w:rPr>
                <w:rFonts w:hint="default" w:eastAsia="宋体"/>
                <w:kern w:val="0"/>
                <w:sz w:val="24"/>
                <w:lang w:val="en-US" w:eastAsia="zh-CN"/>
              </w:rPr>
            </w:pPr>
            <w:r>
              <w:rPr>
                <w:rFonts w:hint="default" w:eastAsia="宋体"/>
                <w:kern w:val="0"/>
                <w:sz w:val="24"/>
                <w:lang w:val="en-US" w:eastAsia="zh-CN"/>
              </w:rPr>
              <w:t>颗粒物、NO</w:t>
            </w:r>
            <w:r>
              <w:rPr>
                <w:rFonts w:hint="eastAsia"/>
                <w:kern w:val="0"/>
                <w:sz w:val="24"/>
                <w:vertAlign w:val="subscript"/>
                <w:lang w:val="en-US" w:eastAsia="zh-CN"/>
              </w:rPr>
              <w:t>x</w:t>
            </w:r>
            <w:r>
              <w:rPr>
                <w:rFonts w:hint="default" w:eastAsia="宋体"/>
                <w:kern w:val="0"/>
                <w:sz w:val="24"/>
                <w:lang w:val="en-US" w:eastAsia="zh-CN"/>
              </w:rPr>
              <w:t>、SO</w:t>
            </w:r>
            <w:r>
              <w:rPr>
                <w:rFonts w:hint="default" w:eastAsia="宋体"/>
                <w:kern w:val="0"/>
                <w:sz w:val="24"/>
                <w:vertAlign w:val="subscript"/>
                <w:lang w:val="en-US" w:eastAsia="zh-CN"/>
              </w:rPr>
              <w:t>2</w:t>
            </w:r>
          </w:p>
        </w:tc>
        <w:tc>
          <w:tcPr>
            <w:tcW w:w="2675" w:type="dxa"/>
            <w:noWrap w:val="0"/>
            <w:vAlign w:val="center"/>
          </w:tcPr>
          <w:p w14:paraId="7C318450">
            <w:pPr>
              <w:wordWrap w:val="0"/>
              <w:jc w:val="center"/>
              <w:rPr>
                <w:rFonts w:hint="eastAsia"/>
                <w:kern w:val="0"/>
                <w:sz w:val="24"/>
                <w:lang w:val="en-US" w:eastAsia="zh-CN"/>
              </w:rPr>
            </w:pPr>
            <w:r>
              <w:rPr>
                <w:rFonts w:hint="eastAsia"/>
                <w:kern w:val="0"/>
                <w:sz w:val="24"/>
                <w:lang w:val="en-US" w:eastAsia="zh-CN"/>
              </w:rPr>
              <w:t>密闭收集+高温布袋除尘器（TA001）+22m高排气筒（DA001）</w:t>
            </w:r>
          </w:p>
        </w:tc>
        <w:tc>
          <w:tcPr>
            <w:tcW w:w="3004" w:type="dxa"/>
            <w:noWrap w:val="0"/>
            <w:vAlign w:val="center"/>
          </w:tcPr>
          <w:p w14:paraId="6401CA53">
            <w:pPr>
              <w:wordWrap w:val="0"/>
              <w:jc w:val="center"/>
              <w:rPr>
                <w:rFonts w:hint="eastAsia" w:eastAsia="宋体"/>
                <w:kern w:val="0"/>
                <w:sz w:val="24"/>
                <w:lang w:eastAsia="zh-CN"/>
              </w:rPr>
            </w:pPr>
            <w:r>
              <w:rPr>
                <w:rFonts w:hint="eastAsia" w:eastAsia="宋体"/>
                <w:kern w:val="0"/>
                <w:sz w:val="24"/>
                <w:lang w:eastAsia="zh-CN"/>
              </w:rPr>
              <w:t>《四川省工业炉窑大气污染综合治理实施清单》</w:t>
            </w:r>
          </w:p>
        </w:tc>
      </w:tr>
      <w:tr w14:paraId="318013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 w:type="dxa"/>
            <w:bottom w:w="0" w:type="dxa"/>
            <w:right w:w="1" w:type="dxa"/>
          </w:tblCellMar>
        </w:tblPrEx>
        <w:trPr>
          <w:trHeight w:val="90" w:hRule="atLeast"/>
          <w:jc w:val="center"/>
        </w:trPr>
        <w:tc>
          <w:tcPr>
            <w:tcW w:w="675" w:type="dxa"/>
            <w:vMerge w:val="continue"/>
            <w:noWrap w:val="0"/>
            <w:vAlign w:val="center"/>
          </w:tcPr>
          <w:p w14:paraId="0E19C5EF">
            <w:pPr>
              <w:wordWrap w:val="0"/>
              <w:adjustRightInd w:val="0"/>
              <w:jc w:val="center"/>
              <w:rPr>
                <w:b/>
                <w:sz w:val="24"/>
              </w:rPr>
            </w:pPr>
          </w:p>
        </w:tc>
        <w:tc>
          <w:tcPr>
            <w:tcW w:w="1080" w:type="dxa"/>
            <w:noWrap w:val="0"/>
            <w:vAlign w:val="center"/>
          </w:tcPr>
          <w:p w14:paraId="255F10DC">
            <w:pPr>
              <w:wordWrap w:val="0"/>
              <w:autoSpaceDE w:val="0"/>
              <w:autoSpaceDN w:val="0"/>
              <w:adjustRightInd w:val="0"/>
              <w:jc w:val="center"/>
              <w:rPr>
                <w:rFonts w:hint="default" w:eastAsia="宋体"/>
                <w:kern w:val="0"/>
                <w:sz w:val="24"/>
                <w:lang w:val="en-US" w:eastAsia="zh-CN"/>
              </w:rPr>
            </w:pPr>
            <w:r>
              <w:rPr>
                <w:rFonts w:hint="default" w:eastAsia="宋体"/>
                <w:kern w:val="0"/>
                <w:sz w:val="24"/>
                <w:lang w:val="en-US" w:eastAsia="zh-CN"/>
              </w:rPr>
              <w:t>DA00</w:t>
            </w:r>
            <w:r>
              <w:rPr>
                <w:rFonts w:hint="eastAsia" w:eastAsia="宋体"/>
                <w:kern w:val="0"/>
                <w:sz w:val="24"/>
                <w:lang w:val="en-US" w:eastAsia="zh-CN"/>
              </w:rPr>
              <w:t>2</w:t>
            </w:r>
          </w:p>
        </w:tc>
        <w:tc>
          <w:tcPr>
            <w:tcW w:w="1441" w:type="dxa"/>
            <w:noWrap w:val="0"/>
            <w:vAlign w:val="center"/>
          </w:tcPr>
          <w:p w14:paraId="46C17C5D">
            <w:pPr>
              <w:wordWrap w:val="0"/>
              <w:autoSpaceDE w:val="0"/>
              <w:autoSpaceDN w:val="0"/>
              <w:adjustRightInd w:val="0"/>
              <w:jc w:val="center"/>
              <w:rPr>
                <w:rFonts w:hint="default" w:eastAsia="宋体"/>
                <w:kern w:val="0"/>
                <w:sz w:val="24"/>
                <w:lang w:val="en-US" w:eastAsia="zh-CN"/>
              </w:rPr>
            </w:pPr>
            <w:r>
              <w:rPr>
                <w:rFonts w:hint="default" w:eastAsia="宋体"/>
                <w:kern w:val="0"/>
                <w:sz w:val="24"/>
                <w:lang w:val="en-US" w:eastAsia="zh-CN"/>
              </w:rPr>
              <w:t>沥青烟、苯</w:t>
            </w:r>
          </w:p>
          <w:p w14:paraId="33CC7E13">
            <w:pPr>
              <w:wordWrap w:val="0"/>
              <w:autoSpaceDE w:val="0"/>
              <w:autoSpaceDN w:val="0"/>
              <w:adjustRightInd w:val="0"/>
              <w:jc w:val="center"/>
              <w:rPr>
                <w:rFonts w:hint="default" w:eastAsia="宋体"/>
                <w:kern w:val="0"/>
                <w:sz w:val="24"/>
                <w:lang w:val="en-US" w:eastAsia="zh-CN"/>
              </w:rPr>
            </w:pPr>
            <w:r>
              <w:rPr>
                <w:rFonts w:hint="default" w:eastAsia="宋体"/>
                <w:kern w:val="0"/>
                <w:sz w:val="24"/>
                <w:lang w:val="en-US" w:eastAsia="zh-CN"/>
              </w:rPr>
              <w:t>并[a]芘、VOCs（以非甲烷总烃计）</w:t>
            </w:r>
          </w:p>
        </w:tc>
        <w:tc>
          <w:tcPr>
            <w:tcW w:w="2675" w:type="dxa"/>
            <w:noWrap w:val="0"/>
            <w:vAlign w:val="center"/>
          </w:tcPr>
          <w:p w14:paraId="599F1BB1">
            <w:pPr>
              <w:wordWrap w:val="0"/>
              <w:jc w:val="center"/>
              <w:rPr>
                <w:rFonts w:hint="eastAsia"/>
                <w:kern w:val="0"/>
                <w:sz w:val="24"/>
              </w:rPr>
            </w:pPr>
            <w:r>
              <w:rPr>
                <w:rFonts w:hint="eastAsia"/>
                <w:kern w:val="0"/>
                <w:sz w:val="24"/>
              </w:rPr>
              <w:t>密闭收集+“喷淋+干式过滤+活性炭吸附脱附+催化燃烧”装置（TA002）+22m高排气筒（DA002）</w:t>
            </w:r>
          </w:p>
        </w:tc>
        <w:tc>
          <w:tcPr>
            <w:tcW w:w="3004" w:type="dxa"/>
            <w:noWrap w:val="0"/>
            <w:vAlign w:val="center"/>
          </w:tcPr>
          <w:p w14:paraId="42FEBB3D">
            <w:pPr>
              <w:pStyle w:val="70"/>
              <w:wordWrap w:val="0"/>
              <w:spacing w:line="240" w:lineRule="auto"/>
              <w:rPr>
                <w:rFonts w:hint="default" w:eastAsia="宋体"/>
                <w:sz w:val="24"/>
                <w:szCs w:val="24"/>
                <w:lang w:val="en-US" w:eastAsia="zh-CN"/>
              </w:rPr>
            </w:pPr>
            <w:r>
              <w:rPr>
                <w:rFonts w:hint="default" w:eastAsia="宋体"/>
                <w:sz w:val="24"/>
                <w:szCs w:val="24"/>
                <w:lang w:val="en-US" w:eastAsia="zh-CN"/>
              </w:rPr>
              <w:t>沥青烟、苯并[a]芘执行《大气污染物综合排放标准》（GB16297-1996）表2中二</w:t>
            </w:r>
          </w:p>
          <w:p w14:paraId="2ED87DC8">
            <w:pPr>
              <w:pStyle w:val="70"/>
              <w:wordWrap w:val="0"/>
              <w:spacing w:line="240" w:lineRule="auto"/>
              <w:rPr>
                <w:rFonts w:hint="default" w:eastAsia="宋体"/>
                <w:sz w:val="24"/>
                <w:szCs w:val="24"/>
                <w:lang w:val="en-US" w:eastAsia="zh-CN"/>
              </w:rPr>
            </w:pPr>
            <w:r>
              <w:rPr>
                <w:rFonts w:hint="default" w:eastAsia="宋体"/>
                <w:sz w:val="24"/>
                <w:szCs w:val="24"/>
                <w:lang w:val="en-US" w:eastAsia="zh-CN"/>
              </w:rPr>
              <w:t>级标准；VOCs（以非甲烷总烃计）执行《四川省固定污染源大气挥发性有机物排放标准》（DB51/2377-2017）表3</w:t>
            </w:r>
          </w:p>
        </w:tc>
      </w:tr>
      <w:tr w14:paraId="51188D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 w:type="dxa"/>
            <w:bottom w:w="0" w:type="dxa"/>
            <w:right w:w="1" w:type="dxa"/>
          </w:tblCellMar>
        </w:tblPrEx>
        <w:trPr>
          <w:trHeight w:val="90" w:hRule="atLeast"/>
          <w:jc w:val="center"/>
        </w:trPr>
        <w:tc>
          <w:tcPr>
            <w:tcW w:w="675" w:type="dxa"/>
            <w:vMerge w:val="continue"/>
            <w:noWrap w:val="0"/>
            <w:vAlign w:val="center"/>
          </w:tcPr>
          <w:p w14:paraId="1059F3D3">
            <w:pPr>
              <w:wordWrap w:val="0"/>
              <w:adjustRightInd w:val="0"/>
              <w:jc w:val="center"/>
              <w:rPr>
                <w:b/>
                <w:sz w:val="24"/>
              </w:rPr>
            </w:pPr>
          </w:p>
        </w:tc>
        <w:tc>
          <w:tcPr>
            <w:tcW w:w="1080" w:type="dxa"/>
            <w:noWrap w:val="0"/>
            <w:vAlign w:val="center"/>
          </w:tcPr>
          <w:p w14:paraId="5575C2AB">
            <w:pPr>
              <w:wordWrap w:val="0"/>
              <w:autoSpaceDE w:val="0"/>
              <w:autoSpaceDN w:val="0"/>
              <w:adjustRightInd w:val="0"/>
              <w:jc w:val="center"/>
              <w:rPr>
                <w:rFonts w:hint="default" w:eastAsia="宋体"/>
                <w:kern w:val="0"/>
                <w:sz w:val="24"/>
                <w:lang w:val="en-US" w:eastAsia="zh-CN"/>
              </w:rPr>
            </w:pPr>
            <w:r>
              <w:rPr>
                <w:rFonts w:hint="eastAsia" w:eastAsia="宋体"/>
                <w:kern w:val="0"/>
                <w:sz w:val="24"/>
                <w:lang w:val="en-US" w:eastAsia="zh-CN"/>
              </w:rPr>
              <w:t>DA003</w:t>
            </w:r>
          </w:p>
        </w:tc>
        <w:tc>
          <w:tcPr>
            <w:tcW w:w="1441" w:type="dxa"/>
            <w:noWrap w:val="0"/>
            <w:vAlign w:val="center"/>
          </w:tcPr>
          <w:p w14:paraId="5FB40EBA">
            <w:pPr>
              <w:wordWrap w:val="0"/>
              <w:autoSpaceDE w:val="0"/>
              <w:autoSpaceDN w:val="0"/>
              <w:adjustRightInd w:val="0"/>
              <w:jc w:val="center"/>
              <w:rPr>
                <w:rFonts w:hint="default" w:eastAsia="宋体"/>
                <w:kern w:val="0"/>
                <w:sz w:val="24"/>
                <w:lang w:val="en-US" w:eastAsia="zh-CN"/>
              </w:rPr>
            </w:pPr>
            <w:r>
              <w:rPr>
                <w:rFonts w:hint="default" w:eastAsia="宋体"/>
                <w:kern w:val="0"/>
                <w:sz w:val="24"/>
                <w:lang w:val="en-US" w:eastAsia="zh-CN"/>
              </w:rPr>
              <w:t>颗粒物、NO</w:t>
            </w:r>
            <w:r>
              <w:rPr>
                <w:rFonts w:hint="eastAsia"/>
                <w:kern w:val="0"/>
                <w:sz w:val="24"/>
                <w:vertAlign w:val="subscript"/>
                <w:lang w:val="en-US" w:eastAsia="zh-CN"/>
              </w:rPr>
              <w:t>x</w:t>
            </w:r>
            <w:r>
              <w:rPr>
                <w:rFonts w:hint="default" w:eastAsia="宋体"/>
                <w:kern w:val="0"/>
                <w:sz w:val="24"/>
                <w:lang w:val="en-US" w:eastAsia="zh-CN"/>
              </w:rPr>
              <w:t>、SO</w:t>
            </w:r>
            <w:r>
              <w:rPr>
                <w:rFonts w:hint="default" w:eastAsia="宋体"/>
                <w:kern w:val="0"/>
                <w:sz w:val="24"/>
                <w:vertAlign w:val="subscript"/>
                <w:lang w:val="en-US" w:eastAsia="zh-CN"/>
              </w:rPr>
              <w:t>2</w:t>
            </w:r>
          </w:p>
        </w:tc>
        <w:tc>
          <w:tcPr>
            <w:tcW w:w="2675" w:type="dxa"/>
            <w:noWrap w:val="0"/>
            <w:vAlign w:val="center"/>
          </w:tcPr>
          <w:p w14:paraId="1B035FA6">
            <w:pPr>
              <w:wordWrap w:val="0"/>
              <w:jc w:val="center"/>
              <w:rPr>
                <w:rFonts w:hint="eastAsia"/>
                <w:kern w:val="0"/>
                <w:sz w:val="24"/>
              </w:rPr>
            </w:pPr>
            <w:r>
              <w:rPr>
                <w:rFonts w:hint="eastAsia"/>
                <w:kern w:val="0"/>
                <w:sz w:val="24"/>
              </w:rPr>
              <w:t>低氮燃烧（TA003）+13m高排气筒（DA003）</w:t>
            </w:r>
          </w:p>
        </w:tc>
        <w:tc>
          <w:tcPr>
            <w:tcW w:w="3004" w:type="dxa"/>
            <w:noWrap w:val="0"/>
            <w:vAlign w:val="center"/>
          </w:tcPr>
          <w:p w14:paraId="0D2BB933">
            <w:pPr>
              <w:pStyle w:val="70"/>
              <w:wordWrap w:val="0"/>
              <w:spacing w:line="240" w:lineRule="auto"/>
              <w:rPr>
                <w:rFonts w:hint="default" w:eastAsia="宋体"/>
                <w:sz w:val="24"/>
                <w:szCs w:val="24"/>
                <w:lang w:val="en-US" w:eastAsia="zh-CN"/>
              </w:rPr>
            </w:pPr>
            <w:r>
              <w:rPr>
                <w:rFonts w:hint="default" w:eastAsia="宋体"/>
                <w:sz w:val="24"/>
                <w:szCs w:val="24"/>
                <w:lang w:val="en-US" w:eastAsia="zh-CN"/>
              </w:rPr>
              <w:t>《四川省大气污染物工程减量指导意见（2023-2025年）》（川污防攻坚办【2023】15号）</w:t>
            </w:r>
          </w:p>
        </w:tc>
      </w:tr>
      <w:tr w14:paraId="38F880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 w:type="dxa"/>
            <w:bottom w:w="0" w:type="dxa"/>
            <w:right w:w="1" w:type="dxa"/>
          </w:tblCellMar>
        </w:tblPrEx>
        <w:trPr>
          <w:trHeight w:val="90" w:hRule="atLeast"/>
          <w:jc w:val="center"/>
        </w:trPr>
        <w:tc>
          <w:tcPr>
            <w:tcW w:w="675" w:type="dxa"/>
            <w:vMerge w:val="continue"/>
            <w:noWrap w:val="0"/>
            <w:vAlign w:val="center"/>
          </w:tcPr>
          <w:p w14:paraId="142DCE22">
            <w:pPr>
              <w:wordWrap w:val="0"/>
              <w:adjustRightInd w:val="0"/>
              <w:jc w:val="center"/>
              <w:rPr>
                <w:b/>
                <w:sz w:val="24"/>
              </w:rPr>
            </w:pPr>
          </w:p>
        </w:tc>
        <w:tc>
          <w:tcPr>
            <w:tcW w:w="1080" w:type="dxa"/>
            <w:noWrap w:val="0"/>
            <w:vAlign w:val="center"/>
          </w:tcPr>
          <w:p w14:paraId="69ECB728">
            <w:pPr>
              <w:wordWrap w:val="0"/>
              <w:autoSpaceDE w:val="0"/>
              <w:autoSpaceDN w:val="0"/>
              <w:adjustRightInd w:val="0"/>
              <w:jc w:val="center"/>
              <w:rPr>
                <w:rFonts w:hint="default" w:eastAsia="宋体"/>
                <w:kern w:val="0"/>
                <w:sz w:val="24"/>
                <w:lang w:val="en-US" w:eastAsia="zh-CN"/>
              </w:rPr>
            </w:pPr>
            <w:r>
              <w:rPr>
                <w:rFonts w:hint="eastAsia"/>
                <w:kern w:val="0"/>
                <w:sz w:val="24"/>
                <w:lang w:val="en-US" w:eastAsia="zh-CN"/>
              </w:rPr>
              <w:t>DA004</w:t>
            </w:r>
          </w:p>
        </w:tc>
        <w:tc>
          <w:tcPr>
            <w:tcW w:w="1441" w:type="dxa"/>
            <w:noWrap w:val="0"/>
            <w:vAlign w:val="center"/>
          </w:tcPr>
          <w:p w14:paraId="6735601F">
            <w:pPr>
              <w:wordWrap w:val="0"/>
              <w:autoSpaceDE w:val="0"/>
              <w:autoSpaceDN w:val="0"/>
              <w:adjustRightInd w:val="0"/>
              <w:jc w:val="center"/>
              <w:rPr>
                <w:rFonts w:hint="default" w:eastAsia="宋体"/>
                <w:kern w:val="0"/>
                <w:sz w:val="24"/>
                <w:lang w:val="en-US" w:eastAsia="zh-CN"/>
              </w:rPr>
            </w:pPr>
            <w:r>
              <w:rPr>
                <w:rFonts w:hint="default" w:eastAsia="宋体"/>
                <w:kern w:val="0"/>
                <w:sz w:val="24"/>
                <w:lang w:val="en-US" w:eastAsia="zh-CN"/>
              </w:rPr>
              <w:t>颗粒物、NO</w:t>
            </w:r>
            <w:r>
              <w:rPr>
                <w:rFonts w:hint="eastAsia"/>
                <w:kern w:val="0"/>
                <w:sz w:val="24"/>
                <w:vertAlign w:val="subscript"/>
                <w:lang w:val="en-US" w:eastAsia="zh-CN"/>
              </w:rPr>
              <w:t>x</w:t>
            </w:r>
            <w:r>
              <w:rPr>
                <w:rFonts w:hint="default" w:eastAsia="宋体"/>
                <w:kern w:val="0"/>
                <w:sz w:val="24"/>
                <w:lang w:val="en-US" w:eastAsia="zh-CN"/>
              </w:rPr>
              <w:t>、SO</w:t>
            </w:r>
            <w:r>
              <w:rPr>
                <w:rFonts w:hint="default" w:eastAsia="宋体"/>
                <w:kern w:val="0"/>
                <w:sz w:val="24"/>
                <w:vertAlign w:val="subscript"/>
                <w:lang w:val="en-US" w:eastAsia="zh-CN"/>
              </w:rPr>
              <w:t>2</w:t>
            </w:r>
          </w:p>
        </w:tc>
        <w:tc>
          <w:tcPr>
            <w:tcW w:w="2675" w:type="dxa"/>
            <w:noWrap w:val="0"/>
            <w:vAlign w:val="center"/>
          </w:tcPr>
          <w:p w14:paraId="2926485B">
            <w:pPr>
              <w:wordWrap w:val="0"/>
              <w:jc w:val="center"/>
              <w:rPr>
                <w:rFonts w:hint="eastAsia"/>
                <w:kern w:val="0"/>
                <w:sz w:val="24"/>
              </w:rPr>
            </w:pPr>
            <w:r>
              <w:rPr>
                <w:rFonts w:hint="eastAsia"/>
                <w:kern w:val="0"/>
                <w:sz w:val="24"/>
              </w:rPr>
              <w:t>密闭收集+高温布袋除尘器（TA004）+15m高排气筒（DA004）</w:t>
            </w:r>
          </w:p>
        </w:tc>
        <w:tc>
          <w:tcPr>
            <w:tcW w:w="3004" w:type="dxa"/>
            <w:noWrap w:val="0"/>
            <w:vAlign w:val="center"/>
          </w:tcPr>
          <w:p w14:paraId="458BFD33">
            <w:pPr>
              <w:pStyle w:val="70"/>
              <w:wordWrap w:val="0"/>
              <w:spacing w:line="240" w:lineRule="auto"/>
              <w:rPr>
                <w:rFonts w:hint="default" w:eastAsia="宋体"/>
                <w:sz w:val="24"/>
                <w:szCs w:val="24"/>
                <w:lang w:val="en-US" w:eastAsia="zh-CN"/>
              </w:rPr>
            </w:pPr>
            <w:r>
              <w:rPr>
                <w:rFonts w:hint="eastAsia" w:eastAsia="宋体"/>
                <w:kern w:val="0"/>
                <w:sz w:val="24"/>
                <w:lang w:eastAsia="zh-CN"/>
              </w:rPr>
              <w:t>《四川省工业炉窑大气污染综合治理实施清单》</w:t>
            </w:r>
          </w:p>
        </w:tc>
      </w:tr>
      <w:tr w14:paraId="4AC5B3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 w:type="dxa"/>
            <w:bottom w:w="0" w:type="dxa"/>
            <w:right w:w="1" w:type="dxa"/>
          </w:tblCellMar>
        </w:tblPrEx>
        <w:trPr>
          <w:trHeight w:val="90" w:hRule="atLeast"/>
          <w:jc w:val="center"/>
        </w:trPr>
        <w:tc>
          <w:tcPr>
            <w:tcW w:w="675" w:type="dxa"/>
            <w:vMerge w:val="continue"/>
            <w:noWrap w:val="0"/>
            <w:vAlign w:val="center"/>
          </w:tcPr>
          <w:p w14:paraId="192FAD71">
            <w:pPr>
              <w:wordWrap w:val="0"/>
              <w:adjustRightInd w:val="0"/>
              <w:jc w:val="center"/>
              <w:rPr>
                <w:b/>
                <w:sz w:val="24"/>
              </w:rPr>
            </w:pPr>
          </w:p>
        </w:tc>
        <w:tc>
          <w:tcPr>
            <w:tcW w:w="1080" w:type="dxa"/>
            <w:noWrap w:val="0"/>
            <w:vAlign w:val="center"/>
          </w:tcPr>
          <w:p w14:paraId="421D3549">
            <w:pPr>
              <w:wordWrap w:val="0"/>
              <w:autoSpaceDE w:val="0"/>
              <w:autoSpaceDN w:val="0"/>
              <w:adjustRightInd w:val="0"/>
              <w:jc w:val="center"/>
              <w:rPr>
                <w:rFonts w:hint="default" w:eastAsia="宋体"/>
                <w:kern w:val="0"/>
                <w:sz w:val="24"/>
                <w:lang w:val="en-US" w:eastAsia="zh-CN"/>
              </w:rPr>
            </w:pPr>
            <w:r>
              <w:rPr>
                <w:rFonts w:hint="eastAsia"/>
                <w:kern w:val="0"/>
                <w:sz w:val="24"/>
                <w:lang w:val="en-US" w:eastAsia="zh-CN"/>
              </w:rPr>
              <w:t>DA005</w:t>
            </w:r>
          </w:p>
        </w:tc>
        <w:tc>
          <w:tcPr>
            <w:tcW w:w="1441" w:type="dxa"/>
            <w:noWrap w:val="0"/>
            <w:vAlign w:val="center"/>
          </w:tcPr>
          <w:p w14:paraId="4C90C659">
            <w:pPr>
              <w:wordWrap w:val="0"/>
              <w:autoSpaceDE w:val="0"/>
              <w:autoSpaceDN w:val="0"/>
              <w:adjustRightInd w:val="0"/>
              <w:jc w:val="center"/>
              <w:rPr>
                <w:rFonts w:hint="default" w:eastAsia="宋体"/>
                <w:kern w:val="0"/>
                <w:sz w:val="24"/>
                <w:lang w:val="en-US" w:eastAsia="zh-CN"/>
              </w:rPr>
            </w:pPr>
            <w:r>
              <w:rPr>
                <w:rFonts w:hint="eastAsia"/>
                <w:kern w:val="0"/>
                <w:sz w:val="24"/>
                <w:lang w:val="en-US" w:eastAsia="zh-CN"/>
              </w:rPr>
              <w:t>颗粒物</w:t>
            </w:r>
          </w:p>
        </w:tc>
        <w:tc>
          <w:tcPr>
            <w:tcW w:w="2675" w:type="dxa"/>
            <w:noWrap w:val="0"/>
            <w:vAlign w:val="center"/>
          </w:tcPr>
          <w:p w14:paraId="0F3DF674">
            <w:pPr>
              <w:wordWrap w:val="0"/>
              <w:jc w:val="center"/>
              <w:rPr>
                <w:rFonts w:hint="eastAsia"/>
                <w:kern w:val="0"/>
                <w:sz w:val="24"/>
              </w:rPr>
            </w:pPr>
            <w:r>
              <w:rPr>
                <w:rFonts w:hint="eastAsia"/>
                <w:kern w:val="0"/>
                <w:sz w:val="24"/>
              </w:rPr>
              <w:t>集气罩+布袋除尘器（TA005）+15m高排气筒（DA005）</w:t>
            </w:r>
          </w:p>
        </w:tc>
        <w:tc>
          <w:tcPr>
            <w:tcW w:w="3004" w:type="dxa"/>
            <w:noWrap w:val="0"/>
            <w:vAlign w:val="center"/>
          </w:tcPr>
          <w:p w14:paraId="209A5087">
            <w:pPr>
              <w:pStyle w:val="70"/>
              <w:wordWrap w:val="0"/>
              <w:spacing w:line="240" w:lineRule="auto"/>
              <w:rPr>
                <w:rFonts w:hint="default" w:eastAsia="宋体"/>
                <w:sz w:val="24"/>
                <w:szCs w:val="24"/>
                <w:lang w:val="en-US" w:eastAsia="zh-CN"/>
              </w:rPr>
            </w:pPr>
            <w:r>
              <w:rPr>
                <w:rFonts w:hint="default" w:eastAsia="宋体"/>
                <w:sz w:val="24"/>
                <w:szCs w:val="24"/>
                <w:lang w:val="en-US" w:eastAsia="zh-CN"/>
              </w:rPr>
              <w:t>《大气污染物综合排放标准》（GB16297-1996）表2中的限值要求。</w:t>
            </w:r>
          </w:p>
        </w:tc>
      </w:tr>
      <w:tr w14:paraId="54F0EF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 w:type="dxa"/>
            <w:bottom w:w="0" w:type="dxa"/>
            <w:right w:w="1" w:type="dxa"/>
          </w:tblCellMar>
        </w:tblPrEx>
        <w:trPr>
          <w:trHeight w:val="90" w:hRule="atLeast"/>
          <w:jc w:val="center"/>
        </w:trPr>
        <w:tc>
          <w:tcPr>
            <w:tcW w:w="675" w:type="dxa"/>
            <w:vMerge w:val="continue"/>
            <w:noWrap w:val="0"/>
            <w:vAlign w:val="center"/>
          </w:tcPr>
          <w:p w14:paraId="2EFCC30D">
            <w:pPr>
              <w:wordWrap w:val="0"/>
              <w:adjustRightInd w:val="0"/>
              <w:jc w:val="center"/>
              <w:rPr>
                <w:b/>
                <w:sz w:val="24"/>
              </w:rPr>
            </w:pPr>
          </w:p>
        </w:tc>
        <w:tc>
          <w:tcPr>
            <w:tcW w:w="1080" w:type="dxa"/>
            <w:noWrap w:val="0"/>
            <w:vAlign w:val="center"/>
          </w:tcPr>
          <w:p w14:paraId="32C5AEA4">
            <w:pPr>
              <w:wordWrap w:val="0"/>
              <w:autoSpaceDE w:val="0"/>
              <w:autoSpaceDN w:val="0"/>
              <w:adjustRightInd w:val="0"/>
              <w:jc w:val="center"/>
              <w:rPr>
                <w:rFonts w:hint="default" w:eastAsia="宋体"/>
                <w:kern w:val="0"/>
                <w:sz w:val="24"/>
                <w:lang w:val="en-US" w:eastAsia="zh-CN"/>
              </w:rPr>
            </w:pPr>
            <w:r>
              <w:rPr>
                <w:rFonts w:hint="eastAsia"/>
                <w:kern w:val="0"/>
                <w:sz w:val="24"/>
                <w:lang w:val="en-US" w:eastAsia="zh-CN"/>
              </w:rPr>
              <w:t>DA006</w:t>
            </w:r>
          </w:p>
        </w:tc>
        <w:tc>
          <w:tcPr>
            <w:tcW w:w="1441" w:type="dxa"/>
            <w:noWrap w:val="0"/>
            <w:vAlign w:val="center"/>
          </w:tcPr>
          <w:p w14:paraId="473B7DAE">
            <w:pPr>
              <w:wordWrap w:val="0"/>
              <w:autoSpaceDE w:val="0"/>
              <w:autoSpaceDN w:val="0"/>
              <w:adjustRightInd w:val="0"/>
              <w:jc w:val="center"/>
              <w:rPr>
                <w:rFonts w:hint="default" w:eastAsia="宋体"/>
                <w:kern w:val="0"/>
                <w:sz w:val="24"/>
                <w:lang w:val="en-US" w:eastAsia="zh-CN"/>
              </w:rPr>
            </w:pPr>
            <w:r>
              <w:rPr>
                <w:rFonts w:hint="eastAsia" w:eastAsia="宋体"/>
                <w:kern w:val="0"/>
                <w:sz w:val="24"/>
                <w:lang w:val="en-US" w:eastAsia="zh-CN"/>
              </w:rPr>
              <w:t>油烟</w:t>
            </w:r>
          </w:p>
        </w:tc>
        <w:tc>
          <w:tcPr>
            <w:tcW w:w="2675" w:type="dxa"/>
            <w:noWrap w:val="0"/>
            <w:vAlign w:val="center"/>
          </w:tcPr>
          <w:p w14:paraId="394A477B">
            <w:pPr>
              <w:wordWrap w:val="0"/>
              <w:jc w:val="center"/>
              <w:rPr>
                <w:rFonts w:hint="default" w:eastAsia="宋体"/>
                <w:kern w:val="0"/>
                <w:sz w:val="24"/>
                <w:lang w:val="en-US" w:eastAsia="zh-CN"/>
              </w:rPr>
            </w:pPr>
            <w:r>
              <w:rPr>
                <w:rFonts w:hint="default" w:eastAsia="宋体"/>
                <w:kern w:val="0"/>
                <w:sz w:val="24"/>
                <w:lang w:val="en-US" w:eastAsia="zh-CN"/>
              </w:rPr>
              <w:t>油烟净化器（TA006）+楼顶排气筒（DA006）</w:t>
            </w:r>
          </w:p>
        </w:tc>
        <w:tc>
          <w:tcPr>
            <w:tcW w:w="3004" w:type="dxa"/>
            <w:noWrap w:val="0"/>
            <w:vAlign w:val="center"/>
          </w:tcPr>
          <w:p w14:paraId="3B068BDE">
            <w:pPr>
              <w:pStyle w:val="70"/>
              <w:wordWrap w:val="0"/>
              <w:spacing w:line="240" w:lineRule="auto"/>
              <w:rPr>
                <w:rFonts w:hint="default" w:eastAsia="宋体"/>
                <w:sz w:val="24"/>
                <w:szCs w:val="24"/>
                <w:lang w:val="en-US" w:eastAsia="zh-CN"/>
              </w:rPr>
            </w:pPr>
            <w:r>
              <w:rPr>
                <w:rFonts w:hint="default" w:eastAsia="宋体"/>
                <w:sz w:val="24"/>
                <w:szCs w:val="24"/>
                <w:lang w:val="en-US" w:eastAsia="zh-CN"/>
              </w:rPr>
              <w:t>《饮食业油烟排放标准（试行）》（GB18483-2001）</w:t>
            </w:r>
          </w:p>
        </w:tc>
      </w:tr>
      <w:tr w14:paraId="5F3E97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 w:type="dxa"/>
            <w:bottom w:w="0" w:type="dxa"/>
            <w:right w:w="1" w:type="dxa"/>
          </w:tblCellMar>
        </w:tblPrEx>
        <w:trPr>
          <w:trHeight w:val="90" w:hRule="atLeast"/>
          <w:jc w:val="center"/>
        </w:trPr>
        <w:tc>
          <w:tcPr>
            <w:tcW w:w="675" w:type="dxa"/>
            <w:vMerge w:val="continue"/>
            <w:noWrap w:val="0"/>
            <w:vAlign w:val="center"/>
          </w:tcPr>
          <w:p w14:paraId="32968C40">
            <w:pPr>
              <w:wordWrap w:val="0"/>
              <w:adjustRightInd w:val="0"/>
              <w:jc w:val="center"/>
              <w:rPr>
                <w:b/>
                <w:sz w:val="24"/>
              </w:rPr>
            </w:pPr>
          </w:p>
        </w:tc>
        <w:tc>
          <w:tcPr>
            <w:tcW w:w="1080" w:type="dxa"/>
            <w:noWrap w:val="0"/>
            <w:vAlign w:val="center"/>
          </w:tcPr>
          <w:p w14:paraId="63433F21">
            <w:pPr>
              <w:wordWrap w:val="0"/>
              <w:autoSpaceDE w:val="0"/>
              <w:autoSpaceDN w:val="0"/>
              <w:adjustRightInd w:val="0"/>
              <w:jc w:val="center"/>
              <w:rPr>
                <w:rFonts w:hint="eastAsia"/>
                <w:kern w:val="0"/>
                <w:sz w:val="24"/>
                <w:lang w:val="en-US" w:eastAsia="zh-CN"/>
              </w:rPr>
            </w:pPr>
            <w:r>
              <w:rPr>
                <w:rFonts w:hint="eastAsia"/>
                <w:kern w:val="0"/>
                <w:sz w:val="24"/>
                <w:lang w:val="en-US" w:eastAsia="zh-CN"/>
              </w:rPr>
              <w:t>成品煤粉仓储罐粉尘</w:t>
            </w:r>
          </w:p>
        </w:tc>
        <w:tc>
          <w:tcPr>
            <w:tcW w:w="1441" w:type="dxa"/>
            <w:noWrap w:val="0"/>
            <w:vAlign w:val="center"/>
          </w:tcPr>
          <w:p w14:paraId="74600F9A">
            <w:pPr>
              <w:wordWrap w:val="0"/>
              <w:autoSpaceDE w:val="0"/>
              <w:autoSpaceDN w:val="0"/>
              <w:adjustRightInd w:val="0"/>
              <w:jc w:val="center"/>
              <w:rPr>
                <w:rFonts w:hint="eastAsia" w:eastAsia="宋体"/>
                <w:kern w:val="0"/>
                <w:sz w:val="24"/>
                <w:lang w:val="en-US" w:eastAsia="zh-CN"/>
              </w:rPr>
            </w:pPr>
            <w:r>
              <w:rPr>
                <w:rFonts w:hint="eastAsia"/>
                <w:kern w:val="0"/>
                <w:sz w:val="24"/>
                <w:lang w:val="en-US" w:eastAsia="zh-CN"/>
              </w:rPr>
              <w:t>颗粒物</w:t>
            </w:r>
          </w:p>
        </w:tc>
        <w:tc>
          <w:tcPr>
            <w:tcW w:w="2675" w:type="dxa"/>
            <w:noWrap w:val="0"/>
            <w:vAlign w:val="center"/>
          </w:tcPr>
          <w:p w14:paraId="071A4FBF">
            <w:pPr>
              <w:wordWrap w:val="0"/>
              <w:jc w:val="center"/>
              <w:rPr>
                <w:rFonts w:hint="default" w:eastAsia="宋体"/>
                <w:kern w:val="0"/>
                <w:sz w:val="24"/>
                <w:lang w:val="en-US" w:eastAsia="zh-CN"/>
              </w:rPr>
            </w:pPr>
            <w:r>
              <w:rPr>
                <w:rFonts w:hint="default" w:eastAsia="宋体"/>
                <w:kern w:val="0"/>
                <w:sz w:val="24"/>
                <w:lang w:val="en-US" w:eastAsia="zh-CN"/>
              </w:rPr>
              <w:t>筒仓自带布袋除尘</w:t>
            </w:r>
          </w:p>
        </w:tc>
        <w:tc>
          <w:tcPr>
            <w:tcW w:w="3004" w:type="dxa"/>
            <w:vMerge w:val="restart"/>
            <w:noWrap w:val="0"/>
            <w:vAlign w:val="center"/>
          </w:tcPr>
          <w:p w14:paraId="766F95B0">
            <w:pPr>
              <w:pStyle w:val="70"/>
              <w:wordWrap w:val="0"/>
              <w:spacing w:line="240" w:lineRule="auto"/>
              <w:rPr>
                <w:rFonts w:hint="default" w:eastAsia="宋体"/>
                <w:sz w:val="24"/>
                <w:szCs w:val="24"/>
                <w:lang w:val="en-US" w:eastAsia="zh-CN"/>
              </w:rPr>
            </w:pPr>
            <w:r>
              <w:rPr>
                <w:rFonts w:hint="default" w:eastAsia="宋体"/>
                <w:sz w:val="24"/>
                <w:szCs w:val="24"/>
                <w:lang w:val="en-US" w:eastAsia="zh-CN"/>
              </w:rPr>
              <w:t>《大气污染物综合排放标准》（GB16297-1996）表2中的限值要求。</w:t>
            </w:r>
          </w:p>
        </w:tc>
      </w:tr>
      <w:tr w14:paraId="30767B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 w:type="dxa"/>
            <w:bottom w:w="0" w:type="dxa"/>
            <w:right w:w="1" w:type="dxa"/>
          </w:tblCellMar>
        </w:tblPrEx>
        <w:trPr>
          <w:trHeight w:val="90" w:hRule="atLeast"/>
          <w:jc w:val="center"/>
        </w:trPr>
        <w:tc>
          <w:tcPr>
            <w:tcW w:w="675" w:type="dxa"/>
            <w:vMerge w:val="continue"/>
            <w:noWrap w:val="0"/>
            <w:vAlign w:val="center"/>
          </w:tcPr>
          <w:p w14:paraId="6961E6CE">
            <w:pPr>
              <w:wordWrap w:val="0"/>
              <w:adjustRightInd w:val="0"/>
              <w:jc w:val="center"/>
              <w:rPr>
                <w:b/>
                <w:sz w:val="24"/>
              </w:rPr>
            </w:pPr>
          </w:p>
        </w:tc>
        <w:tc>
          <w:tcPr>
            <w:tcW w:w="1080" w:type="dxa"/>
            <w:noWrap w:val="0"/>
            <w:vAlign w:val="center"/>
          </w:tcPr>
          <w:p w14:paraId="1DF392F6">
            <w:pPr>
              <w:wordWrap w:val="0"/>
              <w:autoSpaceDE w:val="0"/>
              <w:autoSpaceDN w:val="0"/>
              <w:adjustRightInd w:val="0"/>
              <w:jc w:val="center"/>
              <w:rPr>
                <w:rFonts w:hint="eastAsia"/>
                <w:kern w:val="0"/>
                <w:sz w:val="24"/>
                <w:lang w:val="en-US" w:eastAsia="zh-CN"/>
              </w:rPr>
            </w:pPr>
            <w:r>
              <w:rPr>
                <w:rFonts w:hint="eastAsia"/>
                <w:kern w:val="0"/>
                <w:sz w:val="24"/>
                <w:lang w:val="en-US" w:eastAsia="zh-CN"/>
              </w:rPr>
              <w:t>投料粉尘</w:t>
            </w:r>
          </w:p>
        </w:tc>
        <w:tc>
          <w:tcPr>
            <w:tcW w:w="1441" w:type="dxa"/>
            <w:noWrap w:val="0"/>
            <w:vAlign w:val="center"/>
          </w:tcPr>
          <w:p w14:paraId="36E316F8">
            <w:pPr>
              <w:wordWrap w:val="0"/>
              <w:autoSpaceDE w:val="0"/>
              <w:autoSpaceDN w:val="0"/>
              <w:adjustRightInd w:val="0"/>
              <w:jc w:val="center"/>
              <w:rPr>
                <w:rFonts w:hint="eastAsia" w:eastAsia="宋体"/>
                <w:kern w:val="0"/>
                <w:sz w:val="24"/>
                <w:lang w:val="en-US" w:eastAsia="zh-CN"/>
              </w:rPr>
            </w:pPr>
            <w:r>
              <w:rPr>
                <w:rFonts w:hint="eastAsia"/>
                <w:kern w:val="0"/>
                <w:sz w:val="24"/>
                <w:lang w:val="en-US" w:eastAsia="zh-CN"/>
              </w:rPr>
              <w:t>颗粒物</w:t>
            </w:r>
          </w:p>
        </w:tc>
        <w:tc>
          <w:tcPr>
            <w:tcW w:w="2675" w:type="dxa"/>
            <w:noWrap w:val="0"/>
            <w:vAlign w:val="center"/>
          </w:tcPr>
          <w:p w14:paraId="2D93B2DC">
            <w:pPr>
              <w:wordWrap w:val="0"/>
              <w:jc w:val="center"/>
              <w:rPr>
                <w:rFonts w:hint="default" w:eastAsia="宋体"/>
                <w:kern w:val="0"/>
                <w:sz w:val="24"/>
                <w:lang w:val="en-US" w:eastAsia="zh-CN"/>
              </w:rPr>
            </w:pPr>
            <w:r>
              <w:rPr>
                <w:rFonts w:hint="default" w:eastAsia="宋体"/>
                <w:kern w:val="0"/>
                <w:sz w:val="24"/>
                <w:lang w:val="en-US" w:eastAsia="zh-CN"/>
              </w:rPr>
              <w:t>封闭投料斗+喷雾降尘</w:t>
            </w:r>
          </w:p>
        </w:tc>
        <w:tc>
          <w:tcPr>
            <w:tcW w:w="3004" w:type="dxa"/>
            <w:vMerge w:val="continue"/>
            <w:noWrap w:val="0"/>
            <w:vAlign w:val="center"/>
          </w:tcPr>
          <w:p w14:paraId="060423F0">
            <w:pPr>
              <w:pStyle w:val="70"/>
              <w:wordWrap w:val="0"/>
              <w:spacing w:line="240" w:lineRule="auto"/>
              <w:rPr>
                <w:rFonts w:hint="default" w:eastAsia="宋体"/>
                <w:sz w:val="24"/>
                <w:szCs w:val="24"/>
                <w:lang w:val="en-US" w:eastAsia="zh-CN"/>
              </w:rPr>
            </w:pPr>
          </w:p>
        </w:tc>
      </w:tr>
      <w:tr w14:paraId="78674A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 w:type="dxa"/>
            <w:bottom w:w="0" w:type="dxa"/>
            <w:right w:w="1" w:type="dxa"/>
          </w:tblCellMar>
        </w:tblPrEx>
        <w:trPr>
          <w:trHeight w:val="90" w:hRule="atLeast"/>
          <w:jc w:val="center"/>
        </w:trPr>
        <w:tc>
          <w:tcPr>
            <w:tcW w:w="675" w:type="dxa"/>
            <w:vMerge w:val="continue"/>
            <w:noWrap w:val="0"/>
            <w:vAlign w:val="center"/>
          </w:tcPr>
          <w:p w14:paraId="28391E95">
            <w:pPr>
              <w:wordWrap w:val="0"/>
              <w:adjustRightInd w:val="0"/>
              <w:jc w:val="center"/>
              <w:rPr>
                <w:b/>
                <w:sz w:val="24"/>
              </w:rPr>
            </w:pPr>
          </w:p>
        </w:tc>
        <w:tc>
          <w:tcPr>
            <w:tcW w:w="1080" w:type="dxa"/>
            <w:noWrap w:val="0"/>
            <w:vAlign w:val="center"/>
          </w:tcPr>
          <w:p w14:paraId="7953730B">
            <w:pPr>
              <w:wordWrap w:val="0"/>
              <w:autoSpaceDE w:val="0"/>
              <w:autoSpaceDN w:val="0"/>
              <w:adjustRightInd w:val="0"/>
              <w:jc w:val="center"/>
              <w:rPr>
                <w:rFonts w:hint="eastAsia"/>
                <w:kern w:val="0"/>
                <w:sz w:val="24"/>
                <w:lang w:val="en-US" w:eastAsia="zh-CN"/>
              </w:rPr>
            </w:pPr>
            <w:r>
              <w:rPr>
                <w:rFonts w:hint="eastAsia"/>
                <w:kern w:val="0"/>
                <w:sz w:val="24"/>
                <w:lang w:val="en-US" w:eastAsia="zh-CN"/>
              </w:rPr>
              <w:t>装卸扬尘、堆场扬尘</w:t>
            </w:r>
          </w:p>
        </w:tc>
        <w:tc>
          <w:tcPr>
            <w:tcW w:w="1441" w:type="dxa"/>
            <w:noWrap w:val="0"/>
            <w:vAlign w:val="center"/>
          </w:tcPr>
          <w:p w14:paraId="0117522D">
            <w:pPr>
              <w:wordWrap w:val="0"/>
              <w:autoSpaceDE w:val="0"/>
              <w:autoSpaceDN w:val="0"/>
              <w:adjustRightInd w:val="0"/>
              <w:jc w:val="center"/>
              <w:rPr>
                <w:rFonts w:hint="eastAsia" w:eastAsia="宋体"/>
                <w:kern w:val="0"/>
                <w:sz w:val="24"/>
                <w:lang w:val="en-US" w:eastAsia="zh-CN"/>
              </w:rPr>
            </w:pPr>
            <w:r>
              <w:rPr>
                <w:rFonts w:hint="eastAsia"/>
                <w:kern w:val="0"/>
                <w:sz w:val="24"/>
                <w:lang w:val="en-US" w:eastAsia="zh-CN"/>
              </w:rPr>
              <w:t>颗粒物</w:t>
            </w:r>
          </w:p>
        </w:tc>
        <w:tc>
          <w:tcPr>
            <w:tcW w:w="2675" w:type="dxa"/>
            <w:noWrap w:val="0"/>
            <w:vAlign w:val="center"/>
          </w:tcPr>
          <w:p w14:paraId="3DD42525">
            <w:pPr>
              <w:wordWrap w:val="0"/>
              <w:jc w:val="center"/>
              <w:rPr>
                <w:rFonts w:hint="default" w:eastAsia="宋体"/>
                <w:kern w:val="0"/>
                <w:sz w:val="24"/>
                <w:lang w:val="en-US" w:eastAsia="zh-CN"/>
              </w:rPr>
            </w:pPr>
            <w:r>
              <w:rPr>
                <w:rFonts w:hint="default" w:eastAsia="宋体"/>
                <w:kern w:val="0"/>
                <w:sz w:val="24"/>
                <w:lang w:val="en-US" w:eastAsia="zh-CN"/>
              </w:rPr>
              <w:t>封闭厂房+喷雾降尘</w:t>
            </w:r>
          </w:p>
        </w:tc>
        <w:tc>
          <w:tcPr>
            <w:tcW w:w="3004" w:type="dxa"/>
            <w:vMerge w:val="continue"/>
            <w:noWrap w:val="0"/>
            <w:vAlign w:val="center"/>
          </w:tcPr>
          <w:p w14:paraId="63DA3B8E">
            <w:pPr>
              <w:pStyle w:val="70"/>
              <w:wordWrap w:val="0"/>
              <w:spacing w:line="240" w:lineRule="auto"/>
              <w:rPr>
                <w:rFonts w:hint="default" w:eastAsia="宋体"/>
                <w:sz w:val="24"/>
                <w:szCs w:val="24"/>
                <w:lang w:val="en-US" w:eastAsia="zh-CN"/>
              </w:rPr>
            </w:pPr>
          </w:p>
        </w:tc>
      </w:tr>
      <w:tr w14:paraId="1AAEF0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 w:type="dxa"/>
            <w:bottom w:w="0" w:type="dxa"/>
            <w:right w:w="1" w:type="dxa"/>
          </w:tblCellMar>
        </w:tblPrEx>
        <w:trPr>
          <w:trHeight w:val="90" w:hRule="atLeast"/>
          <w:jc w:val="center"/>
        </w:trPr>
        <w:tc>
          <w:tcPr>
            <w:tcW w:w="675" w:type="dxa"/>
            <w:vMerge w:val="continue"/>
            <w:noWrap w:val="0"/>
            <w:vAlign w:val="center"/>
          </w:tcPr>
          <w:p w14:paraId="5B69BE53">
            <w:pPr>
              <w:wordWrap w:val="0"/>
              <w:adjustRightInd w:val="0"/>
              <w:jc w:val="center"/>
              <w:rPr>
                <w:b/>
                <w:sz w:val="24"/>
              </w:rPr>
            </w:pPr>
          </w:p>
        </w:tc>
        <w:tc>
          <w:tcPr>
            <w:tcW w:w="1080" w:type="dxa"/>
            <w:noWrap w:val="0"/>
            <w:vAlign w:val="center"/>
          </w:tcPr>
          <w:p w14:paraId="30A50853">
            <w:pPr>
              <w:wordWrap w:val="0"/>
              <w:autoSpaceDE w:val="0"/>
              <w:autoSpaceDN w:val="0"/>
              <w:adjustRightInd w:val="0"/>
              <w:jc w:val="center"/>
              <w:rPr>
                <w:rFonts w:hint="eastAsia"/>
                <w:kern w:val="0"/>
                <w:sz w:val="24"/>
                <w:lang w:val="en-US" w:eastAsia="zh-CN"/>
              </w:rPr>
            </w:pPr>
            <w:r>
              <w:rPr>
                <w:rFonts w:hint="eastAsia"/>
                <w:kern w:val="0"/>
                <w:sz w:val="24"/>
                <w:lang w:val="en-US" w:eastAsia="zh-CN"/>
              </w:rPr>
              <w:t>粉料筒仓粉尘</w:t>
            </w:r>
          </w:p>
        </w:tc>
        <w:tc>
          <w:tcPr>
            <w:tcW w:w="1441" w:type="dxa"/>
            <w:noWrap w:val="0"/>
            <w:vAlign w:val="center"/>
          </w:tcPr>
          <w:p w14:paraId="2DC23A00">
            <w:pPr>
              <w:wordWrap w:val="0"/>
              <w:autoSpaceDE w:val="0"/>
              <w:autoSpaceDN w:val="0"/>
              <w:adjustRightInd w:val="0"/>
              <w:jc w:val="center"/>
              <w:rPr>
                <w:rFonts w:hint="eastAsia" w:eastAsia="宋体"/>
                <w:kern w:val="0"/>
                <w:sz w:val="24"/>
                <w:lang w:val="en-US" w:eastAsia="zh-CN"/>
              </w:rPr>
            </w:pPr>
            <w:r>
              <w:rPr>
                <w:rFonts w:hint="eastAsia"/>
                <w:kern w:val="0"/>
                <w:sz w:val="24"/>
                <w:lang w:val="en-US" w:eastAsia="zh-CN"/>
              </w:rPr>
              <w:t>颗粒物</w:t>
            </w:r>
          </w:p>
        </w:tc>
        <w:tc>
          <w:tcPr>
            <w:tcW w:w="2675" w:type="dxa"/>
            <w:noWrap w:val="0"/>
            <w:vAlign w:val="center"/>
          </w:tcPr>
          <w:p w14:paraId="603907DF">
            <w:pPr>
              <w:wordWrap w:val="0"/>
              <w:jc w:val="center"/>
              <w:rPr>
                <w:rFonts w:hint="default" w:eastAsia="宋体"/>
                <w:kern w:val="0"/>
                <w:sz w:val="24"/>
                <w:lang w:val="en-US" w:eastAsia="zh-CN"/>
              </w:rPr>
            </w:pPr>
            <w:r>
              <w:rPr>
                <w:rFonts w:hint="default" w:eastAsia="宋体"/>
                <w:kern w:val="0"/>
                <w:sz w:val="24"/>
                <w:lang w:val="en-US" w:eastAsia="zh-CN"/>
              </w:rPr>
              <w:t>筒仓自带布袋除尘</w:t>
            </w:r>
          </w:p>
        </w:tc>
        <w:tc>
          <w:tcPr>
            <w:tcW w:w="3004" w:type="dxa"/>
            <w:vMerge w:val="continue"/>
            <w:noWrap w:val="0"/>
            <w:vAlign w:val="center"/>
          </w:tcPr>
          <w:p w14:paraId="60099FAB">
            <w:pPr>
              <w:pStyle w:val="70"/>
              <w:wordWrap w:val="0"/>
              <w:spacing w:line="240" w:lineRule="auto"/>
              <w:rPr>
                <w:rFonts w:hint="default" w:eastAsia="宋体"/>
                <w:sz w:val="24"/>
                <w:szCs w:val="24"/>
                <w:lang w:val="en-US" w:eastAsia="zh-CN"/>
              </w:rPr>
            </w:pPr>
          </w:p>
        </w:tc>
      </w:tr>
      <w:tr w14:paraId="107B5B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 w:type="dxa"/>
            <w:bottom w:w="0" w:type="dxa"/>
            <w:right w:w="1" w:type="dxa"/>
          </w:tblCellMar>
        </w:tblPrEx>
        <w:trPr>
          <w:trHeight w:val="90" w:hRule="atLeast"/>
          <w:jc w:val="center"/>
        </w:trPr>
        <w:tc>
          <w:tcPr>
            <w:tcW w:w="675" w:type="dxa"/>
            <w:vMerge w:val="continue"/>
            <w:noWrap w:val="0"/>
            <w:vAlign w:val="center"/>
          </w:tcPr>
          <w:p w14:paraId="5BD0CDFE">
            <w:pPr>
              <w:wordWrap w:val="0"/>
              <w:adjustRightInd w:val="0"/>
              <w:jc w:val="center"/>
              <w:rPr>
                <w:b/>
                <w:sz w:val="24"/>
              </w:rPr>
            </w:pPr>
          </w:p>
        </w:tc>
        <w:tc>
          <w:tcPr>
            <w:tcW w:w="1080" w:type="dxa"/>
            <w:noWrap w:val="0"/>
            <w:vAlign w:val="center"/>
          </w:tcPr>
          <w:p w14:paraId="07AA664E">
            <w:pPr>
              <w:wordWrap w:val="0"/>
              <w:autoSpaceDE w:val="0"/>
              <w:autoSpaceDN w:val="0"/>
              <w:adjustRightInd w:val="0"/>
              <w:jc w:val="center"/>
              <w:rPr>
                <w:rFonts w:hint="eastAsia"/>
                <w:kern w:val="0"/>
                <w:sz w:val="24"/>
                <w:lang w:val="en-US" w:eastAsia="zh-CN"/>
              </w:rPr>
            </w:pPr>
            <w:r>
              <w:rPr>
                <w:rFonts w:hint="eastAsia"/>
                <w:kern w:val="0"/>
                <w:sz w:val="24"/>
                <w:lang w:val="en-US" w:eastAsia="zh-CN"/>
              </w:rPr>
              <w:t>厂区道路扬尘</w:t>
            </w:r>
          </w:p>
        </w:tc>
        <w:tc>
          <w:tcPr>
            <w:tcW w:w="1441" w:type="dxa"/>
            <w:noWrap w:val="0"/>
            <w:vAlign w:val="center"/>
          </w:tcPr>
          <w:p w14:paraId="6386B3C0">
            <w:pPr>
              <w:wordWrap w:val="0"/>
              <w:autoSpaceDE w:val="0"/>
              <w:autoSpaceDN w:val="0"/>
              <w:adjustRightInd w:val="0"/>
              <w:jc w:val="center"/>
              <w:rPr>
                <w:rFonts w:hint="eastAsia" w:eastAsia="宋体"/>
                <w:kern w:val="0"/>
                <w:sz w:val="24"/>
                <w:lang w:val="en-US" w:eastAsia="zh-CN"/>
              </w:rPr>
            </w:pPr>
            <w:r>
              <w:rPr>
                <w:rFonts w:hint="eastAsia"/>
                <w:kern w:val="0"/>
                <w:sz w:val="24"/>
                <w:lang w:val="en-US" w:eastAsia="zh-CN"/>
              </w:rPr>
              <w:t>颗粒物</w:t>
            </w:r>
          </w:p>
        </w:tc>
        <w:tc>
          <w:tcPr>
            <w:tcW w:w="2675" w:type="dxa"/>
            <w:noWrap w:val="0"/>
            <w:vAlign w:val="center"/>
          </w:tcPr>
          <w:p w14:paraId="71A3BE23">
            <w:pPr>
              <w:wordWrap w:val="0"/>
              <w:jc w:val="center"/>
              <w:rPr>
                <w:rFonts w:hint="default" w:eastAsia="宋体"/>
                <w:kern w:val="0"/>
                <w:sz w:val="24"/>
                <w:lang w:val="en-US" w:eastAsia="zh-CN"/>
              </w:rPr>
            </w:pPr>
            <w:r>
              <w:rPr>
                <w:rFonts w:hint="default" w:eastAsia="宋体"/>
                <w:kern w:val="0"/>
                <w:sz w:val="24"/>
                <w:lang w:val="en-US" w:eastAsia="zh-CN"/>
              </w:rPr>
              <w:t>路面清洁+喷雾降尘</w:t>
            </w:r>
          </w:p>
        </w:tc>
        <w:tc>
          <w:tcPr>
            <w:tcW w:w="3004" w:type="dxa"/>
            <w:vMerge w:val="continue"/>
            <w:noWrap w:val="0"/>
            <w:vAlign w:val="center"/>
          </w:tcPr>
          <w:p w14:paraId="4EC87E4D">
            <w:pPr>
              <w:pStyle w:val="70"/>
              <w:wordWrap w:val="0"/>
              <w:spacing w:line="240" w:lineRule="auto"/>
              <w:rPr>
                <w:rFonts w:hint="default" w:eastAsia="宋体"/>
                <w:sz w:val="24"/>
                <w:szCs w:val="24"/>
                <w:lang w:val="en-US" w:eastAsia="zh-CN"/>
              </w:rPr>
            </w:pPr>
          </w:p>
        </w:tc>
      </w:tr>
      <w:tr w14:paraId="60443C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 w:type="dxa"/>
            <w:bottom w:w="0" w:type="dxa"/>
            <w:right w:w="1" w:type="dxa"/>
          </w:tblCellMar>
        </w:tblPrEx>
        <w:trPr>
          <w:trHeight w:val="90" w:hRule="atLeast"/>
          <w:jc w:val="center"/>
        </w:trPr>
        <w:tc>
          <w:tcPr>
            <w:tcW w:w="675" w:type="dxa"/>
            <w:vMerge w:val="continue"/>
            <w:noWrap w:val="0"/>
            <w:vAlign w:val="center"/>
          </w:tcPr>
          <w:p w14:paraId="0FE6ACAE">
            <w:pPr>
              <w:wordWrap w:val="0"/>
              <w:adjustRightInd w:val="0"/>
              <w:jc w:val="center"/>
              <w:rPr>
                <w:b/>
                <w:sz w:val="24"/>
              </w:rPr>
            </w:pPr>
          </w:p>
        </w:tc>
        <w:tc>
          <w:tcPr>
            <w:tcW w:w="1080" w:type="dxa"/>
            <w:noWrap w:val="0"/>
            <w:vAlign w:val="center"/>
          </w:tcPr>
          <w:p w14:paraId="280B9C98">
            <w:pPr>
              <w:wordWrap w:val="0"/>
              <w:autoSpaceDE w:val="0"/>
              <w:autoSpaceDN w:val="0"/>
              <w:adjustRightInd w:val="0"/>
              <w:jc w:val="center"/>
              <w:rPr>
                <w:rFonts w:hint="eastAsia"/>
                <w:kern w:val="0"/>
                <w:sz w:val="24"/>
                <w:lang w:val="en-US" w:eastAsia="zh-CN"/>
              </w:rPr>
            </w:pPr>
            <w:r>
              <w:rPr>
                <w:rFonts w:hint="eastAsia"/>
                <w:kern w:val="0"/>
                <w:sz w:val="24"/>
                <w:lang w:val="en-US" w:eastAsia="zh-CN"/>
              </w:rPr>
              <w:t>汽车尾气</w:t>
            </w:r>
          </w:p>
        </w:tc>
        <w:tc>
          <w:tcPr>
            <w:tcW w:w="1441" w:type="dxa"/>
            <w:noWrap w:val="0"/>
            <w:vAlign w:val="center"/>
          </w:tcPr>
          <w:p w14:paraId="71562314">
            <w:pPr>
              <w:wordWrap w:val="0"/>
              <w:autoSpaceDE w:val="0"/>
              <w:autoSpaceDN w:val="0"/>
              <w:adjustRightInd w:val="0"/>
              <w:jc w:val="center"/>
              <w:rPr>
                <w:rFonts w:hint="eastAsia" w:eastAsia="宋体"/>
                <w:kern w:val="0"/>
                <w:sz w:val="24"/>
                <w:lang w:val="en-US" w:eastAsia="zh-CN"/>
              </w:rPr>
            </w:pPr>
            <w:r>
              <w:rPr>
                <w:rFonts w:hint="eastAsia" w:eastAsia="宋体"/>
                <w:kern w:val="0"/>
                <w:sz w:val="24"/>
                <w:lang w:val="en-US" w:eastAsia="zh-CN"/>
              </w:rPr>
              <w:t>NO</w:t>
            </w:r>
            <w:r>
              <w:rPr>
                <w:rFonts w:hint="eastAsia" w:eastAsia="宋体"/>
                <w:kern w:val="0"/>
                <w:sz w:val="24"/>
                <w:vertAlign w:val="subscript"/>
                <w:lang w:val="en-US" w:eastAsia="zh-CN"/>
              </w:rPr>
              <w:t>x</w:t>
            </w:r>
            <w:r>
              <w:rPr>
                <w:rFonts w:hint="eastAsia" w:eastAsia="宋体"/>
                <w:kern w:val="0"/>
                <w:sz w:val="24"/>
                <w:lang w:val="en-US" w:eastAsia="zh-CN"/>
              </w:rPr>
              <w:t>、CO</w:t>
            </w:r>
          </w:p>
        </w:tc>
        <w:tc>
          <w:tcPr>
            <w:tcW w:w="2675" w:type="dxa"/>
            <w:noWrap w:val="0"/>
            <w:vAlign w:val="center"/>
          </w:tcPr>
          <w:p w14:paraId="2D831E1B">
            <w:pPr>
              <w:wordWrap w:val="0"/>
              <w:jc w:val="center"/>
              <w:rPr>
                <w:rFonts w:hint="default" w:eastAsia="宋体"/>
                <w:kern w:val="0"/>
                <w:sz w:val="24"/>
                <w:lang w:val="en-US" w:eastAsia="zh-CN"/>
              </w:rPr>
            </w:pPr>
            <w:r>
              <w:rPr>
                <w:rFonts w:hint="default" w:eastAsia="宋体"/>
                <w:kern w:val="0"/>
                <w:sz w:val="24"/>
                <w:lang w:val="en-US" w:eastAsia="zh-CN"/>
              </w:rPr>
              <w:t>车辆保养</w:t>
            </w:r>
          </w:p>
        </w:tc>
        <w:tc>
          <w:tcPr>
            <w:tcW w:w="3004" w:type="dxa"/>
            <w:noWrap w:val="0"/>
            <w:vAlign w:val="center"/>
          </w:tcPr>
          <w:p w14:paraId="617A2FC8">
            <w:pPr>
              <w:pStyle w:val="70"/>
              <w:wordWrap w:val="0"/>
              <w:spacing w:line="240" w:lineRule="auto"/>
              <w:rPr>
                <w:rFonts w:hint="default" w:eastAsia="宋体"/>
                <w:sz w:val="24"/>
                <w:szCs w:val="24"/>
                <w:lang w:val="en-US" w:eastAsia="zh-CN"/>
              </w:rPr>
            </w:pPr>
            <w:r>
              <w:rPr>
                <w:rFonts w:hint="eastAsia"/>
                <w:sz w:val="24"/>
                <w:szCs w:val="24"/>
                <w:lang w:val="en-US" w:eastAsia="zh-CN"/>
              </w:rPr>
              <w:t>/</w:t>
            </w:r>
          </w:p>
        </w:tc>
      </w:tr>
      <w:tr w14:paraId="2F7091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 w:type="dxa"/>
            <w:bottom w:w="0" w:type="dxa"/>
            <w:right w:w="1" w:type="dxa"/>
          </w:tblCellMar>
        </w:tblPrEx>
        <w:trPr>
          <w:trHeight w:val="90" w:hRule="atLeast"/>
          <w:jc w:val="center"/>
        </w:trPr>
        <w:tc>
          <w:tcPr>
            <w:tcW w:w="675" w:type="dxa"/>
            <w:vMerge w:val="restart"/>
            <w:noWrap w:val="0"/>
            <w:vAlign w:val="center"/>
          </w:tcPr>
          <w:p w14:paraId="3C22801C">
            <w:pPr>
              <w:wordWrap w:val="0"/>
              <w:adjustRightInd w:val="0"/>
              <w:jc w:val="center"/>
              <w:rPr>
                <w:b/>
                <w:sz w:val="24"/>
              </w:rPr>
            </w:pPr>
            <w:r>
              <w:rPr>
                <w:b/>
                <w:sz w:val="24"/>
              </w:rPr>
              <w:t>地表水环境</w:t>
            </w:r>
          </w:p>
        </w:tc>
        <w:tc>
          <w:tcPr>
            <w:tcW w:w="1080" w:type="dxa"/>
            <w:noWrap w:val="0"/>
            <w:vAlign w:val="center"/>
          </w:tcPr>
          <w:p w14:paraId="2EB15BB0">
            <w:pPr>
              <w:wordWrap w:val="0"/>
              <w:autoSpaceDE w:val="0"/>
              <w:autoSpaceDN w:val="0"/>
              <w:adjustRightInd w:val="0"/>
              <w:jc w:val="center"/>
              <w:rPr>
                <w:rFonts w:hint="default" w:eastAsia="宋体"/>
                <w:kern w:val="0"/>
                <w:sz w:val="24"/>
                <w:lang w:val="en-US" w:eastAsia="zh-CN"/>
              </w:rPr>
            </w:pPr>
            <w:r>
              <w:rPr>
                <w:rFonts w:hint="eastAsia"/>
                <w:kern w:val="0"/>
                <w:sz w:val="24"/>
                <w:szCs w:val="24"/>
                <w:lang w:val="en-US" w:eastAsia="zh-CN"/>
              </w:rPr>
              <w:t>生活污水（含食堂废水）</w:t>
            </w:r>
          </w:p>
        </w:tc>
        <w:tc>
          <w:tcPr>
            <w:tcW w:w="1441" w:type="dxa"/>
            <w:noWrap w:val="0"/>
            <w:vAlign w:val="center"/>
          </w:tcPr>
          <w:p w14:paraId="5221DE95">
            <w:pPr>
              <w:pStyle w:val="66"/>
              <w:wordWrap w:val="0"/>
              <w:spacing w:line="240" w:lineRule="auto"/>
              <w:rPr>
                <w:rFonts w:hint="eastAsia" w:eastAsia="宋体"/>
                <w:kern w:val="0"/>
                <w:sz w:val="24"/>
                <w:szCs w:val="24"/>
                <w:lang w:val="en-US" w:eastAsia="zh-CN"/>
              </w:rPr>
            </w:pPr>
            <w:r>
              <w:rPr>
                <w:rFonts w:hint="eastAsia" w:eastAsia="宋体"/>
                <w:kern w:val="0"/>
                <w:sz w:val="24"/>
                <w:szCs w:val="24"/>
                <w:lang w:val="en-US" w:eastAsia="zh-CN"/>
              </w:rPr>
              <w:t>COD、BOD</w:t>
            </w:r>
            <w:r>
              <w:rPr>
                <w:rFonts w:hint="eastAsia" w:eastAsia="宋体"/>
                <w:kern w:val="0"/>
                <w:sz w:val="24"/>
                <w:szCs w:val="24"/>
                <w:vertAlign w:val="subscript"/>
                <w:lang w:val="en-US" w:eastAsia="zh-CN"/>
              </w:rPr>
              <w:t>5</w:t>
            </w:r>
            <w:r>
              <w:rPr>
                <w:rFonts w:hint="eastAsia" w:eastAsia="宋体"/>
                <w:kern w:val="0"/>
                <w:sz w:val="24"/>
                <w:szCs w:val="24"/>
                <w:lang w:val="en-US" w:eastAsia="zh-CN"/>
              </w:rPr>
              <w:t>、SS、NH</w:t>
            </w:r>
            <w:r>
              <w:rPr>
                <w:rFonts w:hint="eastAsia" w:eastAsia="宋体"/>
                <w:kern w:val="0"/>
                <w:sz w:val="24"/>
                <w:szCs w:val="24"/>
                <w:vertAlign w:val="subscript"/>
                <w:lang w:val="en-US" w:eastAsia="zh-CN"/>
              </w:rPr>
              <w:t>3</w:t>
            </w:r>
            <w:r>
              <w:rPr>
                <w:rFonts w:hint="eastAsia" w:eastAsia="宋体"/>
                <w:kern w:val="0"/>
                <w:sz w:val="24"/>
                <w:szCs w:val="24"/>
                <w:lang w:val="en-US" w:eastAsia="zh-CN"/>
              </w:rPr>
              <w:t>-N、TP、动植物油</w:t>
            </w:r>
          </w:p>
        </w:tc>
        <w:tc>
          <w:tcPr>
            <w:tcW w:w="2675" w:type="dxa"/>
            <w:noWrap w:val="0"/>
            <w:vAlign w:val="center"/>
          </w:tcPr>
          <w:p w14:paraId="6AF8227D">
            <w:pPr>
              <w:pStyle w:val="66"/>
              <w:wordWrap w:val="0"/>
              <w:spacing w:line="240" w:lineRule="auto"/>
              <w:rPr>
                <w:rFonts w:hint="default" w:eastAsia="宋体"/>
                <w:kern w:val="0"/>
                <w:sz w:val="24"/>
                <w:szCs w:val="24"/>
                <w:lang w:val="en-US" w:eastAsia="zh-CN"/>
              </w:rPr>
            </w:pPr>
            <w:r>
              <w:rPr>
                <w:rFonts w:hint="eastAsia"/>
                <w:kern w:val="0"/>
                <w:sz w:val="24"/>
                <w:szCs w:val="24"/>
                <w:lang w:val="en-US" w:eastAsia="zh-CN"/>
              </w:rPr>
              <w:t>隔油池+化粪池处理后用作农肥不外排</w:t>
            </w:r>
          </w:p>
        </w:tc>
        <w:tc>
          <w:tcPr>
            <w:tcW w:w="3004" w:type="dxa"/>
            <w:noWrap w:val="0"/>
            <w:vAlign w:val="center"/>
          </w:tcPr>
          <w:p w14:paraId="6A76CFE4">
            <w:pPr>
              <w:pStyle w:val="64"/>
              <w:wordWrap w:val="0"/>
              <w:autoSpaceDE/>
              <w:autoSpaceDN/>
              <w:adjustRightInd/>
              <w:spacing w:before="0" w:after="0"/>
              <w:rPr>
                <w:rFonts w:hint="eastAsia" w:eastAsia="宋体"/>
                <w:b/>
                <w:bCs/>
                <w:sz w:val="24"/>
                <w:lang w:val="en-US" w:eastAsia="zh-CN"/>
              </w:rPr>
            </w:pPr>
            <w:r>
              <w:rPr>
                <w:rFonts w:hint="eastAsia"/>
                <w:b/>
                <w:bCs/>
                <w:sz w:val="24"/>
                <w:lang w:val="en-US" w:eastAsia="zh-CN"/>
              </w:rPr>
              <w:t>/</w:t>
            </w:r>
          </w:p>
        </w:tc>
      </w:tr>
      <w:tr w14:paraId="08614D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 w:type="dxa"/>
            <w:bottom w:w="0" w:type="dxa"/>
            <w:right w:w="1" w:type="dxa"/>
          </w:tblCellMar>
        </w:tblPrEx>
        <w:trPr>
          <w:trHeight w:val="90" w:hRule="atLeast"/>
          <w:jc w:val="center"/>
        </w:trPr>
        <w:tc>
          <w:tcPr>
            <w:tcW w:w="675" w:type="dxa"/>
            <w:vMerge w:val="continue"/>
            <w:noWrap w:val="0"/>
            <w:vAlign w:val="center"/>
          </w:tcPr>
          <w:p w14:paraId="4875A26E">
            <w:pPr>
              <w:wordWrap w:val="0"/>
              <w:adjustRightInd w:val="0"/>
              <w:jc w:val="center"/>
              <w:rPr>
                <w:b/>
                <w:sz w:val="24"/>
              </w:rPr>
            </w:pPr>
          </w:p>
        </w:tc>
        <w:tc>
          <w:tcPr>
            <w:tcW w:w="1080" w:type="dxa"/>
            <w:noWrap w:val="0"/>
            <w:vAlign w:val="center"/>
          </w:tcPr>
          <w:p w14:paraId="63E0ED4F">
            <w:pPr>
              <w:wordWrap w:val="0"/>
              <w:autoSpaceDE w:val="0"/>
              <w:autoSpaceDN w:val="0"/>
              <w:adjustRightInd w:val="0"/>
              <w:jc w:val="center"/>
              <w:rPr>
                <w:rFonts w:hint="default"/>
                <w:kern w:val="0"/>
                <w:sz w:val="24"/>
                <w:lang w:val="en-US" w:eastAsia="zh-CN"/>
              </w:rPr>
            </w:pPr>
            <w:r>
              <w:rPr>
                <w:rFonts w:hint="eastAsia"/>
                <w:kern w:val="0"/>
                <w:sz w:val="24"/>
                <w:lang w:val="en-US" w:eastAsia="zh-CN"/>
              </w:rPr>
              <w:t>生产废水（车辆清洗废水、生产检测中心试验设备清洗废水）</w:t>
            </w:r>
          </w:p>
        </w:tc>
        <w:tc>
          <w:tcPr>
            <w:tcW w:w="1441" w:type="dxa"/>
            <w:noWrap w:val="0"/>
            <w:vAlign w:val="center"/>
          </w:tcPr>
          <w:p w14:paraId="6B20052C">
            <w:pPr>
              <w:pStyle w:val="66"/>
              <w:wordWrap w:val="0"/>
              <w:spacing w:line="240" w:lineRule="auto"/>
              <w:rPr>
                <w:rFonts w:hint="default"/>
                <w:kern w:val="0"/>
                <w:sz w:val="24"/>
                <w:szCs w:val="24"/>
                <w:lang w:val="en-US" w:eastAsia="zh-CN"/>
              </w:rPr>
            </w:pPr>
            <w:r>
              <w:rPr>
                <w:rFonts w:hint="eastAsia"/>
                <w:kern w:val="0"/>
                <w:sz w:val="24"/>
                <w:szCs w:val="24"/>
                <w:lang w:val="en-US" w:eastAsia="zh-CN"/>
              </w:rPr>
              <w:t>SS、石油类</w:t>
            </w:r>
          </w:p>
        </w:tc>
        <w:tc>
          <w:tcPr>
            <w:tcW w:w="2675" w:type="dxa"/>
            <w:noWrap w:val="0"/>
            <w:vAlign w:val="center"/>
          </w:tcPr>
          <w:p w14:paraId="75A6EF83">
            <w:pPr>
              <w:pStyle w:val="66"/>
              <w:wordWrap w:val="0"/>
              <w:spacing w:line="240" w:lineRule="auto"/>
              <w:rPr>
                <w:rFonts w:hint="default"/>
                <w:kern w:val="0"/>
                <w:sz w:val="24"/>
                <w:szCs w:val="24"/>
                <w:lang w:val="en-US"/>
              </w:rPr>
            </w:pPr>
            <w:r>
              <w:rPr>
                <w:rFonts w:hint="eastAsia"/>
                <w:kern w:val="0"/>
                <w:sz w:val="24"/>
                <w:szCs w:val="24"/>
                <w:lang w:val="en-US" w:eastAsia="zh-CN"/>
              </w:rPr>
              <w:t>隔油池+三级沉淀池处理后回用不外排</w:t>
            </w:r>
          </w:p>
        </w:tc>
        <w:tc>
          <w:tcPr>
            <w:tcW w:w="3004" w:type="dxa"/>
            <w:noWrap w:val="0"/>
            <w:vAlign w:val="center"/>
          </w:tcPr>
          <w:p w14:paraId="22188910">
            <w:pPr>
              <w:pStyle w:val="64"/>
              <w:wordWrap w:val="0"/>
              <w:autoSpaceDE/>
              <w:autoSpaceDN/>
              <w:adjustRightInd/>
              <w:spacing w:before="0" w:after="0"/>
              <w:rPr>
                <w:rFonts w:hint="eastAsia" w:eastAsia="宋体"/>
                <w:b/>
                <w:bCs/>
                <w:sz w:val="24"/>
                <w:lang w:val="en-US" w:eastAsia="zh-CN"/>
              </w:rPr>
            </w:pPr>
            <w:r>
              <w:rPr>
                <w:rFonts w:hint="eastAsia"/>
                <w:b/>
                <w:bCs/>
                <w:sz w:val="24"/>
                <w:lang w:val="en-US" w:eastAsia="zh-CN"/>
              </w:rPr>
              <w:t>/</w:t>
            </w:r>
          </w:p>
        </w:tc>
      </w:tr>
      <w:tr w14:paraId="4196B7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 w:type="dxa"/>
            <w:bottom w:w="0" w:type="dxa"/>
            <w:right w:w="1" w:type="dxa"/>
          </w:tblCellMar>
        </w:tblPrEx>
        <w:trPr>
          <w:trHeight w:val="90" w:hRule="atLeast"/>
          <w:jc w:val="center"/>
        </w:trPr>
        <w:tc>
          <w:tcPr>
            <w:tcW w:w="675" w:type="dxa"/>
            <w:noWrap w:val="0"/>
            <w:vAlign w:val="center"/>
          </w:tcPr>
          <w:p w14:paraId="4894E9DF">
            <w:pPr>
              <w:wordWrap w:val="0"/>
              <w:adjustRightInd w:val="0"/>
              <w:jc w:val="center"/>
              <w:rPr>
                <w:b/>
                <w:sz w:val="24"/>
              </w:rPr>
            </w:pPr>
            <w:r>
              <w:rPr>
                <w:b/>
                <w:sz w:val="24"/>
              </w:rPr>
              <w:t>声环境</w:t>
            </w:r>
          </w:p>
        </w:tc>
        <w:tc>
          <w:tcPr>
            <w:tcW w:w="1080" w:type="dxa"/>
            <w:noWrap w:val="0"/>
            <w:vAlign w:val="center"/>
          </w:tcPr>
          <w:p w14:paraId="7726D3E3">
            <w:pPr>
              <w:wordWrap w:val="0"/>
              <w:autoSpaceDE w:val="0"/>
              <w:autoSpaceDN w:val="0"/>
              <w:adjustRightInd w:val="0"/>
              <w:jc w:val="center"/>
              <w:rPr>
                <w:kern w:val="0"/>
                <w:sz w:val="24"/>
              </w:rPr>
            </w:pPr>
            <w:r>
              <w:rPr>
                <w:rFonts w:hint="eastAsia"/>
                <w:kern w:val="0"/>
                <w:sz w:val="24"/>
              </w:rPr>
              <w:t>厂界</w:t>
            </w:r>
          </w:p>
        </w:tc>
        <w:tc>
          <w:tcPr>
            <w:tcW w:w="1441" w:type="dxa"/>
            <w:noWrap w:val="0"/>
            <w:vAlign w:val="center"/>
          </w:tcPr>
          <w:p w14:paraId="21C8585D">
            <w:pPr>
              <w:keepNext w:val="0"/>
              <w:keepLines w:val="0"/>
              <w:pageBreakBefore w:val="0"/>
              <w:widowControl w:val="0"/>
              <w:kinsoku/>
              <w:wordWrap w:val="0"/>
              <w:overflowPunct/>
              <w:topLinePunct w:val="0"/>
              <w:autoSpaceDE w:val="0"/>
              <w:autoSpaceDN w:val="0"/>
              <w:bidi w:val="0"/>
              <w:adjustRightInd w:val="0"/>
              <w:snapToGrid/>
              <w:jc w:val="center"/>
              <w:textAlignment w:val="auto"/>
              <w:rPr>
                <w:rFonts w:hint="eastAsia" w:eastAsia="宋体"/>
                <w:kern w:val="0"/>
                <w:sz w:val="24"/>
                <w:lang w:val="en-US" w:eastAsia="zh-CN"/>
              </w:rPr>
            </w:pPr>
            <w:r>
              <w:rPr>
                <w:rFonts w:hint="eastAsia"/>
                <w:kern w:val="0"/>
                <w:sz w:val="24"/>
                <w:lang w:val="en-US" w:eastAsia="zh-CN"/>
              </w:rPr>
              <w:t>噪声</w:t>
            </w:r>
          </w:p>
        </w:tc>
        <w:tc>
          <w:tcPr>
            <w:tcW w:w="2675" w:type="dxa"/>
            <w:noWrap w:val="0"/>
            <w:vAlign w:val="center"/>
          </w:tcPr>
          <w:p w14:paraId="73FF37BB">
            <w:pPr>
              <w:keepNext w:val="0"/>
              <w:keepLines w:val="0"/>
              <w:pageBreakBefore w:val="0"/>
              <w:widowControl w:val="0"/>
              <w:kinsoku/>
              <w:wordWrap w:val="0"/>
              <w:overflowPunct/>
              <w:topLinePunct w:val="0"/>
              <w:autoSpaceDE w:val="0"/>
              <w:autoSpaceDN w:val="0"/>
              <w:bidi w:val="0"/>
              <w:adjustRightInd w:val="0"/>
              <w:snapToGrid/>
              <w:jc w:val="center"/>
              <w:textAlignment w:val="auto"/>
              <w:rPr>
                <w:kern w:val="0"/>
                <w:sz w:val="24"/>
              </w:rPr>
            </w:pPr>
            <w:r>
              <w:rPr>
                <w:rFonts w:hint="eastAsia" w:ascii="Times New Roman" w:hAnsi="Times New Roman" w:eastAsia="宋体" w:cs="Times New Roman"/>
                <w:kern w:val="0"/>
                <w:sz w:val="24"/>
                <w:szCs w:val="24"/>
                <w:lang w:val="en-US" w:eastAsia="zh-CN" w:bidi="ar-SA"/>
              </w:rPr>
              <w:t>隔声、减震，选用低噪声设备；设警示标志、加强管理</w:t>
            </w:r>
          </w:p>
        </w:tc>
        <w:tc>
          <w:tcPr>
            <w:tcW w:w="3004" w:type="dxa"/>
            <w:noWrap w:val="0"/>
            <w:vAlign w:val="center"/>
          </w:tcPr>
          <w:p w14:paraId="5AF65162">
            <w:pPr>
              <w:autoSpaceDE w:val="0"/>
              <w:autoSpaceDN w:val="0"/>
              <w:adjustRightInd w:val="0"/>
              <w:jc w:val="center"/>
              <w:rPr>
                <w:kern w:val="0"/>
                <w:sz w:val="24"/>
              </w:rPr>
            </w:pPr>
            <w:r>
              <w:rPr>
                <w:sz w:val="24"/>
              </w:rPr>
              <w:t>《工业企业厂界环境噪声排放标准》（GB12348-2008）</w:t>
            </w:r>
            <w:r>
              <w:rPr>
                <w:rFonts w:hint="eastAsia"/>
                <w:sz w:val="24"/>
                <w:lang w:val="en-US" w:eastAsia="zh-CN"/>
              </w:rPr>
              <w:t>3</w:t>
            </w:r>
            <w:r>
              <w:rPr>
                <w:sz w:val="24"/>
              </w:rPr>
              <w:t>类</w:t>
            </w:r>
          </w:p>
        </w:tc>
      </w:tr>
      <w:tr w14:paraId="3BA2A6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 w:type="dxa"/>
            <w:bottom w:w="0" w:type="dxa"/>
            <w:right w:w="1" w:type="dxa"/>
          </w:tblCellMar>
        </w:tblPrEx>
        <w:trPr>
          <w:trHeight w:val="90" w:hRule="atLeast"/>
          <w:jc w:val="center"/>
        </w:trPr>
        <w:tc>
          <w:tcPr>
            <w:tcW w:w="675" w:type="dxa"/>
            <w:noWrap w:val="0"/>
            <w:vAlign w:val="center"/>
          </w:tcPr>
          <w:p w14:paraId="1C3B7EB4">
            <w:pPr>
              <w:wordWrap w:val="0"/>
              <w:adjustRightInd w:val="0"/>
              <w:jc w:val="center"/>
              <w:rPr>
                <w:rFonts w:hint="eastAsia"/>
                <w:b/>
                <w:sz w:val="24"/>
              </w:rPr>
            </w:pPr>
            <w:r>
              <w:rPr>
                <w:rFonts w:hint="eastAsia"/>
                <w:b/>
                <w:sz w:val="24"/>
              </w:rPr>
              <w:t>电磁辐射</w:t>
            </w:r>
          </w:p>
        </w:tc>
        <w:tc>
          <w:tcPr>
            <w:tcW w:w="8200" w:type="dxa"/>
            <w:gridSpan w:val="4"/>
            <w:noWrap w:val="0"/>
            <w:vAlign w:val="center"/>
          </w:tcPr>
          <w:p w14:paraId="7B39317A">
            <w:pPr>
              <w:wordWrap w:val="0"/>
              <w:autoSpaceDE w:val="0"/>
              <w:autoSpaceDN w:val="0"/>
              <w:adjustRightInd w:val="0"/>
              <w:jc w:val="center"/>
              <w:rPr>
                <w:rFonts w:hint="eastAsia"/>
                <w:sz w:val="24"/>
              </w:rPr>
            </w:pPr>
            <w:r>
              <w:rPr>
                <w:rFonts w:hint="eastAsia"/>
                <w:sz w:val="24"/>
              </w:rPr>
              <w:t>无</w:t>
            </w:r>
          </w:p>
        </w:tc>
      </w:tr>
      <w:tr w14:paraId="430394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 w:type="dxa"/>
            <w:bottom w:w="0" w:type="dxa"/>
            <w:right w:w="1" w:type="dxa"/>
          </w:tblCellMar>
        </w:tblPrEx>
        <w:trPr>
          <w:trHeight w:val="90" w:hRule="atLeast"/>
          <w:jc w:val="center"/>
        </w:trPr>
        <w:tc>
          <w:tcPr>
            <w:tcW w:w="675" w:type="dxa"/>
            <w:noWrap w:val="0"/>
            <w:vAlign w:val="center"/>
          </w:tcPr>
          <w:p w14:paraId="15681ACD">
            <w:pPr>
              <w:wordWrap w:val="0"/>
              <w:adjustRightInd w:val="0"/>
              <w:jc w:val="center"/>
              <w:rPr>
                <w:b/>
                <w:sz w:val="24"/>
              </w:rPr>
            </w:pPr>
            <w:r>
              <w:rPr>
                <w:b/>
                <w:sz w:val="24"/>
              </w:rPr>
              <w:t>固体废物</w:t>
            </w:r>
          </w:p>
        </w:tc>
        <w:tc>
          <w:tcPr>
            <w:tcW w:w="8200" w:type="dxa"/>
            <w:gridSpan w:val="4"/>
            <w:noWrap w:val="0"/>
            <w:vAlign w:val="center"/>
          </w:tcPr>
          <w:p w14:paraId="7EE6D1A1">
            <w:pPr>
              <w:autoSpaceDE w:val="0"/>
              <w:autoSpaceDN w:val="0"/>
              <w:adjustRightInd w:val="0"/>
              <w:rPr>
                <w:rFonts w:hint="default"/>
                <w:b w:val="0"/>
                <w:bCs/>
                <w:iCs/>
                <w:kern w:val="0"/>
                <w:sz w:val="24"/>
                <w:highlight w:val="none"/>
                <w:lang w:val="en-US" w:eastAsia="zh-CN"/>
              </w:rPr>
            </w:pPr>
            <w:r>
              <w:rPr>
                <w:rFonts w:hint="eastAsia"/>
                <w:b/>
                <w:iCs/>
                <w:kern w:val="0"/>
                <w:sz w:val="24"/>
                <w:highlight w:val="none"/>
              </w:rPr>
              <w:t>一般固体废物：</w:t>
            </w:r>
            <w:r>
              <w:rPr>
                <w:rFonts w:hint="eastAsia"/>
                <w:b w:val="0"/>
                <w:bCs/>
                <w:iCs/>
                <w:kern w:val="0"/>
                <w:sz w:val="24"/>
                <w:highlight w:val="none"/>
              </w:rPr>
              <w:t>筛分废料由骨料供应商回收；拌合残渣、废沥青、沥青混凝土、除尘器收尘、车间内沉降粉尘暂存于再生料仓内，作为原料返回生产线使用；沉淀池沉渣</w:t>
            </w:r>
            <w:r>
              <w:rPr>
                <w:rFonts w:hint="eastAsia"/>
                <w:b w:val="0"/>
                <w:bCs/>
                <w:iCs/>
                <w:kern w:val="0"/>
                <w:sz w:val="24"/>
                <w:highlight w:val="none"/>
                <w:lang w:eastAsia="zh-CN"/>
              </w:rPr>
              <w:t>、</w:t>
            </w:r>
            <w:r>
              <w:rPr>
                <w:rFonts w:hint="eastAsia"/>
                <w:b w:val="0"/>
                <w:bCs/>
                <w:iCs/>
                <w:kern w:val="0"/>
                <w:sz w:val="24"/>
                <w:highlight w:val="none"/>
                <w:lang w:val="en-US" w:eastAsia="zh-CN"/>
              </w:rPr>
              <w:t>喷淋塔沉渣</w:t>
            </w:r>
            <w:r>
              <w:rPr>
                <w:rFonts w:hint="eastAsia"/>
                <w:b w:val="0"/>
                <w:bCs/>
                <w:iCs/>
                <w:kern w:val="0"/>
                <w:sz w:val="24"/>
                <w:highlight w:val="none"/>
              </w:rPr>
              <w:t>定期清掏，作为原料返回生产线使用；办公区设置垃圾桶分类收集生活垃圾交由环卫部门统一清运处置；食堂设置专用收集桶，餐厨垃圾及废油脂经统一收集后24h内交由有资质单位处置。</w:t>
            </w:r>
          </w:p>
          <w:p w14:paraId="17740EB9">
            <w:pPr>
              <w:wordWrap w:val="0"/>
              <w:autoSpaceDE w:val="0"/>
              <w:autoSpaceDN w:val="0"/>
              <w:adjustRightInd w:val="0"/>
              <w:rPr>
                <w:kern w:val="0"/>
                <w:sz w:val="24"/>
              </w:rPr>
            </w:pPr>
            <w:r>
              <w:rPr>
                <w:rFonts w:hint="eastAsia"/>
                <w:b/>
                <w:iCs/>
                <w:kern w:val="0"/>
                <w:sz w:val="24"/>
                <w:highlight w:val="none"/>
              </w:rPr>
              <w:t>危险废物：</w:t>
            </w:r>
            <w:r>
              <w:rPr>
                <w:rFonts w:hint="eastAsia"/>
                <w:sz w:val="24"/>
                <w:lang w:val="en-US" w:eastAsia="zh-CN"/>
              </w:rPr>
              <w:t>依托厂区西侧已建的</w:t>
            </w:r>
            <w:r>
              <w:rPr>
                <w:rFonts w:hint="eastAsia"/>
                <w:sz w:val="24"/>
              </w:rPr>
              <w:t>1间危废暂存间，面积</w:t>
            </w:r>
            <w:r>
              <w:rPr>
                <w:rFonts w:hint="eastAsia"/>
                <w:sz w:val="24"/>
                <w:lang w:val="en-US" w:eastAsia="zh-CN"/>
              </w:rPr>
              <w:t>1</w:t>
            </w:r>
            <w:r>
              <w:rPr>
                <w:rFonts w:hint="eastAsia"/>
                <w:sz w:val="24"/>
              </w:rPr>
              <w:t>0m</w:t>
            </w:r>
            <w:r>
              <w:rPr>
                <w:rFonts w:hint="eastAsia"/>
                <w:sz w:val="24"/>
                <w:vertAlign w:val="superscript"/>
              </w:rPr>
              <w:t>2</w:t>
            </w:r>
            <w:r>
              <w:rPr>
                <w:rFonts w:hint="eastAsia"/>
                <w:sz w:val="24"/>
              </w:rPr>
              <w:t>，按照《危险废物贮存污染控制标准》（GB18597</w:t>
            </w:r>
            <w:r>
              <w:rPr>
                <w:rFonts w:hint="eastAsia"/>
                <w:sz w:val="24"/>
                <w:lang w:val="en-US" w:eastAsia="zh-CN"/>
              </w:rPr>
              <w:t>-</w:t>
            </w:r>
            <w:r>
              <w:rPr>
                <w:rFonts w:hint="eastAsia"/>
                <w:sz w:val="24"/>
              </w:rPr>
              <w:t>2023）的相关要求设置，要求设置防渗防泄漏围堰，</w:t>
            </w:r>
            <w:r>
              <w:rPr>
                <w:rFonts w:hint="eastAsia"/>
                <w:sz w:val="24"/>
                <w:lang w:val="en-US" w:eastAsia="zh-CN"/>
              </w:rPr>
              <w:t>墙裙及地面进行重点防渗处理，</w:t>
            </w:r>
            <w:r>
              <w:rPr>
                <w:rFonts w:hint="eastAsia"/>
                <w:sz w:val="24"/>
              </w:rPr>
              <w:t>满足“六防”（防风、防晒、防雨、防漏、防渗、防腐）要求。危废集中收集暂存，定期交具有资质的危废单位清运处置。</w:t>
            </w:r>
          </w:p>
        </w:tc>
      </w:tr>
      <w:tr w14:paraId="05BDFC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 w:type="dxa"/>
            <w:bottom w:w="0" w:type="dxa"/>
            <w:right w:w="1" w:type="dxa"/>
          </w:tblCellMar>
        </w:tblPrEx>
        <w:trPr>
          <w:trHeight w:val="135" w:hRule="atLeast"/>
          <w:jc w:val="center"/>
        </w:trPr>
        <w:tc>
          <w:tcPr>
            <w:tcW w:w="675" w:type="dxa"/>
            <w:noWrap w:val="0"/>
            <w:vAlign w:val="center"/>
          </w:tcPr>
          <w:p w14:paraId="1EF6B457">
            <w:pPr>
              <w:wordWrap w:val="0"/>
              <w:adjustRightInd w:val="0"/>
              <w:jc w:val="center"/>
              <w:rPr>
                <w:b/>
                <w:sz w:val="24"/>
              </w:rPr>
            </w:pPr>
            <w:r>
              <w:rPr>
                <w:b/>
                <w:sz w:val="24"/>
              </w:rPr>
              <w:t>土壤及地下水</w:t>
            </w:r>
          </w:p>
          <w:p w14:paraId="37414841">
            <w:pPr>
              <w:wordWrap w:val="0"/>
              <w:adjustRightInd w:val="0"/>
              <w:jc w:val="center"/>
              <w:rPr>
                <w:b/>
                <w:sz w:val="24"/>
              </w:rPr>
            </w:pPr>
            <w:r>
              <w:rPr>
                <w:b/>
                <w:sz w:val="24"/>
              </w:rPr>
              <w:t>污染防治措施</w:t>
            </w:r>
          </w:p>
        </w:tc>
        <w:tc>
          <w:tcPr>
            <w:tcW w:w="8200" w:type="dxa"/>
            <w:gridSpan w:val="4"/>
            <w:noWrap w:val="0"/>
            <w:vAlign w:val="center"/>
          </w:tcPr>
          <w:p w14:paraId="5D55207B">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eastAsia="宋体"/>
                <w:bCs/>
                <w:sz w:val="24"/>
                <w:lang w:val="en-US" w:eastAsia="zh-CN"/>
              </w:rPr>
            </w:pPr>
            <w:r>
              <w:rPr>
                <w:rFonts w:hint="eastAsia"/>
                <w:bCs/>
                <w:sz w:val="24"/>
              </w:rPr>
              <w:t>重点防渗区即为项目危废暂存间</w:t>
            </w:r>
            <w:r>
              <w:rPr>
                <w:rFonts w:hint="eastAsia"/>
                <w:bCs/>
                <w:sz w:val="24"/>
                <w:lang w:eastAsia="zh-CN"/>
              </w:rPr>
              <w:t>、沥青储罐区、</w:t>
            </w:r>
            <w:r>
              <w:rPr>
                <w:rFonts w:hint="eastAsia"/>
                <w:bCs/>
                <w:sz w:val="24"/>
                <w:lang w:val="en-US" w:eastAsia="zh-CN"/>
              </w:rPr>
              <w:t>化学品库房及车间涉油机械区</w:t>
            </w:r>
            <w:r>
              <w:rPr>
                <w:rFonts w:hint="eastAsia"/>
                <w:bCs/>
                <w:sz w:val="24"/>
              </w:rPr>
              <w:t>；一般防渗区为</w:t>
            </w:r>
            <w:r>
              <w:rPr>
                <w:rFonts w:hint="eastAsia"/>
                <w:bCs/>
                <w:sz w:val="24"/>
                <w:lang w:val="en-US" w:eastAsia="zh-CN"/>
              </w:rPr>
              <w:t>重点防渗区以外的其他生产区域、化粪池、隔油池、三级沉淀池；简单防渗区为</w:t>
            </w:r>
            <w:r>
              <w:rPr>
                <w:rFonts w:ascii="宋体" w:hAnsi="宋体" w:eastAsia="宋体" w:cs="宋体"/>
                <w:sz w:val="24"/>
                <w:szCs w:val="24"/>
              </w:rPr>
              <w:t>办公区、</w:t>
            </w:r>
            <w:r>
              <w:rPr>
                <w:rFonts w:hint="eastAsia" w:ascii="宋体" w:hAnsi="宋体" w:eastAsia="宋体" w:cs="宋体"/>
                <w:sz w:val="24"/>
                <w:szCs w:val="24"/>
                <w:lang w:val="en-US" w:eastAsia="zh-CN"/>
              </w:rPr>
              <w:t>住宿区</w:t>
            </w:r>
            <w:r>
              <w:rPr>
                <w:rFonts w:ascii="宋体" w:hAnsi="宋体" w:eastAsia="宋体" w:cs="宋体"/>
                <w:sz w:val="24"/>
                <w:szCs w:val="24"/>
              </w:rPr>
              <w:t>、食堂、厂区道路等除重点防渗区和一般防渗区以外的区域</w:t>
            </w:r>
            <w:r>
              <w:rPr>
                <w:rFonts w:hint="eastAsia"/>
                <w:bCs/>
                <w:sz w:val="24"/>
                <w:lang w:val="en-US" w:eastAsia="zh-CN"/>
              </w:rPr>
              <w:t>。</w:t>
            </w:r>
          </w:p>
          <w:p w14:paraId="1CFAC1A2">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default" w:eastAsia="宋体"/>
                <w:b/>
                <w:sz w:val="24"/>
                <w:lang w:val="en-US" w:eastAsia="zh-CN"/>
              </w:rPr>
            </w:pPr>
            <w:r>
              <w:rPr>
                <w:rFonts w:hint="eastAsia"/>
                <w:b/>
                <w:sz w:val="24"/>
                <w:lang w:val="en-US" w:eastAsia="zh-CN"/>
              </w:rPr>
              <w:t>1）重点防渗区</w:t>
            </w:r>
          </w:p>
          <w:p w14:paraId="50543B48">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eastAsia="宋体"/>
                <w:bCs/>
                <w:sz w:val="24"/>
                <w:lang w:val="en-US" w:eastAsia="zh-CN"/>
              </w:rPr>
            </w:pPr>
            <w:r>
              <w:rPr>
                <w:rFonts w:hint="eastAsia"/>
                <w:bCs/>
                <w:sz w:val="24"/>
                <w:lang w:val="en-US" w:eastAsia="zh-CN"/>
              </w:rPr>
              <w:t>a.本项目依托危废暂存间</w:t>
            </w:r>
          </w:p>
          <w:p w14:paraId="67EFD634">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bCs/>
                <w:sz w:val="24"/>
                <w:lang w:eastAsia="zh-CN"/>
              </w:rPr>
            </w:pPr>
            <w:r>
              <w:rPr>
                <w:rFonts w:hint="eastAsia"/>
                <w:bCs/>
                <w:sz w:val="24"/>
                <w:lang w:val="en-US" w:eastAsia="zh-CN"/>
              </w:rPr>
              <w:t>根据现场调查，厂区已建的危废暂存间地面及墙裙防渗层发生损坏，本次改扩建对危废暂存间进行整改，采取防渗混凝土硬化+2mm厚HDPE土工膜+2mm厚环氧树脂地坪防渗层，渗透系数≤10</w:t>
            </w:r>
            <w:r>
              <w:rPr>
                <w:rFonts w:hint="eastAsia"/>
                <w:bCs/>
                <w:sz w:val="24"/>
                <w:vertAlign w:val="superscript"/>
                <w:lang w:val="en-US" w:eastAsia="zh-CN"/>
              </w:rPr>
              <w:t>-10</w:t>
            </w:r>
            <w:r>
              <w:rPr>
                <w:rFonts w:hint="eastAsia"/>
                <w:bCs/>
                <w:sz w:val="24"/>
                <w:lang w:val="en-US" w:eastAsia="zh-CN"/>
              </w:rPr>
              <w:t>cm/s；</w:t>
            </w:r>
          </w:p>
          <w:p w14:paraId="36B2DB7E">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bCs/>
                <w:sz w:val="24"/>
                <w:lang w:val="en-US" w:eastAsia="zh-CN"/>
              </w:rPr>
            </w:pPr>
            <w:r>
              <w:rPr>
                <w:rFonts w:hint="eastAsia"/>
                <w:bCs/>
                <w:sz w:val="24"/>
                <w:lang w:val="en-US" w:eastAsia="zh-CN"/>
              </w:rPr>
              <w:t>b.沥青储罐区</w:t>
            </w:r>
          </w:p>
          <w:p w14:paraId="4557B003">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bCs/>
                <w:sz w:val="24"/>
                <w:lang w:eastAsia="zh-CN"/>
              </w:rPr>
            </w:pPr>
            <w:r>
              <w:rPr>
                <w:rFonts w:hint="eastAsia"/>
                <w:bCs/>
                <w:sz w:val="24"/>
                <w:lang w:val="en-US" w:eastAsia="zh-CN"/>
              </w:rPr>
              <w:t>根据现场调查，厂区沥青储罐区已采取</w:t>
            </w:r>
            <w:r>
              <w:rPr>
                <w:rFonts w:hint="eastAsia"/>
                <w:bCs/>
                <w:sz w:val="24"/>
                <w:lang w:eastAsia="zh-CN"/>
              </w:rPr>
              <w:t>防渗混凝土硬化+2mm厚环氧树脂地坪防渗层，渗透系数≤10</w:t>
            </w:r>
            <w:r>
              <w:rPr>
                <w:rFonts w:hint="eastAsia"/>
                <w:bCs/>
                <w:sz w:val="24"/>
                <w:vertAlign w:val="superscript"/>
                <w:lang w:eastAsia="zh-CN"/>
              </w:rPr>
              <w:t>-7</w:t>
            </w:r>
            <w:r>
              <w:rPr>
                <w:rFonts w:hint="eastAsia"/>
                <w:bCs/>
                <w:sz w:val="24"/>
                <w:lang w:eastAsia="zh-CN"/>
              </w:rPr>
              <w:t>cm/s；</w:t>
            </w:r>
          </w:p>
          <w:p w14:paraId="74CF335C">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bCs/>
                <w:sz w:val="24"/>
                <w:lang w:val="en-US" w:eastAsia="zh-CN"/>
              </w:rPr>
            </w:pPr>
            <w:r>
              <w:rPr>
                <w:rFonts w:hint="eastAsia"/>
                <w:bCs/>
                <w:sz w:val="24"/>
                <w:lang w:val="en-US" w:eastAsia="zh-CN"/>
              </w:rPr>
              <w:t>c.化学品库房</w:t>
            </w:r>
          </w:p>
          <w:p w14:paraId="77E9C711">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bCs/>
                <w:sz w:val="24"/>
                <w:lang w:val="en-US" w:eastAsia="zh-CN"/>
              </w:rPr>
            </w:pPr>
            <w:r>
              <w:rPr>
                <w:rFonts w:hint="eastAsia"/>
                <w:bCs/>
                <w:sz w:val="24"/>
                <w:lang w:val="en-US" w:eastAsia="zh-CN"/>
              </w:rPr>
              <w:t>化学品库房进行重点防渗，采取防渗混凝土硬化+2mm厚HDPE土工膜+2mm厚环氧树脂地坪防渗层，渗透系数≤10</w:t>
            </w:r>
            <w:r>
              <w:rPr>
                <w:rFonts w:hint="eastAsia"/>
                <w:bCs/>
                <w:sz w:val="24"/>
                <w:vertAlign w:val="superscript"/>
                <w:lang w:val="en-US" w:eastAsia="zh-CN"/>
              </w:rPr>
              <w:t>-10</w:t>
            </w:r>
            <w:r>
              <w:rPr>
                <w:rFonts w:hint="eastAsia"/>
                <w:bCs/>
                <w:sz w:val="24"/>
                <w:lang w:val="en-US" w:eastAsia="zh-CN"/>
              </w:rPr>
              <w:t>cm/s；</w:t>
            </w:r>
          </w:p>
          <w:p w14:paraId="6414748D">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bCs/>
                <w:sz w:val="24"/>
                <w:lang w:val="en-US" w:eastAsia="zh-CN"/>
              </w:rPr>
            </w:pPr>
            <w:r>
              <w:rPr>
                <w:rFonts w:hint="eastAsia"/>
                <w:bCs/>
                <w:sz w:val="24"/>
                <w:lang w:val="en-US" w:eastAsia="zh-CN"/>
              </w:rPr>
              <w:t>d.涉油机械区</w:t>
            </w:r>
          </w:p>
          <w:p w14:paraId="12A8D9BC">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eastAsia="宋体"/>
                <w:bCs/>
                <w:sz w:val="24"/>
                <w:lang w:val="en-US" w:eastAsia="zh-CN"/>
              </w:rPr>
            </w:pPr>
            <w:r>
              <w:rPr>
                <w:rFonts w:hint="eastAsia"/>
                <w:bCs/>
                <w:sz w:val="24"/>
                <w:lang w:val="en-US" w:eastAsia="zh-CN"/>
              </w:rPr>
              <w:t>生产车间内涉油机械底部设置接油托盘，防止润滑油、导热油滴漏污染土壤及地下水。</w:t>
            </w:r>
          </w:p>
          <w:p w14:paraId="2CC0173F">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default" w:eastAsia="宋体"/>
                <w:bCs/>
                <w:sz w:val="24"/>
                <w:lang w:val="en-US" w:eastAsia="zh-CN"/>
              </w:rPr>
            </w:pPr>
            <w:r>
              <w:rPr>
                <w:rFonts w:hint="eastAsia"/>
                <w:b/>
                <w:bCs w:val="0"/>
                <w:sz w:val="24"/>
                <w:lang w:val="en-US" w:eastAsia="zh-CN"/>
              </w:rPr>
              <w:t>2）一般防渗区</w:t>
            </w:r>
          </w:p>
          <w:p w14:paraId="26C65D46">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eastAsia="宋体"/>
                <w:bCs/>
                <w:sz w:val="24"/>
                <w:lang w:val="en-US" w:eastAsia="zh-CN"/>
              </w:rPr>
            </w:pPr>
            <w:r>
              <w:rPr>
                <w:rFonts w:hint="eastAsia"/>
                <w:bCs/>
                <w:sz w:val="24"/>
                <w:lang w:val="en-US" w:eastAsia="zh-CN"/>
              </w:rPr>
              <w:t>a.生产车间</w:t>
            </w:r>
          </w:p>
          <w:p w14:paraId="3E917B45">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bCs/>
                <w:sz w:val="24"/>
              </w:rPr>
            </w:pPr>
            <w:r>
              <w:rPr>
                <w:rFonts w:hint="eastAsia"/>
                <w:bCs/>
                <w:sz w:val="24"/>
              </w:rPr>
              <w:t>地面应按照《环境影响评价技术导则</w:t>
            </w:r>
            <w:r>
              <w:rPr>
                <w:rFonts w:hint="eastAsia"/>
                <w:bCs/>
                <w:sz w:val="24"/>
                <w:lang w:val="en-US" w:eastAsia="zh-CN"/>
              </w:rPr>
              <w:t xml:space="preserve"> </w:t>
            </w:r>
            <w:r>
              <w:rPr>
                <w:rFonts w:hint="eastAsia"/>
                <w:bCs/>
                <w:sz w:val="24"/>
              </w:rPr>
              <w:t>地下水环境》（HJ610-2016）一般防渗区的要求采用与厚度Mb=1.5m，渗透系数K≤10</w:t>
            </w:r>
            <w:r>
              <w:rPr>
                <w:rFonts w:hint="eastAsia"/>
                <w:bCs/>
                <w:sz w:val="24"/>
                <w:vertAlign w:val="superscript"/>
              </w:rPr>
              <w:t>-7</w:t>
            </w:r>
            <w:r>
              <w:rPr>
                <w:rFonts w:hint="eastAsia"/>
                <w:bCs/>
                <w:sz w:val="24"/>
              </w:rPr>
              <w:t>cm/s粘土防渗层等效的20cm厚P4等级混凝土（渗透系数K=0.78×10</w:t>
            </w:r>
            <w:r>
              <w:rPr>
                <w:rFonts w:hint="eastAsia"/>
                <w:bCs/>
                <w:sz w:val="24"/>
                <w:vertAlign w:val="superscript"/>
              </w:rPr>
              <w:t>-8</w:t>
            </w:r>
            <w:r>
              <w:rPr>
                <w:rFonts w:hint="eastAsia"/>
                <w:bCs/>
                <w:sz w:val="24"/>
              </w:rPr>
              <w:t>cm/s）进行防渗。</w:t>
            </w:r>
          </w:p>
          <w:p w14:paraId="349BF0CB">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bCs/>
                <w:sz w:val="24"/>
                <w:lang w:val="en-US" w:eastAsia="zh-CN"/>
              </w:rPr>
            </w:pPr>
            <w:r>
              <w:rPr>
                <w:rFonts w:hint="eastAsia"/>
                <w:bCs/>
                <w:sz w:val="24"/>
                <w:lang w:val="en-US" w:eastAsia="zh-CN"/>
              </w:rPr>
              <w:t>b.本项目依托的三级沉淀池</w:t>
            </w:r>
          </w:p>
          <w:p w14:paraId="71F0582B">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bCs/>
                <w:sz w:val="24"/>
                <w:lang w:val="en-US" w:eastAsia="zh-CN"/>
              </w:rPr>
            </w:pPr>
            <w:r>
              <w:rPr>
                <w:rFonts w:hint="eastAsia"/>
                <w:bCs/>
                <w:sz w:val="24"/>
              </w:rPr>
              <w:t>池底、池壁</w:t>
            </w:r>
            <w:r>
              <w:rPr>
                <w:rFonts w:hint="eastAsia"/>
                <w:bCs/>
                <w:sz w:val="24"/>
                <w:lang w:val="en-US" w:eastAsia="zh-CN"/>
              </w:rPr>
              <w:t>已</w:t>
            </w:r>
            <w:r>
              <w:rPr>
                <w:rFonts w:hint="eastAsia"/>
                <w:bCs/>
                <w:sz w:val="24"/>
              </w:rPr>
              <w:t>采用25cm厚P6等级抗渗混凝土（渗透系数K=0.49×10</w:t>
            </w:r>
            <w:r>
              <w:rPr>
                <w:rFonts w:hint="eastAsia"/>
                <w:bCs/>
                <w:sz w:val="24"/>
                <w:vertAlign w:val="superscript"/>
              </w:rPr>
              <w:t>-8</w:t>
            </w:r>
            <w:r>
              <w:rPr>
                <w:rFonts w:hint="eastAsia"/>
                <w:bCs/>
                <w:sz w:val="24"/>
              </w:rPr>
              <w:t>cm/s）进行防渗，满足《环境影响评价技术导则</w:t>
            </w:r>
            <w:r>
              <w:rPr>
                <w:rFonts w:hint="eastAsia"/>
                <w:bCs/>
                <w:sz w:val="24"/>
                <w:lang w:val="en-US" w:eastAsia="zh-CN"/>
              </w:rPr>
              <w:t xml:space="preserve"> </w:t>
            </w:r>
            <w:r>
              <w:rPr>
                <w:rFonts w:hint="eastAsia"/>
                <w:bCs/>
                <w:sz w:val="24"/>
              </w:rPr>
              <w:t>地下水环境》（HJ610-2016）一般防渗区的要求。</w:t>
            </w:r>
          </w:p>
          <w:p w14:paraId="13225FFB">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eastAsia="宋体"/>
                <w:bCs/>
                <w:sz w:val="24"/>
                <w:lang w:eastAsia="zh-CN"/>
              </w:rPr>
            </w:pPr>
            <w:r>
              <w:rPr>
                <w:rFonts w:hint="eastAsia"/>
                <w:bCs/>
                <w:sz w:val="24"/>
                <w:lang w:val="en-US" w:eastAsia="zh-CN"/>
              </w:rPr>
              <w:t>c</w:t>
            </w:r>
            <w:r>
              <w:rPr>
                <w:rFonts w:hint="eastAsia"/>
                <w:bCs/>
                <w:sz w:val="24"/>
                <w:lang w:eastAsia="zh-CN"/>
              </w:rPr>
              <w:t>.</w:t>
            </w:r>
            <w:r>
              <w:rPr>
                <w:rFonts w:hint="eastAsia"/>
                <w:bCs/>
                <w:sz w:val="24"/>
              </w:rPr>
              <w:t>本项目依托的</w:t>
            </w:r>
            <w:r>
              <w:rPr>
                <w:rFonts w:hint="eastAsia"/>
                <w:bCs/>
                <w:sz w:val="24"/>
                <w:lang w:val="en-US" w:eastAsia="zh-CN"/>
              </w:rPr>
              <w:t>化粪池</w:t>
            </w:r>
          </w:p>
          <w:p w14:paraId="1A05C51E">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bCs/>
                <w:sz w:val="24"/>
              </w:rPr>
            </w:pPr>
            <w:r>
              <w:rPr>
                <w:rFonts w:hint="eastAsia"/>
                <w:bCs/>
                <w:sz w:val="24"/>
              </w:rPr>
              <w:t>池底、池壁已采用25cm厚P6等级抗渗混凝土（渗透系数K=0.49×10</w:t>
            </w:r>
            <w:r>
              <w:rPr>
                <w:rFonts w:hint="eastAsia"/>
                <w:bCs/>
                <w:sz w:val="24"/>
                <w:vertAlign w:val="superscript"/>
              </w:rPr>
              <w:t>-8</w:t>
            </w:r>
            <w:r>
              <w:rPr>
                <w:rFonts w:hint="eastAsia"/>
                <w:bCs/>
                <w:sz w:val="24"/>
              </w:rPr>
              <w:t>cm/s）进行防渗，满足《环境影响评价技术导则</w:t>
            </w:r>
            <w:r>
              <w:rPr>
                <w:rFonts w:hint="eastAsia"/>
                <w:bCs/>
                <w:sz w:val="24"/>
                <w:lang w:val="en-US" w:eastAsia="zh-CN"/>
              </w:rPr>
              <w:t xml:space="preserve"> </w:t>
            </w:r>
            <w:r>
              <w:rPr>
                <w:rFonts w:hint="eastAsia"/>
                <w:bCs/>
                <w:sz w:val="24"/>
              </w:rPr>
              <w:t>地下水环境》（HJ610-2016）一般防渗区的要求。</w:t>
            </w:r>
          </w:p>
          <w:p w14:paraId="03F316B3">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bCs/>
                <w:sz w:val="24"/>
              </w:rPr>
            </w:pPr>
            <w:r>
              <w:rPr>
                <w:rFonts w:hint="eastAsia"/>
                <w:bCs/>
                <w:sz w:val="24"/>
              </w:rPr>
              <w:t>d</w:t>
            </w:r>
            <w:r>
              <w:rPr>
                <w:rFonts w:hint="eastAsia"/>
                <w:bCs/>
                <w:sz w:val="24"/>
                <w:lang w:val="en-US" w:eastAsia="zh-CN"/>
              </w:rPr>
              <w:t>.</w:t>
            </w:r>
            <w:r>
              <w:rPr>
                <w:rFonts w:hint="eastAsia"/>
                <w:bCs/>
                <w:sz w:val="24"/>
              </w:rPr>
              <w:t>隔油池</w:t>
            </w:r>
          </w:p>
          <w:p w14:paraId="08C776E8">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imes New Roman" w:hAnsi="Times New Roman" w:eastAsia="宋体" w:cs="Times New Roman"/>
                <w:bCs/>
                <w:sz w:val="24"/>
              </w:rPr>
            </w:pPr>
            <w:r>
              <w:rPr>
                <w:rFonts w:hint="eastAsia"/>
                <w:bCs/>
                <w:sz w:val="24"/>
              </w:rPr>
              <w:t>池底、池壁采用25cm厚P6等级混凝土进行防渗，渗透系数K≤0.49×10</w:t>
            </w:r>
            <w:r>
              <w:rPr>
                <w:rFonts w:hint="eastAsia"/>
                <w:bCs/>
                <w:sz w:val="24"/>
                <w:vertAlign w:val="superscript"/>
              </w:rPr>
              <w:t>-8</w:t>
            </w:r>
            <w:r>
              <w:rPr>
                <w:rFonts w:hint="eastAsia"/>
                <w:bCs/>
                <w:sz w:val="24"/>
              </w:rPr>
              <w:t>cm/s，</w:t>
            </w:r>
            <w:r>
              <w:rPr>
                <w:rFonts w:hint="eastAsia"/>
                <w:bCs/>
                <w:sz w:val="24"/>
                <w:lang w:val="en-US" w:eastAsia="zh-CN"/>
              </w:rPr>
              <w:t>确保</w:t>
            </w:r>
            <w:r>
              <w:rPr>
                <w:rFonts w:hint="eastAsia"/>
                <w:bCs/>
                <w:sz w:val="24"/>
              </w:rPr>
              <w:t>满足《环境影响评价技术导则</w:t>
            </w:r>
            <w:r>
              <w:rPr>
                <w:rFonts w:hint="eastAsia"/>
                <w:bCs/>
                <w:sz w:val="24"/>
                <w:lang w:val="en-US" w:eastAsia="zh-CN"/>
              </w:rPr>
              <w:t xml:space="preserve"> </w:t>
            </w:r>
            <w:r>
              <w:rPr>
                <w:rFonts w:hint="eastAsia"/>
                <w:bCs/>
                <w:sz w:val="24"/>
              </w:rPr>
              <w:t>地下水环境》（HJ610-2016）一般防渗区的要求。</w:t>
            </w:r>
          </w:p>
          <w:p w14:paraId="09AF11A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textAlignment w:val="auto"/>
              <w:rPr>
                <w:rFonts w:hint="eastAsia" w:ascii="Times New Roman" w:hAnsi="Times New Roman" w:eastAsia="宋体" w:cs="Times New Roman"/>
                <w:b/>
                <w:bCs w:val="0"/>
                <w:sz w:val="24"/>
              </w:rPr>
            </w:pPr>
            <w:r>
              <w:rPr>
                <w:rFonts w:hint="eastAsia" w:ascii="Times New Roman" w:hAnsi="Times New Roman" w:eastAsia="宋体" w:cs="Times New Roman"/>
                <w:b/>
                <w:bCs w:val="0"/>
                <w:sz w:val="24"/>
                <w:lang w:val="en-US" w:eastAsia="zh-CN"/>
              </w:rPr>
              <w:t>3）</w:t>
            </w:r>
            <w:r>
              <w:rPr>
                <w:rFonts w:hint="eastAsia" w:ascii="Times New Roman" w:hAnsi="Times New Roman" w:eastAsia="宋体" w:cs="Times New Roman"/>
                <w:b/>
                <w:bCs w:val="0"/>
                <w:sz w:val="24"/>
              </w:rPr>
              <w:t>简单防渗区</w:t>
            </w:r>
          </w:p>
          <w:p w14:paraId="6CB424B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szCs w:val="21"/>
              </w:rPr>
            </w:pPr>
            <w:r>
              <w:rPr>
                <w:rFonts w:hint="eastAsia" w:ascii="Times New Roman" w:hAnsi="Times New Roman" w:eastAsia="宋体" w:cs="Times New Roman"/>
                <w:bCs/>
                <w:sz w:val="24"/>
              </w:rPr>
              <w:t>办公区、</w:t>
            </w:r>
            <w:r>
              <w:rPr>
                <w:rFonts w:hint="eastAsia" w:ascii="Times New Roman" w:hAnsi="Times New Roman" w:eastAsia="宋体" w:cs="Times New Roman"/>
                <w:bCs/>
                <w:sz w:val="24"/>
                <w:lang w:val="en-US" w:eastAsia="zh-CN"/>
              </w:rPr>
              <w:t>住宿区</w:t>
            </w:r>
            <w:r>
              <w:rPr>
                <w:rFonts w:hint="eastAsia" w:ascii="Times New Roman" w:hAnsi="Times New Roman" w:eastAsia="宋体" w:cs="Times New Roman"/>
                <w:bCs/>
                <w:sz w:val="24"/>
              </w:rPr>
              <w:t>、食堂、厂区道路等除重点防渗区和一般防渗区以外的区域，</w:t>
            </w:r>
            <w:r>
              <w:rPr>
                <w:rFonts w:hint="eastAsia" w:ascii="Times New Roman" w:hAnsi="Times New Roman" w:eastAsia="宋体" w:cs="Times New Roman"/>
                <w:bCs/>
                <w:sz w:val="24"/>
                <w:lang w:val="en-US" w:eastAsia="zh-CN"/>
              </w:rPr>
              <w:t>已</w:t>
            </w:r>
            <w:r>
              <w:rPr>
                <w:rFonts w:hint="eastAsia" w:ascii="Times New Roman" w:hAnsi="Times New Roman" w:eastAsia="宋体" w:cs="Times New Roman"/>
                <w:bCs/>
                <w:sz w:val="24"/>
              </w:rPr>
              <w:t>采取一般地面硬化处理。</w:t>
            </w:r>
          </w:p>
        </w:tc>
      </w:tr>
      <w:tr w14:paraId="56B48B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 w:type="dxa"/>
            <w:bottom w:w="0" w:type="dxa"/>
            <w:right w:w="1" w:type="dxa"/>
          </w:tblCellMar>
        </w:tblPrEx>
        <w:trPr>
          <w:trHeight w:val="90" w:hRule="atLeast"/>
          <w:jc w:val="center"/>
        </w:trPr>
        <w:tc>
          <w:tcPr>
            <w:tcW w:w="675" w:type="dxa"/>
            <w:noWrap w:val="0"/>
            <w:vAlign w:val="center"/>
          </w:tcPr>
          <w:p w14:paraId="00FA8561">
            <w:pPr>
              <w:wordWrap w:val="0"/>
              <w:adjustRightInd w:val="0"/>
              <w:jc w:val="center"/>
              <w:rPr>
                <w:b/>
                <w:sz w:val="24"/>
              </w:rPr>
            </w:pPr>
            <w:r>
              <w:rPr>
                <w:b/>
                <w:sz w:val="24"/>
              </w:rPr>
              <w:t>生态保护措施</w:t>
            </w:r>
          </w:p>
        </w:tc>
        <w:tc>
          <w:tcPr>
            <w:tcW w:w="8200" w:type="dxa"/>
            <w:gridSpan w:val="4"/>
            <w:noWrap w:val="0"/>
            <w:vAlign w:val="center"/>
          </w:tcPr>
          <w:p w14:paraId="5E6CF684">
            <w:pPr>
              <w:wordWrap w:val="0"/>
              <w:jc w:val="center"/>
              <w:rPr>
                <w:szCs w:val="21"/>
              </w:rPr>
            </w:pPr>
            <w:r>
              <w:rPr>
                <w:rFonts w:hint="eastAsia" w:ascii="Times New Roman" w:hAnsi="Times New Roman" w:eastAsia="宋体" w:cs="Times New Roman"/>
                <w:sz w:val="24"/>
                <w:lang w:bidi="ar"/>
              </w:rPr>
              <w:t>加强场内绿化</w:t>
            </w:r>
          </w:p>
        </w:tc>
      </w:tr>
      <w:tr w14:paraId="734EAA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 w:type="dxa"/>
            <w:bottom w:w="0" w:type="dxa"/>
            <w:right w:w="1" w:type="dxa"/>
          </w:tblCellMar>
        </w:tblPrEx>
        <w:trPr>
          <w:trHeight w:val="329" w:hRule="atLeast"/>
          <w:jc w:val="center"/>
        </w:trPr>
        <w:tc>
          <w:tcPr>
            <w:tcW w:w="675" w:type="dxa"/>
            <w:noWrap w:val="0"/>
            <w:vAlign w:val="center"/>
          </w:tcPr>
          <w:p w14:paraId="060A25DE">
            <w:pPr>
              <w:wordWrap w:val="0"/>
              <w:adjustRightInd w:val="0"/>
              <w:jc w:val="center"/>
              <w:rPr>
                <w:b/>
                <w:sz w:val="24"/>
              </w:rPr>
            </w:pPr>
            <w:r>
              <w:rPr>
                <w:b/>
                <w:sz w:val="24"/>
              </w:rPr>
              <w:t>环境风险</w:t>
            </w:r>
          </w:p>
          <w:p w14:paraId="1652DF2D">
            <w:pPr>
              <w:wordWrap w:val="0"/>
              <w:adjustRightInd w:val="0"/>
              <w:jc w:val="center"/>
              <w:rPr>
                <w:b/>
                <w:sz w:val="24"/>
              </w:rPr>
            </w:pPr>
            <w:r>
              <w:rPr>
                <w:b/>
                <w:sz w:val="24"/>
              </w:rPr>
              <w:t>防范措施</w:t>
            </w:r>
          </w:p>
        </w:tc>
        <w:tc>
          <w:tcPr>
            <w:tcW w:w="8200" w:type="dxa"/>
            <w:gridSpan w:val="4"/>
            <w:noWrap w:val="0"/>
            <w:vAlign w:val="center"/>
          </w:tcPr>
          <w:p w14:paraId="10F4D1C0">
            <w:pPr>
              <w:wordWrap w:val="0"/>
              <w:autoSpaceDE w:val="0"/>
              <w:autoSpaceDN w:val="0"/>
              <w:adjustRightInd w:val="0"/>
              <w:rPr>
                <w:kern w:val="0"/>
                <w:sz w:val="24"/>
              </w:rPr>
            </w:pPr>
            <w:r>
              <w:rPr>
                <w:rFonts w:hint="eastAsia"/>
                <w:kern w:val="0"/>
                <w:sz w:val="24"/>
              </w:rPr>
              <w:t>危废暂存间做好地面防渗、防漏措施，设置防渗围堰，围堰内设置备用收容设施和防范物质；沥青罐区、导热油储存区分区设置20cm高事故围堰以及初期雨水切换阀；加强运输风险管理，设置警示标识，配备相应数量灭火器，开展员工安全培训；加强污染防治设施管理和维护；严格执行环评及相关法律法规要求，制定环境风险应急预案。</w:t>
            </w:r>
          </w:p>
        </w:tc>
      </w:tr>
      <w:tr w14:paraId="248F0B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 w:type="dxa"/>
            <w:bottom w:w="0" w:type="dxa"/>
            <w:right w:w="1" w:type="dxa"/>
          </w:tblCellMar>
        </w:tblPrEx>
        <w:trPr>
          <w:trHeight w:val="90" w:hRule="atLeast"/>
          <w:jc w:val="center"/>
        </w:trPr>
        <w:tc>
          <w:tcPr>
            <w:tcW w:w="675" w:type="dxa"/>
            <w:noWrap w:val="0"/>
            <w:vAlign w:val="center"/>
          </w:tcPr>
          <w:p w14:paraId="74B4B811">
            <w:pPr>
              <w:wordWrap w:val="0"/>
              <w:adjustRightInd w:val="0"/>
              <w:jc w:val="center"/>
              <w:rPr>
                <w:b/>
                <w:sz w:val="24"/>
              </w:rPr>
            </w:pPr>
            <w:r>
              <w:rPr>
                <w:b/>
                <w:sz w:val="24"/>
              </w:rPr>
              <w:t>其他环境</w:t>
            </w:r>
          </w:p>
          <w:p w14:paraId="7B79327B">
            <w:pPr>
              <w:wordWrap w:val="0"/>
              <w:adjustRightInd w:val="0"/>
              <w:jc w:val="center"/>
              <w:rPr>
                <w:b/>
                <w:sz w:val="24"/>
              </w:rPr>
            </w:pPr>
            <w:r>
              <w:rPr>
                <w:b/>
                <w:sz w:val="24"/>
              </w:rPr>
              <w:t>管理要求</w:t>
            </w:r>
          </w:p>
        </w:tc>
        <w:tc>
          <w:tcPr>
            <w:tcW w:w="8200" w:type="dxa"/>
            <w:gridSpan w:val="4"/>
            <w:noWrap w:val="0"/>
            <w:vAlign w:val="center"/>
          </w:tcPr>
          <w:p w14:paraId="5C2A385F">
            <w:pPr>
              <w:wordWrap w:val="0"/>
              <w:spacing w:line="360" w:lineRule="auto"/>
              <w:rPr>
                <w:rFonts w:hint="eastAsia"/>
                <w:b/>
                <w:sz w:val="24"/>
                <w:highlight w:val="none"/>
              </w:rPr>
            </w:pPr>
            <w:r>
              <w:rPr>
                <w:rFonts w:hint="eastAsia"/>
                <w:b/>
                <w:sz w:val="24"/>
                <w:highlight w:val="none"/>
              </w:rPr>
              <w:t>1、环保设施及投资情况</w:t>
            </w:r>
          </w:p>
          <w:p w14:paraId="1D4FFA97">
            <w:pPr>
              <w:wordWrap w:val="0"/>
              <w:spacing w:line="360" w:lineRule="auto"/>
              <w:ind w:firstLine="480"/>
              <w:rPr>
                <w:sz w:val="24"/>
                <w:highlight w:val="none"/>
              </w:rPr>
            </w:pPr>
            <w:r>
              <w:rPr>
                <w:sz w:val="24"/>
                <w:highlight w:val="none"/>
              </w:rPr>
              <w:t>本项目建设总投资</w:t>
            </w:r>
            <w:r>
              <w:rPr>
                <w:rFonts w:hint="eastAsia"/>
                <w:sz w:val="24"/>
                <w:highlight w:val="none"/>
                <w:lang w:val="en-US" w:eastAsia="zh-CN"/>
              </w:rPr>
              <w:t>8000</w:t>
            </w:r>
            <w:r>
              <w:rPr>
                <w:sz w:val="24"/>
                <w:highlight w:val="none"/>
              </w:rPr>
              <w:t>万元，环保建设投资约</w:t>
            </w:r>
            <w:r>
              <w:rPr>
                <w:rFonts w:hint="eastAsia"/>
                <w:sz w:val="24"/>
                <w:highlight w:val="none"/>
                <w:lang w:val="en-US" w:eastAsia="zh-CN"/>
              </w:rPr>
              <w:t>218</w:t>
            </w:r>
            <w:r>
              <w:rPr>
                <w:sz w:val="24"/>
                <w:highlight w:val="none"/>
              </w:rPr>
              <w:t>万元，占项目总投资的</w:t>
            </w:r>
            <w:r>
              <w:rPr>
                <w:rFonts w:hint="eastAsia"/>
                <w:sz w:val="24"/>
                <w:highlight w:val="none"/>
                <w:lang w:val="en-US" w:eastAsia="zh-CN"/>
              </w:rPr>
              <w:t>2.725</w:t>
            </w:r>
            <w:r>
              <w:rPr>
                <w:sz w:val="24"/>
                <w:highlight w:val="none"/>
              </w:rPr>
              <w:t>%，需投入的环保设施及投资见下表：</w:t>
            </w:r>
          </w:p>
          <w:p w14:paraId="5493A398">
            <w:pPr>
              <w:numPr>
                <w:ilvl w:val="0"/>
                <w:numId w:val="7"/>
              </w:numPr>
              <w:wordWrap w:val="0"/>
              <w:ind w:left="0" w:firstLine="0"/>
              <w:jc w:val="center"/>
              <w:rPr>
                <w:rFonts w:hint="eastAsia"/>
                <w:b/>
                <w:bCs/>
                <w:szCs w:val="21"/>
              </w:rPr>
            </w:pPr>
            <w:r>
              <w:rPr>
                <w:rFonts w:hint="eastAsia"/>
                <w:b/>
                <w:bCs/>
                <w:szCs w:val="21"/>
              </w:rPr>
              <w:t>项目环保投资一览表</w:t>
            </w:r>
          </w:p>
          <w:tbl>
            <w:tblPr>
              <w:tblStyle w:val="26"/>
              <w:tblW w:w="802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6" w:type="dxa"/>
                <w:bottom w:w="0" w:type="dxa"/>
                <w:right w:w="6" w:type="dxa"/>
              </w:tblCellMar>
            </w:tblPr>
            <w:tblGrid>
              <w:gridCol w:w="333"/>
              <w:gridCol w:w="381"/>
              <w:gridCol w:w="1390"/>
              <w:gridCol w:w="5125"/>
              <w:gridCol w:w="796"/>
            </w:tblGrid>
            <w:tr w14:paraId="0A55A4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90" w:hRule="atLeast"/>
                <w:jc w:val="center"/>
              </w:trPr>
              <w:tc>
                <w:tcPr>
                  <w:tcW w:w="714" w:type="dxa"/>
                  <w:gridSpan w:val="2"/>
                  <w:noWrap w:val="0"/>
                  <w:vAlign w:val="center"/>
                </w:tcPr>
                <w:p w14:paraId="71312DB4">
                  <w:pPr>
                    <w:spacing w:line="240" w:lineRule="exact"/>
                    <w:jc w:val="center"/>
                    <w:rPr>
                      <w:b/>
                      <w:color w:val="auto"/>
                      <w:szCs w:val="21"/>
                    </w:rPr>
                  </w:pPr>
                  <w:r>
                    <w:rPr>
                      <w:b/>
                      <w:color w:val="auto"/>
                      <w:szCs w:val="21"/>
                    </w:rPr>
                    <w:t>项目</w:t>
                  </w:r>
                </w:p>
              </w:tc>
              <w:tc>
                <w:tcPr>
                  <w:tcW w:w="1390" w:type="dxa"/>
                  <w:noWrap w:val="0"/>
                  <w:vAlign w:val="center"/>
                </w:tcPr>
                <w:p w14:paraId="01340A07">
                  <w:pPr>
                    <w:spacing w:line="240" w:lineRule="exact"/>
                    <w:jc w:val="center"/>
                    <w:rPr>
                      <w:b/>
                      <w:color w:val="auto"/>
                      <w:szCs w:val="21"/>
                    </w:rPr>
                  </w:pPr>
                  <w:r>
                    <w:rPr>
                      <w:b/>
                      <w:color w:val="auto"/>
                      <w:szCs w:val="21"/>
                    </w:rPr>
                    <w:t>项目</w:t>
                  </w:r>
                </w:p>
              </w:tc>
              <w:tc>
                <w:tcPr>
                  <w:tcW w:w="5125" w:type="dxa"/>
                  <w:noWrap w:val="0"/>
                  <w:vAlign w:val="center"/>
                </w:tcPr>
                <w:p w14:paraId="59238C2A">
                  <w:pPr>
                    <w:spacing w:line="240" w:lineRule="exact"/>
                    <w:jc w:val="center"/>
                    <w:rPr>
                      <w:b/>
                      <w:color w:val="auto"/>
                      <w:szCs w:val="21"/>
                    </w:rPr>
                  </w:pPr>
                  <w:r>
                    <w:rPr>
                      <w:b/>
                      <w:bCs/>
                      <w:color w:val="auto"/>
                      <w:szCs w:val="21"/>
                    </w:rPr>
                    <w:t>内容</w:t>
                  </w:r>
                </w:p>
              </w:tc>
              <w:tc>
                <w:tcPr>
                  <w:tcW w:w="796" w:type="dxa"/>
                  <w:noWrap w:val="0"/>
                  <w:vAlign w:val="center"/>
                </w:tcPr>
                <w:p w14:paraId="0F5C9123">
                  <w:pPr>
                    <w:spacing w:line="240" w:lineRule="exact"/>
                    <w:jc w:val="center"/>
                    <w:rPr>
                      <w:b/>
                      <w:color w:val="auto"/>
                      <w:spacing w:val="-14"/>
                      <w:szCs w:val="21"/>
                    </w:rPr>
                  </w:pPr>
                  <w:r>
                    <w:rPr>
                      <w:b/>
                      <w:color w:val="auto"/>
                      <w:spacing w:val="-14"/>
                      <w:szCs w:val="21"/>
                    </w:rPr>
                    <w:t>投资</w:t>
                  </w:r>
                </w:p>
                <w:p w14:paraId="52314346">
                  <w:pPr>
                    <w:spacing w:line="240" w:lineRule="exact"/>
                    <w:jc w:val="center"/>
                    <w:rPr>
                      <w:b/>
                      <w:color w:val="auto"/>
                      <w:szCs w:val="21"/>
                    </w:rPr>
                  </w:pPr>
                  <w:r>
                    <w:rPr>
                      <w:b/>
                      <w:color w:val="auto"/>
                      <w:spacing w:val="-14"/>
                      <w:szCs w:val="21"/>
                    </w:rPr>
                    <w:t>（万元）</w:t>
                  </w:r>
                </w:p>
              </w:tc>
            </w:tr>
            <w:tr w14:paraId="05E346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90" w:hRule="atLeast"/>
                <w:jc w:val="center"/>
              </w:trPr>
              <w:tc>
                <w:tcPr>
                  <w:tcW w:w="333" w:type="dxa"/>
                  <w:vMerge w:val="restart"/>
                  <w:noWrap w:val="0"/>
                  <w:vAlign w:val="center"/>
                </w:tcPr>
                <w:p w14:paraId="1598391D">
                  <w:pPr>
                    <w:spacing w:line="240" w:lineRule="exact"/>
                    <w:jc w:val="center"/>
                    <w:rPr>
                      <w:b/>
                      <w:color w:val="auto"/>
                      <w:szCs w:val="21"/>
                    </w:rPr>
                  </w:pPr>
                  <w:r>
                    <w:rPr>
                      <w:b/>
                      <w:color w:val="auto"/>
                      <w:szCs w:val="21"/>
                    </w:rPr>
                    <w:t>废水</w:t>
                  </w:r>
                </w:p>
              </w:tc>
              <w:tc>
                <w:tcPr>
                  <w:tcW w:w="381" w:type="dxa"/>
                  <w:vMerge w:val="restart"/>
                  <w:noWrap w:val="0"/>
                  <w:vAlign w:val="center"/>
                </w:tcPr>
                <w:p w14:paraId="5276D7CA">
                  <w:pPr>
                    <w:spacing w:line="240" w:lineRule="exact"/>
                    <w:jc w:val="center"/>
                    <w:rPr>
                      <w:color w:val="auto"/>
                      <w:szCs w:val="21"/>
                    </w:rPr>
                  </w:pPr>
                  <w:r>
                    <w:rPr>
                      <w:color w:val="auto"/>
                      <w:szCs w:val="21"/>
                    </w:rPr>
                    <w:t>运营期</w:t>
                  </w:r>
                </w:p>
              </w:tc>
              <w:tc>
                <w:tcPr>
                  <w:tcW w:w="1390" w:type="dxa"/>
                  <w:noWrap w:val="0"/>
                  <w:vAlign w:val="center"/>
                </w:tcPr>
                <w:p w14:paraId="69E477CC">
                  <w:pPr>
                    <w:spacing w:line="240" w:lineRule="exact"/>
                    <w:jc w:val="center"/>
                    <w:rPr>
                      <w:rFonts w:hint="default" w:eastAsia="宋体"/>
                      <w:color w:val="auto"/>
                      <w:szCs w:val="21"/>
                      <w:lang w:val="en-US" w:eastAsia="zh-CN"/>
                    </w:rPr>
                  </w:pPr>
                  <w:r>
                    <w:rPr>
                      <w:rFonts w:hint="eastAsia"/>
                      <w:color w:val="auto"/>
                      <w:szCs w:val="21"/>
                      <w:lang w:val="en-US" w:eastAsia="zh-CN"/>
                    </w:rPr>
                    <w:t>生活污水（含食堂废水）</w:t>
                  </w:r>
                </w:p>
              </w:tc>
              <w:tc>
                <w:tcPr>
                  <w:tcW w:w="5125" w:type="dxa"/>
                  <w:noWrap w:val="0"/>
                  <w:vAlign w:val="center"/>
                </w:tcPr>
                <w:p w14:paraId="7D836332">
                  <w:pPr>
                    <w:spacing w:line="240" w:lineRule="exact"/>
                    <w:jc w:val="center"/>
                    <w:rPr>
                      <w:rFonts w:hint="default" w:eastAsia="宋体"/>
                      <w:color w:val="auto"/>
                      <w:szCs w:val="21"/>
                      <w:lang w:val="en-US" w:eastAsia="zh-CN"/>
                    </w:rPr>
                  </w:pPr>
                  <w:r>
                    <w:rPr>
                      <w:rFonts w:hint="eastAsia" w:cs="Times New Roman"/>
                      <w:b w:val="0"/>
                      <w:bCs w:val="0"/>
                      <w:sz w:val="21"/>
                      <w:szCs w:val="21"/>
                      <w:lang w:val="en-US" w:eastAsia="zh-CN"/>
                    </w:rPr>
                    <w:t>员工食堂新建1个隔油池</w:t>
                  </w:r>
                  <w:r>
                    <w:rPr>
                      <w:rFonts w:hint="eastAsia" w:ascii="Times New Roman" w:hAnsi="Times New Roman" w:eastAsia="宋体" w:cs="Times New Roman"/>
                      <w:b w:val="0"/>
                      <w:bCs w:val="0"/>
                      <w:sz w:val="21"/>
                      <w:szCs w:val="21"/>
                      <w:lang w:val="en-US" w:eastAsia="zh-CN"/>
                    </w:rPr>
                    <w:t>（有效容积1m</w:t>
                  </w:r>
                  <w:r>
                    <w:rPr>
                      <w:rFonts w:hint="eastAsia" w:ascii="Times New Roman" w:hAnsi="Times New Roman" w:eastAsia="宋体" w:cs="Times New Roman"/>
                      <w:b w:val="0"/>
                      <w:bCs w:val="0"/>
                      <w:sz w:val="21"/>
                      <w:szCs w:val="21"/>
                      <w:vertAlign w:val="superscript"/>
                      <w:lang w:val="en-US" w:eastAsia="zh-CN"/>
                    </w:rPr>
                    <w:t>3</w:t>
                  </w:r>
                  <w:r>
                    <w:rPr>
                      <w:rFonts w:hint="eastAsia" w:ascii="Times New Roman" w:hAnsi="Times New Roman" w:eastAsia="宋体" w:cs="Times New Roman"/>
                      <w:b w:val="0"/>
                      <w:bCs w:val="0"/>
                      <w:sz w:val="21"/>
                      <w:szCs w:val="21"/>
                      <w:lang w:val="en-US" w:eastAsia="zh-CN"/>
                    </w:rPr>
                    <w:t>）</w:t>
                  </w:r>
                  <w:r>
                    <w:rPr>
                      <w:rFonts w:hint="eastAsia" w:cs="Times New Roman"/>
                      <w:b w:val="0"/>
                      <w:bCs w:val="0"/>
                      <w:sz w:val="21"/>
                      <w:szCs w:val="21"/>
                      <w:lang w:val="en-US" w:eastAsia="zh-CN"/>
                    </w:rPr>
                    <w:t>，食堂废水先经隔油池处理后和其他生活污水再排入厂区已建的化粪池</w:t>
                  </w:r>
                  <w:r>
                    <w:rPr>
                      <w:rFonts w:hint="eastAsia" w:ascii="Times New Roman" w:hAnsi="Times New Roman" w:eastAsia="宋体" w:cs="Times New Roman"/>
                      <w:b w:val="0"/>
                      <w:bCs w:val="0"/>
                      <w:sz w:val="21"/>
                      <w:szCs w:val="21"/>
                      <w:lang w:val="en-US" w:eastAsia="zh-CN"/>
                    </w:rPr>
                    <w:t>（有效容积</w:t>
                  </w:r>
                  <w:r>
                    <w:rPr>
                      <w:rFonts w:hint="eastAsia" w:cs="Times New Roman"/>
                      <w:b w:val="0"/>
                      <w:bCs w:val="0"/>
                      <w:sz w:val="21"/>
                      <w:szCs w:val="21"/>
                      <w:lang w:val="en-US" w:eastAsia="zh-CN"/>
                    </w:rPr>
                    <w:t>2</w:t>
                  </w:r>
                  <w:r>
                    <w:rPr>
                      <w:rFonts w:hint="eastAsia" w:ascii="Times New Roman" w:hAnsi="Times New Roman" w:eastAsia="宋体" w:cs="Times New Roman"/>
                      <w:b w:val="0"/>
                      <w:bCs w:val="0"/>
                      <w:sz w:val="21"/>
                      <w:szCs w:val="21"/>
                      <w:lang w:val="en-US" w:eastAsia="zh-CN"/>
                    </w:rPr>
                    <w:t>0m</w:t>
                  </w:r>
                  <w:r>
                    <w:rPr>
                      <w:rFonts w:hint="eastAsia" w:ascii="Times New Roman" w:hAnsi="Times New Roman" w:eastAsia="宋体" w:cs="Times New Roman"/>
                      <w:b w:val="0"/>
                      <w:bCs w:val="0"/>
                      <w:sz w:val="21"/>
                      <w:szCs w:val="21"/>
                      <w:vertAlign w:val="superscript"/>
                      <w:lang w:val="en-US" w:eastAsia="zh-CN"/>
                    </w:rPr>
                    <w:t>3</w:t>
                  </w:r>
                  <w:r>
                    <w:rPr>
                      <w:rFonts w:hint="eastAsia" w:ascii="Times New Roman" w:hAnsi="Times New Roman" w:eastAsia="宋体" w:cs="Times New Roman"/>
                      <w:b w:val="0"/>
                      <w:bCs w:val="0"/>
                      <w:sz w:val="21"/>
                      <w:szCs w:val="21"/>
                      <w:lang w:val="en-US" w:eastAsia="zh-CN"/>
                    </w:rPr>
                    <w:t>）</w:t>
                  </w:r>
                  <w:r>
                    <w:rPr>
                      <w:rFonts w:hint="eastAsia" w:cs="Times New Roman"/>
                      <w:b w:val="0"/>
                      <w:bCs w:val="0"/>
                      <w:sz w:val="21"/>
                      <w:szCs w:val="21"/>
                      <w:lang w:val="en-US" w:eastAsia="zh-CN"/>
                    </w:rPr>
                    <w:t>处理后用作农肥不外排。</w:t>
                  </w:r>
                </w:p>
              </w:tc>
              <w:tc>
                <w:tcPr>
                  <w:tcW w:w="796" w:type="dxa"/>
                  <w:noWrap w:val="0"/>
                  <w:vAlign w:val="center"/>
                </w:tcPr>
                <w:p w14:paraId="681B829B">
                  <w:pPr>
                    <w:spacing w:line="240" w:lineRule="exact"/>
                    <w:jc w:val="center"/>
                    <w:rPr>
                      <w:rFonts w:hint="default" w:eastAsia="宋体"/>
                      <w:color w:val="auto"/>
                      <w:szCs w:val="21"/>
                      <w:lang w:val="en-US" w:eastAsia="zh-CN"/>
                    </w:rPr>
                  </w:pPr>
                  <w:r>
                    <w:rPr>
                      <w:rFonts w:hint="eastAsia"/>
                      <w:color w:val="auto"/>
                      <w:szCs w:val="21"/>
                      <w:lang w:val="en-US" w:eastAsia="zh-CN"/>
                    </w:rPr>
                    <w:t>1.0</w:t>
                  </w:r>
                </w:p>
              </w:tc>
            </w:tr>
            <w:tr w14:paraId="439C26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90" w:hRule="atLeast"/>
                <w:jc w:val="center"/>
              </w:trPr>
              <w:tc>
                <w:tcPr>
                  <w:tcW w:w="333" w:type="dxa"/>
                  <w:vMerge w:val="continue"/>
                  <w:noWrap w:val="0"/>
                  <w:vAlign w:val="center"/>
                </w:tcPr>
                <w:p w14:paraId="7E0F51CA">
                  <w:pPr>
                    <w:spacing w:line="240" w:lineRule="exact"/>
                    <w:jc w:val="center"/>
                    <w:rPr>
                      <w:b/>
                      <w:color w:val="auto"/>
                      <w:szCs w:val="21"/>
                    </w:rPr>
                  </w:pPr>
                </w:p>
              </w:tc>
              <w:tc>
                <w:tcPr>
                  <w:tcW w:w="381" w:type="dxa"/>
                  <w:vMerge w:val="continue"/>
                  <w:noWrap w:val="0"/>
                  <w:vAlign w:val="center"/>
                </w:tcPr>
                <w:p w14:paraId="3B85EEEC">
                  <w:pPr>
                    <w:spacing w:line="240" w:lineRule="exact"/>
                    <w:jc w:val="center"/>
                    <w:rPr>
                      <w:color w:val="auto"/>
                      <w:szCs w:val="21"/>
                    </w:rPr>
                  </w:pPr>
                </w:p>
              </w:tc>
              <w:tc>
                <w:tcPr>
                  <w:tcW w:w="1390" w:type="dxa"/>
                  <w:noWrap w:val="0"/>
                  <w:vAlign w:val="center"/>
                </w:tcPr>
                <w:p w14:paraId="235E3832">
                  <w:pPr>
                    <w:spacing w:line="240" w:lineRule="exact"/>
                    <w:jc w:val="center"/>
                    <w:rPr>
                      <w:rFonts w:hint="default" w:eastAsia="宋体"/>
                      <w:color w:val="auto"/>
                      <w:szCs w:val="21"/>
                      <w:lang w:val="en-US" w:eastAsia="zh-CN"/>
                    </w:rPr>
                  </w:pPr>
                  <w:r>
                    <w:rPr>
                      <w:rFonts w:hint="eastAsia"/>
                      <w:color w:val="auto"/>
                      <w:szCs w:val="21"/>
                      <w:lang w:val="en-US" w:eastAsia="zh-CN"/>
                    </w:rPr>
                    <w:t>生产废水（车辆清洗废水、生产检测中心试验设备清洗废水））</w:t>
                  </w:r>
                </w:p>
              </w:tc>
              <w:tc>
                <w:tcPr>
                  <w:tcW w:w="5125" w:type="dxa"/>
                  <w:noWrap w:val="0"/>
                  <w:vAlign w:val="center"/>
                </w:tcPr>
                <w:p w14:paraId="67B48198">
                  <w:pPr>
                    <w:spacing w:line="240" w:lineRule="exact"/>
                    <w:jc w:val="center"/>
                    <w:rPr>
                      <w:color w:val="auto"/>
                      <w:szCs w:val="21"/>
                    </w:rPr>
                  </w:pPr>
                  <w:r>
                    <w:rPr>
                      <w:rFonts w:hint="eastAsia"/>
                      <w:color w:val="auto"/>
                      <w:szCs w:val="21"/>
                      <w:lang w:val="en-US" w:eastAsia="zh-CN"/>
                    </w:rPr>
                    <w:t>新建</w:t>
                  </w:r>
                  <w:r>
                    <w:rPr>
                      <w:rFonts w:hint="eastAsia"/>
                      <w:color w:val="auto"/>
                      <w:szCs w:val="21"/>
                    </w:rPr>
                    <w:t>隔油池（处理能力为1m</w:t>
                  </w:r>
                  <w:r>
                    <w:rPr>
                      <w:rFonts w:hint="eastAsia"/>
                      <w:color w:val="auto"/>
                      <w:szCs w:val="21"/>
                      <w:vertAlign w:val="superscript"/>
                    </w:rPr>
                    <w:t>3</w:t>
                  </w:r>
                  <w:r>
                    <w:rPr>
                      <w:rFonts w:hint="eastAsia"/>
                      <w:color w:val="auto"/>
                      <w:szCs w:val="21"/>
                    </w:rPr>
                    <w:t>/h）+</w:t>
                  </w:r>
                  <w:r>
                    <w:rPr>
                      <w:rFonts w:hint="eastAsia"/>
                      <w:color w:val="auto"/>
                      <w:szCs w:val="21"/>
                      <w:lang w:val="en-US" w:eastAsia="zh-CN"/>
                    </w:rPr>
                    <w:t>依托厂区已建</w:t>
                  </w:r>
                  <w:r>
                    <w:rPr>
                      <w:rFonts w:hint="eastAsia"/>
                      <w:color w:val="auto"/>
                      <w:szCs w:val="21"/>
                    </w:rPr>
                    <w:t>三级沉淀池（有效容积30m</w:t>
                  </w:r>
                  <w:r>
                    <w:rPr>
                      <w:rFonts w:hint="eastAsia"/>
                      <w:color w:val="auto"/>
                      <w:szCs w:val="21"/>
                      <w:vertAlign w:val="superscript"/>
                    </w:rPr>
                    <w:t>3</w:t>
                  </w:r>
                  <w:r>
                    <w:rPr>
                      <w:rFonts w:hint="eastAsia"/>
                      <w:color w:val="auto"/>
                      <w:szCs w:val="21"/>
                    </w:rPr>
                    <w:t>）沉淀后循环使用不外排。</w:t>
                  </w:r>
                </w:p>
              </w:tc>
              <w:tc>
                <w:tcPr>
                  <w:tcW w:w="796" w:type="dxa"/>
                  <w:noWrap w:val="0"/>
                  <w:vAlign w:val="center"/>
                </w:tcPr>
                <w:p w14:paraId="146AD78E">
                  <w:pPr>
                    <w:spacing w:line="240" w:lineRule="exact"/>
                    <w:jc w:val="center"/>
                    <w:rPr>
                      <w:rFonts w:hint="default" w:eastAsia="宋体"/>
                      <w:color w:val="auto"/>
                      <w:szCs w:val="21"/>
                      <w:lang w:val="en-US" w:eastAsia="zh-CN"/>
                    </w:rPr>
                  </w:pPr>
                  <w:r>
                    <w:rPr>
                      <w:rFonts w:hint="eastAsia"/>
                      <w:color w:val="auto"/>
                      <w:szCs w:val="21"/>
                      <w:lang w:val="en-US" w:eastAsia="zh-CN"/>
                    </w:rPr>
                    <w:t>1.0</w:t>
                  </w:r>
                </w:p>
              </w:tc>
            </w:tr>
            <w:tr w14:paraId="17D99B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122" w:hRule="atLeast"/>
                <w:jc w:val="center"/>
              </w:trPr>
              <w:tc>
                <w:tcPr>
                  <w:tcW w:w="333" w:type="dxa"/>
                  <w:vMerge w:val="restart"/>
                  <w:noWrap w:val="0"/>
                  <w:vAlign w:val="center"/>
                </w:tcPr>
                <w:p w14:paraId="276A86A9">
                  <w:pPr>
                    <w:spacing w:line="240" w:lineRule="exact"/>
                    <w:jc w:val="center"/>
                    <w:rPr>
                      <w:b/>
                      <w:color w:val="auto"/>
                      <w:szCs w:val="21"/>
                    </w:rPr>
                  </w:pPr>
                  <w:r>
                    <w:rPr>
                      <w:b/>
                      <w:color w:val="auto"/>
                      <w:szCs w:val="21"/>
                    </w:rPr>
                    <w:t>废气</w:t>
                  </w:r>
                </w:p>
              </w:tc>
              <w:tc>
                <w:tcPr>
                  <w:tcW w:w="381" w:type="dxa"/>
                  <w:vMerge w:val="restart"/>
                  <w:noWrap w:val="0"/>
                  <w:vAlign w:val="center"/>
                </w:tcPr>
                <w:p w14:paraId="35209746">
                  <w:pPr>
                    <w:spacing w:line="240" w:lineRule="exact"/>
                    <w:jc w:val="center"/>
                    <w:rPr>
                      <w:color w:val="auto"/>
                      <w:szCs w:val="21"/>
                    </w:rPr>
                  </w:pPr>
                  <w:r>
                    <w:rPr>
                      <w:color w:val="auto"/>
                      <w:szCs w:val="21"/>
                    </w:rPr>
                    <w:t>运营期</w:t>
                  </w:r>
                </w:p>
              </w:tc>
              <w:tc>
                <w:tcPr>
                  <w:tcW w:w="1390" w:type="dxa"/>
                  <w:noWrap w:val="0"/>
                  <w:vAlign w:val="center"/>
                </w:tcPr>
                <w:p w14:paraId="3D44FDE5">
                  <w:pPr>
                    <w:spacing w:line="240" w:lineRule="exact"/>
                    <w:jc w:val="center"/>
                    <w:rPr>
                      <w:rFonts w:hint="default" w:eastAsia="宋体"/>
                      <w:color w:val="auto"/>
                      <w:szCs w:val="21"/>
                      <w:lang w:val="en-US" w:eastAsia="zh-CN"/>
                    </w:rPr>
                  </w:pPr>
                  <w:r>
                    <w:rPr>
                      <w:rFonts w:hint="eastAsia"/>
                      <w:color w:val="auto"/>
                      <w:szCs w:val="21"/>
                      <w:lang w:val="en-US" w:eastAsia="zh-CN"/>
                    </w:rPr>
                    <w:t>输送粉尘</w:t>
                  </w:r>
                  <w:r>
                    <w:rPr>
                      <w:rFonts w:hint="default" w:eastAsia="宋体"/>
                      <w:color w:val="auto"/>
                      <w:szCs w:val="21"/>
                      <w:lang w:val="en-US" w:eastAsia="zh-CN"/>
                    </w:rPr>
                    <w:t>、烘干粉尘、提升粉尘、筛分粉尘、烘干系统天然气燃烧废气</w:t>
                  </w:r>
                </w:p>
              </w:tc>
              <w:tc>
                <w:tcPr>
                  <w:tcW w:w="5125" w:type="dxa"/>
                  <w:noWrap w:val="0"/>
                  <w:vAlign w:val="center"/>
                </w:tcPr>
                <w:p w14:paraId="44D725A7">
                  <w:pPr>
                    <w:spacing w:line="240" w:lineRule="exact"/>
                    <w:jc w:val="center"/>
                    <w:rPr>
                      <w:rFonts w:hint="eastAsia"/>
                      <w:color w:val="auto"/>
                      <w:szCs w:val="21"/>
                    </w:rPr>
                  </w:pPr>
                  <w:r>
                    <w:rPr>
                      <w:rFonts w:hint="eastAsia"/>
                      <w:color w:val="auto"/>
                      <w:szCs w:val="21"/>
                    </w:rPr>
                    <w:t>密闭收集+高温布袋除尘器（TA001）+22m高排气筒（DA001）。</w:t>
                  </w:r>
                </w:p>
              </w:tc>
              <w:tc>
                <w:tcPr>
                  <w:tcW w:w="796" w:type="dxa"/>
                  <w:noWrap w:val="0"/>
                  <w:vAlign w:val="center"/>
                </w:tcPr>
                <w:p w14:paraId="07280FF3">
                  <w:pPr>
                    <w:spacing w:line="240" w:lineRule="exact"/>
                    <w:jc w:val="center"/>
                    <w:rPr>
                      <w:rFonts w:hint="default" w:eastAsia="宋体"/>
                      <w:color w:val="auto"/>
                      <w:szCs w:val="21"/>
                      <w:lang w:val="en-US" w:eastAsia="zh-CN"/>
                    </w:rPr>
                  </w:pPr>
                  <w:r>
                    <w:rPr>
                      <w:rFonts w:hint="eastAsia"/>
                      <w:color w:val="auto"/>
                      <w:szCs w:val="21"/>
                      <w:lang w:val="en-US" w:eastAsia="zh-CN"/>
                    </w:rPr>
                    <w:t>依托</w:t>
                  </w:r>
                </w:p>
              </w:tc>
            </w:tr>
            <w:tr w14:paraId="618A44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90" w:hRule="atLeast"/>
                <w:jc w:val="center"/>
              </w:trPr>
              <w:tc>
                <w:tcPr>
                  <w:tcW w:w="333" w:type="dxa"/>
                  <w:vMerge w:val="continue"/>
                  <w:noWrap w:val="0"/>
                  <w:vAlign w:val="center"/>
                </w:tcPr>
                <w:p w14:paraId="14A127D4">
                  <w:pPr>
                    <w:spacing w:line="240" w:lineRule="exact"/>
                    <w:jc w:val="center"/>
                    <w:rPr>
                      <w:b/>
                      <w:color w:val="auto"/>
                      <w:szCs w:val="21"/>
                    </w:rPr>
                  </w:pPr>
                </w:p>
              </w:tc>
              <w:tc>
                <w:tcPr>
                  <w:tcW w:w="381" w:type="dxa"/>
                  <w:vMerge w:val="continue"/>
                  <w:noWrap w:val="0"/>
                  <w:vAlign w:val="center"/>
                </w:tcPr>
                <w:p w14:paraId="687D4CD6">
                  <w:pPr>
                    <w:spacing w:line="240" w:lineRule="exact"/>
                    <w:jc w:val="center"/>
                    <w:rPr>
                      <w:color w:val="auto"/>
                      <w:szCs w:val="21"/>
                    </w:rPr>
                  </w:pPr>
                </w:p>
              </w:tc>
              <w:tc>
                <w:tcPr>
                  <w:tcW w:w="1390" w:type="dxa"/>
                  <w:noWrap w:val="0"/>
                  <w:vAlign w:val="center"/>
                </w:tcPr>
                <w:p w14:paraId="7E03F26A">
                  <w:pPr>
                    <w:spacing w:line="240" w:lineRule="exact"/>
                    <w:jc w:val="center"/>
                    <w:rPr>
                      <w:rFonts w:hint="default"/>
                      <w:color w:val="auto"/>
                      <w:szCs w:val="21"/>
                      <w:lang w:val="en-US" w:eastAsia="zh-CN"/>
                    </w:rPr>
                  </w:pPr>
                  <w:r>
                    <w:rPr>
                      <w:rFonts w:hint="default"/>
                      <w:color w:val="auto"/>
                      <w:szCs w:val="21"/>
                      <w:lang w:val="en-US" w:eastAsia="zh-CN"/>
                    </w:rPr>
                    <w:t>沥青搅拌、加热、卸料废气</w:t>
                  </w:r>
                </w:p>
              </w:tc>
              <w:tc>
                <w:tcPr>
                  <w:tcW w:w="5125" w:type="dxa"/>
                  <w:noWrap w:val="0"/>
                  <w:vAlign w:val="center"/>
                </w:tcPr>
                <w:p w14:paraId="3B812376">
                  <w:pPr>
                    <w:spacing w:line="240" w:lineRule="exact"/>
                    <w:jc w:val="center"/>
                    <w:rPr>
                      <w:rFonts w:hint="eastAsia" w:eastAsia="宋体"/>
                      <w:color w:val="auto"/>
                      <w:szCs w:val="21"/>
                      <w:lang w:eastAsia="zh-CN"/>
                    </w:rPr>
                  </w:pPr>
                  <w:r>
                    <w:rPr>
                      <w:rFonts w:hint="eastAsia" w:eastAsia="宋体"/>
                      <w:color w:val="auto"/>
                      <w:szCs w:val="21"/>
                      <w:lang w:eastAsia="zh-CN"/>
                    </w:rPr>
                    <w:t>密闭收集+喷淋+干式过滤+活性炭吸附脱附+催化燃烧装置（TA002）+22m高排气筒（DA002）。</w:t>
                  </w:r>
                </w:p>
              </w:tc>
              <w:tc>
                <w:tcPr>
                  <w:tcW w:w="796" w:type="dxa"/>
                  <w:noWrap w:val="0"/>
                  <w:vAlign w:val="center"/>
                </w:tcPr>
                <w:p w14:paraId="6620A70A">
                  <w:pPr>
                    <w:spacing w:line="240" w:lineRule="exact"/>
                    <w:jc w:val="center"/>
                    <w:rPr>
                      <w:rFonts w:hint="default"/>
                      <w:color w:val="auto"/>
                      <w:szCs w:val="21"/>
                      <w:lang w:val="en-US" w:eastAsia="zh-CN"/>
                    </w:rPr>
                  </w:pPr>
                  <w:r>
                    <w:rPr>
                      <w:rFonts w:hint="eastAsia"/>
                      <w:color w:val="auto"/>
                      <w:szCs w:val="21"/>
                      <w:lang w:val="en-US" w:eastAsia="zh-CN"/>
                    </w:rPr>
                    <w:t>100.0</w:t>
                  </w:r>
                </w:p>
              </w:tc>
            </w:tr>
            <w:tr w14:paraId="16D813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90" w:hRule="atLeast"/>
                <w:jc w:val="center"/>
              </w:trPr>
              <w:tc>
                <w:tcPr>
                  <w:tcW w:w="333" w:type="dxa"/>
                  <w:vMerge w:val="continue"/>
                  <w:noWrap w:val="0"/>
                  <w:vAlign w:val="center"/>
                </w:tcPr>
                <w:p w14:paraId="7F48989F">
                  <w:pPr>
                    <w:spacing w:line="240" w:lineRule="exact"/>
                    <w:jc w:val="center"/>
                    <w:rPr>
                      <w:b/>
                      <w:color w:val="auto"/>
                      <w:szCs w:val="21"/>
                    </w:rPr>
                  </w:pPr>
                </w:p>
              </w:tc>
              <w:tc>
                <w:tcPr>
                  <w:tcW w:w="381" w:type="dxa"/>
                  <w:vMerge w:val="continue"/>
                  <w:noWrap w:val="0"/>
                  <w:vAlign w:val="center"/>
                </w:tcPr>
                <w:p w14:paraId="13C8325C">
                  <w:pPr>
                    <w:spacing w:line="240" w:lineRule="exact"/>
                    <w:jc w:val="center"/>
                    <w:rPr>
                      <w:color w:val="auto"/>
                      <w:szCs w:val="21"/>
                    </w:rPr>
                  </w:pPr>
                </w:p>
              </w:tc>
              <w:tc>
                <w:tcPr>
                  <w:tcW w:w="1390" w:type="dxa"/>
                  <w:noWrap w:val="0"/>
                  <w:vAlign w:val="center"/>
                </w:tcPr>
                <w:p w14:paraId="25531DC8">
                  <w:pPr>
                    <w:spacing w:line="240" w:lineRule="exact"/>
                    <w:jc w:val="center"/>
                    <w:rPr>
                      <w:rFonts w:hint="default"/>
                      <w:color w:val="auto"/>
                      <w:szCs w:val="21"/>
                      <w:lang w:val="en-US" w:eastAsia="zh-CN"/>
                    </w:rPr>
                  </w:pPr>
                  <w:r>
                    <w:rPr>
                      <w:rFonts w:hint="default"/>
                      <w:color w:val="auto"/>
                      <w:szCs w:val="21"/>
                      <w:lang w:val="en-US" w:eastAsia="zh-CN"/>
                    </w:rPr>
                    <w:t>导热油炉燃烧废气</w:t>
                  </w:r>
                </w:p>
              </w:tc>
              <w:tc>
                <w:tcPr>
                  <w:tcW w:w="5125" w:type="dxa"/>
                  <w:noWrap w:val="0"/>
                  <w:vAlign w:val="center"/>
                </w:tcPr>
                <w:p w14:paraId="3203BD91">
                  <w:pPr>
                    <w:spacing w:line="240" w:lineRule="exact"/>
                    <w:jc w:val="center"/>
                    <w:rPr>
                      <w:rFonts w:hint="default" w:eastAsia="宋体"/>
                      <w:color w:val="auto"/>
                      <w:szCs w:val="21"/>
                      <w:lang w:val="en-US" w:eastAsia="zh-CN"/>
                    </w:rPr>
                  </w:pPr>
                  <w:r>
                    <w:rPr>
                      <w:rFonts w:hint="default" w:eastAsia="宋体"/>
                      <w:color w:val="auto"/>
                      <w:szCs w:val="21"/>
                      <w:lang w:val="en-US" w:eastAsia="zh-CN"/>
                    </w:rPr>
                    <w:t>低氮燃烧（TA003）+13m高排气筒（DA003）。</w:t>
                  </w:r>
                </w:p>
              </w:tc>
              <w:tc>
                <w:tcPr>
                  <w:tcW w:w="796" w:type="dxa"/>
                  <w:noWrap w:val="0"/>
                  <w:vAlign w:val="center"/>
                </w:tcPr>
                <w:p w14:paraId="234861A1">
                  <w:pPr>
                    <w:spacing w:line="240" w:lineRule="exact"/>
                    <w:jc w:val="center"/>
                    <w:rPr>
                      <w:rFonts w:hint="default"/>
                      <w:color w:val="auto"/>
                      <w:szCs w:val="21"/>
                      <w:lang w:val="en-US" w:eastAsia="zh-CN"/>
                    </w:rPr>
                  </w:pPr>
                  <w:r>
                    <w:rPr>
                      <w:rFonts w:hint="eastAsia"/>
                      <w:color w:val="auto"/>
                      <w:szCs w:val="21"/>
                      <w:lang w:val="en-US" w:eastAsia="zh-CN"/>
                    </w:rPr>
                    <w:t>10.0</w:t>
                  </w:r>
                </w:p>
              </w:tc>
            </w:tr>
            <w:tr w14:paraId="743325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90" w:hRule="atLeast"/>
                <w:jc w:val="center"/>
              </w:trPr>
              <w:tc>
                <w:tcPr>
                  <w:tcW w:w="333" w:type="dxa"/>
                  <w:vMerge w:val="continue"/>
                  <w:noWrap w:val="0"/>
                  <w:vAlign w:val="center"/>
                </w:tcPr>
                <w:p w14:paraId="46A19A65">
                  <w:pPr>
                    <w:spacing w:line="240" w:lineRule="exact"/>
                    <w:jc w:val="center"/>
                    <w:rPr>
                      <w:b/>
                      <w:color w:val="auto"/>
                      <w:szCs w:val="21"/>
                    </w:rPr>
                  </w:pPr>
                </w:p>
              </w:tc>
              <w:tc>
                <w:tcPr>
                  <w:tcW w:w="381" w:type="dxa"/>
                  <w:vMerge w:val="continue"/>
                  <w:noWrap w:val="0"/>
                  <w:vAlign w:val="center"/>
                </w:tcPr>
                <w:p w14:paraId="0399899E">
                  <w:pPr>
                    <w:spacing w:line="240" w:lineRule="exact"/>
                    <w:jc w:val="center"/>
                    <w:rPr>
                      <w:color w:val="auto"/>
                      <w:szCs w:val="21"/>
                    </w:rPr>
                  </w:pPr>
                </w:p>
              </w:tc>
              <w:tc>
                <w:tcPr>
                  <w:tcW w:w="1390" w:type="dxa"/>
                  <w:noWrap w:val="0"/>
                  <w:vAlign w:val="center"/>
                </w:tcPr>
                <w:p w14:paraId="3F327398">
                  <w:pPr>
                    <w:spacing w:line="240" w:lineRule="exact"/>
                    <w:jc w:val="center"/>
                    <w:rPr>
                      <w:rFonts w:hint="default"/>
                      <w:color w:val="auto"/>
                      <w:szCs w:val="21"/>
                      <w:lang w:val="en-US" w:eastAsia="zh-CN"/>
                    </w:rPr>
                  </w:pPr>
                  <w:r>
                    <w:rPr>
                      <w:rFonts w:hint="default"/>
                      <w:color w:val="auto"/>
                      <w:szCs w:val="21"/>
                      <w:lang w:val="en-US" w:eastAsia="zh-CN"/>
                    </w:rPr>
                    <w:t>磨粉系统粉尘、热风炉废气</w:t>
                  </w:r>
                </w:p>
              </w:tc>
              <w:tc>
                <w:tcPr>
                  <w:tcW w:w="5125" w:type="dxa"/>
                  <w:noWrap w:val="0"/>
                  <w:vAlign w:val="center"/>
                </w:tcPr>
                <w:p w14:paraId="483048CD">
                  <w:pPr>
                    <w:spacing w:line="240" w:lineRule="exact"/>
                    <w:jc w:val="center"/>
                    <w:rPr>
                      <w:rFonts w:hint="default" w:eastAsia="宋体"/>
                      <w:color w:val="auto"/>
                      <w:szCs w:val="21"/>
                      <w:lang w:val="en-US" w:eastAsia="zh-CN"/>
                    </w:rPr>
                  </w:pPr>
                  <w:r>
                    <w:rPr>
                      <w:rFonts w:hint="default" w:eastAsia="宋体"/>
                      <w:color w:val="auto"/>
                      <w:szCs w:val="21"/>
                      <w:lang w:val="en-US" w:eastAsia="zh-CN"/>
                    </w:rPr>
                    <w:t>密闭收集+高温布袋除尘器（TA004）+15m高排气筒（DA004）。</w:t>
                  </w:r>
                </w:p>
              </w:tc>
              <w:tc>
                <w:tcPr>
                  <w:tcW w:w="796" w:type="dxa"/>
                  <w:noWrap w:val="0"/>
                  <w:vAlign w:val="center"/>
                </w:tcPr>
                <w:p w14:paraId="06DAC9B5">
                  <w:pPr>
                    <w:spacing w:line="240" w:lineRule="exact"/>
                    <w:jc w:val="center"/>
                    <w:rPr>
                      <w:rFonts w:hint="default"/>
                      <w:color w:val="auto"/>
                      <w:szCs w:val="21"/>
                      <w:lang w:val="en-US" w:eastAsia="zh-CN"/>
                    </w:rPr>
                  </w:pPr>
                  <w:r>
                    <w:rPr>
                      <w:rFonts w:hint="eastAsia"/>
                      <w:color w:val="auto"/>
                      <w:szCs w:val="21"/>
                      <w:lang w:val="en-US" w:eastAsia="zh-CN"/>
                    </w:rPr>
                    <w:t>40.0</w:t>
                  </w:r>
                </w:p>
              </w:tc>
            </w:tr>
            <w:tr w14:paraId="280CE5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90" w:hRule="atLeast"/>
                <w:jc w:val="center"/>
              </w:trPr>
              <w:tc>
                <w:tcPr>
                  <w:tcW w:w="333" w:type="dxa"/>
                  <w:vMerge w:val="continue"/>
                  <w:noWrap w:val="0"/>
                  <w:vAlign w:val="center"/>
                </w:tcPr>
                <w:p w14:paraId="2009CE9C">
                  <w:pPr>
                    <w:spacing w:line="240" w:lineRule="exact"/>
                    <w:jc w:val="center"/>
                    <w:rPr>
                      <w:b/>
                      <w:color w:val="auto"/>
                      <w:szCs w:val="21"/>
                    </w:rPr>
                  </w:pPr>
                </w:p>
              </w:tc>
              <w:tc>
                <w:tcPr>
                  <w:tcW w:w="381" w:type="dxa"/>
                  <w:vMerge w:val="continue"/>
                  <w:noWrap w:val="0"/>
                  <w:vAlign w:val="center"/>
                </w:tcPr>
                <w:p w14:paraId="520BA44F">
                  <w:pPr>
                    <w:spacing w:line="240" w:lineRule="exact"/>
                    <w:jc w:val="center"/>
                    <w:rPr>
                      <w:color w:val="auto"/>
                      <w:szCs w:val="21"/>
                    </w:rPr>
                  </w:pPr>
                </w:p>
              </w:tc>
              <w:tc>
                <w:tcPr>
                  <w:tcW w:w="1390" w:type="dxa"/>
                  <w:noWrap w:val="0"/>
                  <w:vAlign w:val="center"/>
                </w:tcPr>
                <w:p w14:paraId="3BCC524C">
                  <w:pPr>
                    <w:spacing w:line="240" w:lineRule="exact"/>
                    <w:jc w:val="center"/>
                    <w:rPr>
                      <w:rFonts w:hint="default"/>
                      <w:color w:val="auto"/>
                      <w:szCs w:val="21"/>
                      <w:lang w:val="en-US" w:eastAsia="zh-CN"/>
                    </w:rPr>
                  </w:pPr>
                  <w:r>
                    <w:rPr>
                      <w:rFonts w:hint="default"/>
                      <w:color w:val="auto"/>
                      <w:szCs w:val="21"/>
                      <w:lang w:val="en-US" w:eastAsia="zh-CN"/>
                    </w:rPr>
                    <w:t>再生料破碎、筛分粉尘</w:t>
                  </w:r>
                </w:p>
              </w:tc>
              <w:tc>
                <w:tcPr>
                  <w:tcW w:w="5125" w:type="dxa"/>
                  <w:noWrap w:val="0"/>
                  <w:vAlign w:val="center"/>
                </w:tcPr>
                <w:p w14:paraId="1D1EA040">
                  <w:pPr>
                    <w:spacing w:line="240" w:lineRule="exact"/>
                    <w:jc w:val="center"/>
                    <w:rPr>
                      <w:rFonts w:hint="eastAsia" w:eastAsia="宋体"/>
                      <w:color w:val="auto"/>
                      <w:szCs w:val="21"/>
                      <w:lang w:eastAsia="zh-CN"/>
                    </w:rPr>
                  </w:pPr>
                  <w:r>
                    <w:rPr>
                      <w:rFonts w:hint="eastAsia" w:eastAsia="宋体"/>
                      <w:color w:val="auto"/>
                      <w:szCs w:val="21"/>
                      <w:lang w:eastAsia="zh-CN"/>
                    </w:rPr>
                    <w:t>集气罩收集+布袋除尘器（TA005）+15m高排气筒（DA005）。</w:t>
                  </w:r>
                </w:p>
              </w:tc>
              <w:tc>
                <w:tcPr>
                  <w:tcW w:w="796" w:type="dxa"/>
                  <w:noWrap w:val="0"/>
                  <w:vAlign w:val="center"/>
                </w:tcPr>
                <w:p w14:paraId="01C730B5">
                  <w:pPr>
                    <w:spacing w:line="240" w:lineRule="exact"/>
                    <w:jc w:val="center"/>
                    <w:rPr>
                      <w:rFonts w:hint="default"/>
                      <w:color w:val="auto"/>
                      <w:szCs w:val="21"/>
                      <w:lang w:val="en-US" w:eastAsia="zh-CN"/>
                    </w:rPr>
                  </w:pPr>
                  <w:r>
                    <w:rPr>
                      <w:rFonts w:hint="eastAsia"/>
                      <w:color w:val="auto"/>
                      <w:szCs w:val="21"/>
                      <w:lang w:val="en-US" w:eastAsia="zh-CN"/>
                    </w:rPr>
                    <w:t>20.0</w:t>
                  </w:r>
                </w:p>
              </w:tc>
            </w:tr>
            <w:tr w14:paraId="24AC87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90" w:hRule="atLeast"/>
                <w:jc w:val="center"/>
              </w:trPr>
              <w:tc>
                <w:tcPr>
                  <w:tcW w:w="333" w:type="dxa"/>
                  <w:vMerge w:val="continue"/>
                  <w:noWrap w:val="0"/>
                  <w:vAlign w:val="center"/>
                </w:tcPr>
                <w:p w14:paraId="2111C244">
                  <w:pPr>
                    <w:spacing w:line="240" w:lineRule="exact"/>
                    <w:jc w:val="center"/>
                    <w:rPr>
                      <w:b/>
                      <w:color w:val="auto"/>
                      <w:szCs w:val="21"/>
                    </w:rPr>
                  </w:pPr>
                </w:p>
              </w:tc>
              <w:tc>
                <w:tcPr>
                  <w:tcW w:w="381" w:type="dxa"/>
                  <w:vMerge w:val="continue"/>
                  <w:noWrap w:val="0"/>
                  <w:vAlign w:val="center"/>
                </w:tcPr>
                <w:p w14:paraId="7841ED66">
                  <w:pPr>
                    <w:spacing w:line="240" w:lineRule="exact"/>
                    <w:jc w:val="center"/>
                    <w:rPr>
                      <w:color w:val="auto"/>
                      <w:szCs w:val="21"/>
                    </w:rPr>
                  </w:pPr>
                </w:p>
              </w:tc>
              <w:tc>
                <w:tcPr>
                  <w:tcW w:w="1390" w:type="dxa"/>
                  <w:noWrap w:val="0"/>
                  <w:vAlign w:val="center"/>
                </w:tcPr>
                <w:p w14:paraId="69F34E9C">
                  <w:pPr>
                    <w:spacing w:line="240" w:lineRule="exact"/>
                    <w:jc w:val="center"/>
                    <w:rPr>
                      <w:rFonts w:hint="default"/>
                      <w:color w:val="auto"/>
                      <w:szCs w:val="21"/>
                      <w:lang w:val="en-US" w:eastAsia="zh-CN"/>
                    </w:rPr>
                  </w:pPr>
                  <w:r>
                    <w:rPr>
                      <w:rFonts w:hint="eastAsia"/>
                      <w:color w:val="auto"/>
                      <w:szCs w:val="21"/>
                      <w:lang w:val="en-US" w:eastAsia="zh-CN"/>
                    </w:rPr>
                    <w:t>食堂油烟</w:t>
                  </w:r>
                </w:p>
              </w:tc>
              <w:tc>
                <w:tcPr>
                  <w:tcW w:w="5125" w:type="dxa"/>
                  <w:noWrap w:val="0"/>
                  <w:vAlign w:val="center"/>
                </w:tcPr>
                <w:p w14:paraId="1FC07E54">
                  <w:pPr>
                    <w:spacing w:line="240" w:lineRule="exact"/>
                    <w:jc w:val="center"/>
                    <w:rPr>
                      <w:rFonts w:hint="eastAsia" w:eastAsia="宋体"/>
                      <w:color w:val="auto"/>
                      <w:szCs w:val="21"/>
                      <w:lang w:eastAsia="zh-CN"/>
                    </w:rPr>
                  </w:pPr>
                  <w:r>
                    <w:rPr>
                      <w:rFonts w:hint="eastAsia" w:eastAsia="宋体"/>
                      <w:color w:val="auto"/>
                      <w:szCs w:val="21"/>
                      <w:lang w:eastAsia="zh-CN"/>
                    </w:rPr>
                    <w:t>经油烟净化器（TA006）收集处理后由专用油烟通道引至屋顶排放（DA006）。</w:t>
                  </w:r>
                </w:p>
              </w:tc>
              <w:tc>
                <w:tcPr>
                  <w:tcW w:w="796" w:type="dxa"/>
                  <w:noWrap w:val="0"/>
                  <w:vAlign w:val="center"/>
                </w:tcPr>
                <w:p w14:paraId="02E84089">
                  <w:pPr>
                    <w:spacing w:line="240" w:lineRule="exact"/>
                    <w:jc w:val="center"/>
                    <w:rPr>
                      <w:rFonts w:hint="default"/>
                      <w:color w:val="auto"/>
                      <w:szCs w:val="21"/>
                      <w:lang w:val="en-US" w:eastAsia="zh-CN"/>
                    </w:rPr>
                  </w:pPr>
                  <w:r>
                    <w:rPr>
                      <w:rFonts w:hint="eastAsia"/>
                      <w:color w:val="auto"/>
                      <w:szCs w:val="21"/>
                      <w:lang w:val="en-US" w:eastAsia="zh-CN"/>
                    </w:rPr>
                    <w:t>5.0</w:t>
                  </w:r>
                </w:p>
              </w:tc>
            </w:tr>
            <w:tr w14:paraId="0936D8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90" w:hRule="atLeast"/>
                <w:jc w:val="center"/>
              </w:trPr>
              <w:tc>
                <w:tcPr>
                  <w:tcW w:w="333" w:type="dxa"/>
                  <w:vMerge w:val="continue"/>
                  <w:noWrap w:val="0"/>
                  <w:vAlign w:val="center"/>
                </w:tcPr>
                <w:p w14:paraId="19738A30">
                  <w:pPr>
                    <w:spacing w:line="240" w:lineRule="exact"/>
                    <w:jc w:val="center"/>
                    <w:rPr>
                      <w:b/>
                      <w:color w:val="auto"/>
                      <w:szCs w:val="21"/>
                    </w:rPr>
                  </w:pPr>
                </w:p>
              </w:tc>
              <w:tc>
                <w:tcPr>
                  <w:tcW w:w="381" w:type="dxa"/>
                  <w:vMerge w:val="continue"/>
                  <w:noWrap w:val="0"/>
                  <w:vAlign w:val="center"/>
                </w:tcPr>
                <w:p w14:paraId="5C8056A5">
                  <w:pPr>
                    <w:spacing w:line="240" w:lineRule="exact"/>
                    <w:jc w:val="center"/>
                    <w:rPr>
                      <w:color w:val="auto"/>
                      <w:szCs w:val="21"/>
                    </w:rPr>
                  </w:pPr>
                </w:p>
              </w:tc>
              <w:tc>
                <w:tcPr>
                  <w:tcW w:w="1390" w:type="dxa"/>
                  <w:noWrap w:val="0"/>
                  <w:vAlign w:val="center"/>
                </w:tcPr>
                <w:p w14:paraId="38D4FD9A">
                  <w:pPr>
                    <w:spacing w:line="240" w:lineRule="exact"/>
                    <w:jc w:val="center"/>
                    <w:rPr>
                      <w:rFonts w:hint="eastAsia"/>
                      <w:color w:val="auto"/>
                      <w:szCs w:val="21"/>
                      <w:lang w:val="en-US" w:eastAsia="zh-CN"/>
                    </w:rPr>
                  </w:pPr>
                  <w:r>
                    <w:rPr>
                      <w:rFonts w:hint="eastAsia"/>
                      <w:color w:val="auto"/>
                      <w:szCs w:val="21"/>
                      <w:lang w:val="en-US" w:eastAsia="zh-CN"/>
                    </w:rPr>
                    <w:t>成品煤粉仓粉尘</w:t>
                  </w:r>
                </w:p>
              </w:tc>
              <w:tc>
                <w:tcPr>
                  <w:tcW w:w="5125" w:type="dxa"/>
                  <w:noWrap w:val="0"/>
                  <w:vAlign w:val="center"/>
                </w:tcPr>
                <w:p w14:paraId="0CF0F1A2">
                  <w:pPr>
                    <w:spacing w:line="240" w:lineRule="exact"/>
                    <w:jc w:val="center"/>
                    <w:rPr>
                      <w:rFonts w:hint="eastAsia" w:eastAsia="宋体"/>
                      <w:color w:val="auto"/>
                      <w:szCs w:val="21"/>
                      <w:lang w:eastAsia="zh-CN"/>
                    </w:rPr>
                  </w:pPr>
                  <w:r>
                    <w:rPr>
                      <w:rFonts w:hint="eastAsia" w:eastAsia="宋体"/>
                      <w:color w:val="auto"/>
                      <w:szCs w:val="21"/>
                      <w:lang w:eastAsia="zh-CN"/>
                    </w:rPr>
                    <w:t>经筒仓顶部自带的除尘器处理后再车间呈无组织排放。</w:t>
                  </w:r>
                </w:p>
              </w:tc>
              <w:tc>
                <w:tcPr>
                  <w:tcW w:w="796" w:type="dxa"/>
                  <w:vMerge w:val="restart"/>
                  <w:noWrap w:val="0"/>
                  <w:vAlign w:val="center"/>
                </w:tcPr>
                <w:p w14:paraId="1085D05E">
                  <w:pPr>
                    <w:spacing w:line="240" w:lineRule="exact"/>
                    <w:jc w:val="center"/>
                    <w:rPr>
                      <w:rFonts w:hint="eastAsia"/>
                      <w:color w:val="auto"/>
                      <w:szCs w:val="21"/>
                      <w:lang w:val="en-US" w:eastAsia="zh-CN"/>
                    </w:rPr>
                  </w:pPr>
                  <w:r>
                    <w:rPr>
                      <w:rFonts w:hint="eastAsia"/>
                      <w:color w:val="auto"/>
                      <w:szCs w:val="21"/>
                      <w:lang w:val="en-US" w:eastAsia="zh-CN"/>
                    </w:rPr>
                    <w:t>计入设备投资</w:t>
                  </w:r>
                </w:p>
              </w:tc>
            </w:tr>
            <w:tr w14:paraId="20FA95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90" w:hRule="atLeast"/>
                <w:jc w:val="center"/>
              </w:trPr>
              <w:tc>
                <w:tcPr>
                  <w:tcW w:w="333" w:type="dxa"/>
                  <w:vMerge w:val="continue"/>
                  <w:noWrap w:val="0"/>
                  <w:vAlign w:val="center"/>
                </w:tcPr>
                <w:p w14:paraId="4E3EBFEB">
                  <w:pPr>
                    <w:spacing w:line="240" w:lineRule="exact"/>
                    <w:jc w:val="center"/>
                    <w:rPr>
                      <w:b/>
                      <w:color w:val="auto"/>
                      <w:szCs w:val="21"/>
                    </w:rPr>
                  </w:pPr>
                </w:p>
              </w:tc>
              <w:tc>
                <w:tcPr>
                  <w:tcW w:w="381" w:type="dxa"/>
                  <w:vMerge w:val="continue"/>
                  <w:noWrap w:val="0"/>
                  <w:vAlign w:val="center"/>
                </w:tcPr>
                <w:p w14:paraId="6990CB7B">
                  <w:pPr>
                    <w:spacing w:line="240" w:lineRule="exact"/>
                    <w:jc w:val="center"/>
                    <w:rPr>
                      <w:color w:val="auto"/>
                      <w:szCs w:val="21"/>
                    </w:rPr>
                  </w:pPr>
                </w:p>
              </w:tc>
              <w:tc>
                <w:tcPr>
                  <w:tcW w:w="1390" w:type="dxa"/>
                  <w:noWrap w:val="0"/>
                  <w:vAlign w:val="center"/>
                </w:tcPr>
                <w:p w14:paraId="6CB18837">
                  <w:pPr>
                    <w:spacing w:line="240" w:lineRule="exact"/>
                    <w:jc w:val="center"/>
                    <w:rPr>
                      <w:rFonts w:hint="eastAsia"/>
                      <w:color w:val="auto"/>
                      <w:szCs w:val="21"/>
                      <w:lang w:val="en-US" w:eastAsia="zh-CN"/>
                    </w:rPr>
                  </w:pPr>
                  <w:r>
                    <w:rPr>
                      <w:rFonts w:hint="eastAsia"/>
                      <w:color w:val="auto"/>
                      <w:szCs w:val="21"/>
                      <w:lang w:val="en-US" w:eastAsia="zh-CN"/>
                    </w:rPr>
                    <w:t>粉料筒仓粉尘</w:t>
                  </w:r>
                </w:p>
              </w:tc>
              <w:tc>
                <w:tcPr>
                  <w:tcW w:w="5125" w:type="dxa"/>
                  <w:noWrap w:val="0"/>
                  <w:vAlign w:val="center"/>
                </w:tcPr>
                <w:p w14:paraId="7961FE85">
                  <w:pPr>
                    <w:spacing w:line="240" w:lineRule="exact"/>
                    <w:jc w:val="center"/>
                    <w:rPr>
                      <w:rFonts w:hint="eastAsia" w:eastAsia="宋体"/>
                      <w:color w:val="auto"/>
                      <w:szCs w:val="21"/>
                      <w:lang w:eastAsia="zh-CN"/>
                    </w:rPr>
                  </w:pPr>
                  <w:r>
                    <w:rPr>
                      <w:rFonts w:hint="eastAsia" w:eastAsia="宋体"/>
                      <w:color w:val="auto"/>
                      <w:szCs w:val="21"/>
                      <w:lang w:eastAsia="zh-CN"/>
                    </w:rPr>
                    <w:t>经筒仓顶部自带的除尘器处理后再车间呈无组织排放。</w:t>
                  </w:r>
                </w:p>
              </w:tc>
              <w:tc>
                <w:tcPr>
                  <w:tcW w:w="796" w:type="dxa"/>
                  <w:vMerge w:val="continue"/>
                  <w:noWrap w:val="0"/>
                  <w:vAlign w:val="center"/>
                </w:tcPr>
                <w:p w14:paraId="7AC5DAB6">
                  <w:pPr>
                    <w:spacing w:line="240" w:lineRule="exact"/>
                    <w:jc w:val="center"/>
                    <w:rPr>
                      <w:rFonts w:hint="eastAsia"/>
                      <w:color w:val="auto"/>
                      <w:szCs w:val="21"/>
                      <w:lang w:val="en-US" w:eastAsia="zh-CN"/>
                    </w:rPr>
                  </w:pPr>
                </w:p>
              </w:tc>
            </w:tr>
            <w:tr w14:paraId="16D124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90" w:hRule="atLeast"/>
                <w:jc w:val="center"/>
              </w:trPr>
              <w:tc>
                <w:tcPr>
                  <w:tcW w:w="333" w:type="dxa"/>
                  <w:vMerge w:val="continue"/>
                  <w:noWrap w:val="0"/>
                  <w:vAlign w:val="center"/>
                </w:tcPr>
                <w:p w14:paraId="23E3B410">
                  <w:pPr>
                    <w:spacing w:line="240" w:lineRule="exact"/>
                    <w:jc w:val="center"/>
                    <w:rPr>
                      <w:b/>
                      <w:color w:val="auto"/>
                      <w:szCs w:val="21"/>
                    </w:rPr>
                  </w:pPr>
                </w:p>
              </w:tc>
              <w:tc>
                <w:tcPr>
                  <w:tcW w:w="381" w:type="dxa"/>
                  <w:vMerge w:val="continue"/>
                  <w:noWrap w:val="0"/>
                  <w:vAlign w:val="center"/>
                </w:tcPr>
                <w:p w14:paraId="0F3D19BC">
                  <w:pPr>
                    <w:spacing w:line="240" w:lineRule="exact"/>
                    <w:jc w:val="center"/>
                    <w:rPr>
                      <w:color w:val="auto"/>
                      <w:szCs w:val="21"/>
                    </w:rPr>
                  </w:pPr>
                </w:p>
              </w:tc>
              <w:tc>
                <w:tcPr>
                  <w:tcW w:w="1390" w:type="dxa"/>
                  <w:noWrap w:val="0"/>
                  <w:vAlign w:val="center"/>
                </w:tcPr>
                <w:p w14:paraId="0C6ADE12">
                  <w:pPr>
                    <w:spacing w:line="240" w:lineRule="exact"/>
                    <w:jc w:val="center"/>
                    <w:rPr>
                      <w:rFonts w:hint="eastAsia"/>
                      <w:color w:val="auto"/>
                      <w:szCs w:val="21"/>
                      <w:lang w:val="en-US" w:eastAsia="zh-CN"/>
                    </w:rPr>
                  </w:pPr>
                  <w:r>
                    <w:rPr>
                      <w:rFonts w:hint="eastAsia"/>
                      <w:color w:val="auto"/>
                      <w:szCs w:val="21"/>
                      <w:lang w:val="en-US" w:eastAsia="zh-CN"/>
                    </w:rPr>
                    <w:t>无组织粉尘</w:t>
                  </w:r>
                </w:p>
              </w:tc>
              <w:tc>
                <w:tcPr>
                  <w:tcW w:w="5125" w:type="dxa"/>
                  <w:noWrap w:val="0"/>
                  <w:vAlign w:val="center"/>
                </w:tcPr>
                <w:p w14:paraId="13F586BE">
                  <w:pPr>
                    <w:spacing w:line="240" w:lineRule="exact"/>
                    <w:jc w:val="center"/>
                    <w:rPr>
                      <w:rFonts w:hint="eastAsia" w:eastAsia="宋体"/>
                      <w:color w:val="auto"/>
                      <w:szCs w:val="21"/>
                      <w:lang w:eastAsia="zh-CN"/>
                    </w:rPr>
                  </w:pPr>
                  <w:r>
                    <w:rPr>
                      <w:rFonts w:hint="eastAsia" w:eastAsia="宋体"/>
                      <w:color w:val="auto"/>
                      <w:szCs w:val="21"/>
                      <w:lang w:eastAsia="zh-CN"/>
                    </w:rPr>
                    <w:t>封闭厂房+喷雾降尘，厂区道路定期</w:t>
                  </w:r>
                  <w:r>
                    <w:rPr>
                      <w:rFonts w:hint="eastAsia"/>
                      <w:color w:val="auto"/>
                      <w:szCs w:val="21"/>
                      <w:lang w:val="en-US" w:eastAsia="zh-CN"/>
                    </w:rPr>
                    <w:t>洒水降尘</w:t>
                  </w:r>
                </w:p>
              </w:tc>
              <w:tc>
                <w:tcPr>
                  <w:tcW w:w="796" w:type="dxa"/>
                  <w:noWrap w:val="0"/>
                  <w:vAlign w:val="center"/>
                </w:tcPr>
                <w:p w14:paraId="4E0DBB7C">
                  <w:pPr>
                    <w:spacing w:line="240" w:lineRule="exact"/>
                    <w:jc w:val="center"/>
                    <w:rPr>
                      <w:rFonts w:hint="default"/>
                      <w:color w:val="auto"/>
                      <w:szCs w:val="21"/>
                      <w:lang w:val="en-US" w:eastAsia="zh-CN"/>
                    </w:rPr>
                  </w:pPr>
                  <w:r>
                    <w:rPr>
                      <w:rFonts w:hint="eastAsia"/>
                      <w:color w:val="auto"/>
                      <w:szCs w:val="21"/>
                      <w:lang w:val="en-US" w:eastAsia="zh-CN"/>
                    </w:rPr>
                    <w:t>10.0</w:t>
                  </w:r>
                </w:p>
              </w:tc>
            </w:tr>
            <w:tr w14:paraId="1CCF05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505" w:hRule="atLeast"/>
                <w:jc w:val="center"/>
              </w:trPr>
              <w:tc>
                <w:tcPr>
                  <w:tcW w:w="333" w:type="dxa"/>
                  <w:vMerge w:val="restart"/>
                  <w:noWrap w:val="0"/>
                  <w:vAlign w:val="center"/>
                </w:tcPr>
                <w:p w14:paraId="4E59653E">
                  <w:pPr>
                    <w:spacing w:line="240" w:lineRule="exact"/>
                    <w:jc w:val="center"/>
                    <w:rPr>
                      <w:b/>
                      <w:color w:val="auto"/>
                      <w:szCs w:val="21"/>
                    </w:rPr>
                  </w:pPr>
                  <w:r>
                    <w:rPr>
                      <w:b/>
                      <w:color w:val="auto"/>
                      <w:szCs w:val="21"/>
                    </w:rPr>
                    <w:t>固废</w:t>
                  </w:r>
                </w:p>
              </w:tc>
              <w:tc>
                <w:tcPr>
                  <w:tcW w:w="381" w:type="dxa"/>
                  <w:vMerge w:val="restart"/>
                  <w:noWrap w:val="0"/>
                  <w:vAlign w:val="center"/>
                </w:tcPr>
                <w:p w14:paraId="2A2FA28F">
                  <w:pPr>
                    <w:spacing w:line="240" w:lineRule="exact"/>
                    <w:jc w:val="center"/>
                    <w:rPr>
                      <w:color w:val="auto"/>
                      <w:szCs w:val="21"/>
                    </w:rPr>
                  </w:pPr>
                  <w:r>
                    <w:rPr>
                      <w:color w:val="auto"/>
                      <w:szCs w:val="21"/>
                    </w:rPr>
                    <w:t>运营期</w:t>
                  </w:r>
                </w:p>
              </w:tc>
              <w:tc>
                <w:tcPr>
                  <w:tcW w:w="1390" w:type="dxa"/>
                  <w:noWrap w:val="0"/>
                  <w:vAlign w:val="center"/>
                </w:tcPr>
                <w:p w14:paraId="33BA9D1B">
                  <w:pPr>
                    <w:spacing w:line="240" w:lineRule="exact"/>
                    <w:jc w:val="center"/>
                    <w:rPr>
                      <w:color w:val="auto"/>
                      <w:szCs w:val="21"/>
                    </w:rPr>
                  </w:pPr>
                  <w:r>
                    <w:rPr>
                      <w:color w:val="auto"/>
                      <w:szCs w:val="21"/>
                    </w:rPr>
                    <w:t>一般废物</w:t>
                  </w:r>
                </w:p>
              </w:tc>
              <w:tc>
                <w:tcPr>
                  <w:tcW w:w="5125" w:type="dxa"/>
                  <w:noWrap w:val="0"/>
                  <w:vAlign w:val="center"/>
                </w:tcPr>
                <w:p w14:paraId="0482F3C7">
                  <w:pPr>
                    <w:spacing w:line="240" w:lineRule="exact"/>
                    <w:jc w:val="center"/>
                    <w:rPr>
                      <w:color w:val="auto"/>
                      <w:szCs w:val="21"/>
                    </w:rPr>
                  </w:pPr>
                  <w:r>
                    <w:rPr>
                      <w:rFonts w:hint="eastAsia"/>
                      <w:color w:val="auto"/>
                      <w:szCs w:val="21"/>
                    </w:rPr>
                    <w:t>筛分废料由骨料供应商回收；拌合残渣、废沥青、沥青混凝土、除尘器收尘、车间内沉降粉尘暂存于再生料仓内，作为原料返回生产线使用；沉淀池沉渣</w:t>
                  </w:r>
                  <w:r>
                    <w:rPr>
                      <w:rFonts w:hint="eastAsia"/>
                      <w:color w:val="auto"/>
                      <w:szCs w:val="21"/>
                      <w:lang w:eastAsia="zh-CN"/>
                    </w:rPr>
                    <w:t>、</w:t>
                  </w:r>
                  <w:r>
                    <w:rPr>
                      <w:rFonts w:hint="eastAsia"/>
                      <w:color w:val="auto"/>
                      <w:szCs w:val="21"/>
                      <w:lang w:val="en-US" w:eastAsia="zh-CN"/>
                    </w:rPr>
                    <w:t>喷淋塔沉渣</w:t>
                  </w:r>
                  <w:r>
                    <w:rPr>
                      <w:rFonts w:hint="eastAsia"/>
                      <w:color w:val="auto"/>
                      <w:szCs w:val="21"/>
                    </w:rPr>
                    <w:t>定期清掏，作为原料返回生产线使用；办公区设置垃圾桶分类收集生活垃圾交由环卫部门统一清运处置；食堂设置专用收集桶，餐厨垃圾及废油脂经统一收集后24h内交由有资质单位处置。</w:t>
                  </w:r>
                </w:p>
              </w:tc>
              <w:tc>
                <w:tcPr>
                  <w:tcW w:w="796" w:type="dxa"/>
                  <w:tcBorders>
                    <w:bottom w:val="single" w:color="auto" w:sz="2" w:space="0"/>
                  </w:tcBorders>
                  <w:noWrap w:val="0"/>
                  <w:vAlign w:val="center"/>
                </w:tcPr>
                <w:p w14:paraId="01420E18">
                  <w:pPr>
                    <w:spacing w:line="240" w:lineRule="exact"/>
                    <w:jc w:val="center"/>
                    <w:rPr>
                      <w:rFonts w:hint="default" w:eastAsia="宋体"/>
                      <w:color w:val="auto"/>
                      <w:szCs w:val="21"/>
                      <w:lang w:val="en-US" w:eastAsia="zh-CN"/>
                    </w:rPr>
                  </w:pPr>
                  <w:r>
                    <w:rPr>
                      <w:rFonts w:hint="eastAsia"/>
                      <w:color w:val="auto"/>
                      <w:szCs w:val="21"/>
                      <w:lang w:val="en-US" w:eastAsia="zh-CN"/>
                    </w:rPr>
                    <w:t>1.0</w:t>
                  </w:r>
                </w:p>
              </w:tc>
            </w:tr>
            <w:tr w14:paraId="625E42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90" w:hRule="atLeast"/>
                <w:jc w:val="center"/>
              </w:trPr>
              <w:tc>
                <w:tcPr>
                  <w:tcW w:w="333" w:type="dxa"/>
                  <w:vMerge w:val="continue"/>
                  <w:noWrap w:val="0"/>
                  <w:vAlign w:val="center"/>
                </w:tcPr>
                <w:p w14:paraId="7EB29B52">
                  <w:pPr>
                    <w:spacing w:line="240" w:lineRule="exact"/>
                    <w:jc w:val="center"/>
                    <w:rPr>
                      <w:b/>
                      <w:color w:val="auto"/>
                      <w:szCs w:val="21"/>
                    </w:rPr>
                  </w:pPr>
                </w:p>
              </w:tc>
              <w:tc>
                <w:tcPr>
                  <w:tcW w:w="381" w:type="dxa"/>
                  <w:vMerge w:val="continue"/>
                  <w:noWrap w:val="0"/>
                  <w:vAlign w:val="center"/>
                </w:tcPr>
                <w:p w14:paraId="469A6599">
                  <w:pPr>
                    <w:spacing w:line="240" w:lineRule="exact"/>
                    <w:jc w:val="center"/>
                    <w:rPr>
                      <w:color w:val="auto"/>
                      <w:szCs w:val="21"/>
                    </w:rPr>
                  </w:pPr>
                </w:p>
              </w:tc>
              <w:tc>
                <w:tcPr>
                  <w:tcW w:w="1390" w:type="dxa"/>
                  <w:noWrap w:val="0"/>
                  <w:vAlign w:val="center"/>
                </w:tcPr>
                <w:p w14:paraId="4FA075FA">
                  <w:pPr>
                    <w:spacing w:line="240" w:lineRule="exact"/>
                    <w:jc w:val="center"/>
                    <w:rPr>
                      <w:rFonts w:hint="eastAsia"/>
                      <w:color w:val="auto"/>
                      <w:szCs w:val="21"/>
                    </w:rPr>
                  </w:pPr>
                  <w:r>
                    <w:rPr>
                      <w:rFonts w:hint="eastAsia"/>
                      <w:color w:val="auto"/>
                      <w:szCs w:val="21"/>
                    </w:rPr>
                    <w:t>危险废物</w:t>
                  </w:r>
                </w:p>
              </w:tc>
              <w:tc>
                <w:tcPr>
                  <w:tcW w:w="5125" w:type="dxa"/>
                  <w:noWrap w:val="0"/>
                  <w:vAlign w:val="center"/>
                </w:tcPr>
                <w:p w14:paraId="07DC9036">
                  <w:pPr>
                    <w:spacing w:line="240" w:lineRule="exact"/>
                    <w:jc w:val="center"/>
                    <w:rPr>
                      <w:color w:val="auto"/>
                      <w:kern w:val="0"/>
                      <w:szCs w:val="21"/>
                    </w:rPr>
                  </w:pPr>
                  <w:r>
                    <w:rPr>
                      <w:rFonts w:hint="eastAsia"/>
                      <w:color w:val="auto"/>
                      <w:kern w:val="0"/>
                      <w:szCs w:val="21"/>
                    </w:rPr>
                    <w:t>依托厂区西侧已建的1间危废暂存间，面积10m</w:t>
                  </w:r>
                  <w:r>
                    <w:rPr>
                      <w:rFonts w:hint="eastAsia"/>
                      <w:color w:val="auto"/>
                      <w:kern w:val="0"/>
                      <w:szCs w:val="21"/>
                      <w:vertAlign w:val="superscript"/>
                    </w:rPr>
                    <w:t>2</w:t>
                  </w:r>
                  <w:r>
                    <w:rPr>
                      <w:rFonts w:hint="eastAsia"/>
                      <w:color w:val="auto"/>
                      <w:kern w:val="0"/>
                      <w:szCs w:val="21"/>
                    </w:rPr>
                    <w:t>，按照《危险废物贮存污染控制标准》（GB18597-2023）的相关要求设置，要求设置防渗防泄漏围堰，墙裙及地面进行重点防渗处理，满足“六防”（防风、防晒、防雨、防漏、防渗、防腐）要求。危废集中收集暂存，定期交具有资质的危废单位清运处置。</w:t>
                  </w:r>
                </w:p>
              </w:tc>
              <w:tc>
                <w:tcPr>
                  <w:tcW w:w="796" w:type="dxa"/>
                  <w:tcBorders>
                    <w:bottom w:val="single" w:color="auto" w:sz="2" w:space="0"/>
                  </w:tcBorders>
                  <w:noWrap w:val="0"/>
                  <w:vAlign w:val="center"/>
                </w:tcPr>
                <w:p w14:paraId="7920FDE4">
                  <w:pPr>
                    <w:spacing w:line="240" w:lineRule="exact"/>
                    <w:jc w:val="center"/>
                    <w:rPr>
                      <w:rFonts w:hint="default" w:eastAsia="宋体"/>
                      <w:color w:val="auto"/>
                      <w:szCs w:val="21"/>
                      <w:lang w:val="en-US" w:eastAsia="zh-CN"/>
                    </w:rPr>
                  </w:pPr>
                  <w:r>
                    <w:rPr>
                      <w:rFonts w:hint="eastAsia"/>
                      <w:color w:val="auto"/>
                      <w:szCs w:val="21"/>
                      <w:lang w:val="en-US" w:eastAsia="zh-CN"/>
                    </w:rPr>
                    <w:t>20.0</w:t>
                  </w:r>
                </w:p>
              </w:tc>
            </w:tr>
            <w:tr w14:paraId="58A97A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90" w:hRule="atLeast"/>
                <w:jc w:val="center"/>
              </w:trPr>
              <w:tc>
                <w:tcPr>
                  <w:tcW w:w="333" w:type="dxa"/>
                  <w:noWrap w:val="0"/>
                  <w:vAlign w:val="center"/>
                </w:tcPr>
                <w:p w14:paraId="4A70F922">
                  <w:pPr>
                    <w:spacing w:line="240" w:lineRule="exact"/>
                    <w:jc w:val="center"/>
                    <w:rPr>
                      <w:b/>
                      <w:color w:val="auto"/>
                      <w:szCs w:val="21"/>
                    </w:rPr>
                  </w:pPr>
                  <w:r>
                    <w:rPr>
                      <w:b/>
                      <w:color w:val="auto"/>
                      <w:szCs w:val="21"/>
                    </w:rPr>
                    <w:t>噪声</w:t>
                  </w:r>
                </w:p>
              </w:tc>
              <w:tc>
                <w:tcPr>
                  <w:tcW w:w="381" w:type="dxa"/>
                  <w:noWrap w:val="0"/>
                  <w:vAlign w:val="center"/>
                </w:tcPr>
                <w:p w14:paraId="34FCA580">
                  <w:pPr>
                    <w:spacing w:line="240" w:lineRule="exact"/>
                    <w:jc w:val="center"/>
                    <w:rPr>
                      <w:bCs/>
                      <w:color w:val="auto"/>
                      <w:szCs w:val="21"/>
                    </w:rPr>
                  </w:pPr>
                  <w:r>
                    <w:rPr>
                      <w:color w:val="auto"/>
                      <w:szCs w:val="21"/>
                    </w:rPr>
                    <w:t>运营期</w:t>
                  </w:r>
                </w:p>
              </w:tc>
              <w:tc>
                <w:tcPr>
                  <w:tcW w:w="1390" w:type="dxa"/>
                  <w:noWrap w:val="0"/>
                  <w:vAlign w:val="center"/>
                </w:tcPr>
                <w:p w14:paraId="0F95727C">
                  <w:pPr>
                    <w:spacing w:line="240" w:lineRule="exact"/>
                    <w:jc w:val="center"/>
                    <w:rPr>
                      <w:color w:val="auto"/>
                      <w:szCs w:val="21"/>
                      <w:highlight w:val="yellow"/>
                    </w:rPr>
                  </w:pPr>
                  <w:r>
                    <w:rPr>
                      <w:rFonts w:hint="eastAsia"/>
                      <w:color w:val="auto"/>
                      <w:szCs w:val="21"/>
                    </w:rPr>
                    <w:t>设备及车辆噪声</w:t>
                  </w:r>
                </w:p>
              </w:tc>
              <w:tc>
                <w:tcPr>
                  <w:tcW w:w="5125" w:type="dxa"/>
                  <w:noWrap w:val="0"/>
                  <w:vAlign w:val="center"/>
                </w:tcPr>
                <w:p w14:paraId="0B38E27A">
                  <w:pPr>
                    <w:spacing w:line="240" w:lineRule="exact"/>
                    <w:jc w:val="center"/>
                    <w:rPr>
                      <w:color w:val="auto"/>
                      <w:szCs w:val="21"/>
                    </w:rPr>
                  </w:pPr>
                  <w:r>
                    <w:rPr>
                      <w:rFonts w:hint="eastAsia"/>
                      <w:color w:val="auto"/>
                      <w:szCs w:val="21"/>
                    </w:rPr>
                    <w:t>①合理布局、建筑隔声：全部产噪设备均布置在封闭车间内，车间建筑材料采用加厚型镀锌铝板，降低生产噪声对周围环境的影响；②项目选用低噪声设备：基本选用先进的低噪设备，并提高设备的安装质量和精度，以从声源上降低设备本身噪声；③对高噪设备设置</w:t>
                  </w:r>
                  <w:r>
                    <w:rPr>
                      <w:rFonts w:hint="eastAsia"/>
                      <w:color w:val="auto"/>
                      <w:szCs w:val="21"/>
                      <w:lang w:eastAsia="zh-CN"/>
                    </w:rPr>
                    <w:t>减振</w:t>
                  </w:r>
                  <w:r>
                    <w:rPr>
                      <w:rFonts w:hint="eastAsia"/>
                      <w:color w:val="auto"/>
                      <w:szCs w:val="21"/>
                    </w:rPr>
                    <w:t>基础，尽量采用重机座——把设备直接安装在混凝土机座块上，然后在混凝土块与地面之间安放隔振材料，隔振材料应选择阻尼较大的材料，进行柔性联接，以减小其振动影响；④加强设备的维护，确保设备处于良好的运转状态，杜绝因设备不正常运转时产生的高噪声现象；⑤合理安排生产时间，仅白天进行生产，夜间不生产。企业在夜间22:00-次日6:00不得进行生产以及运输活动。</w:t>
                  </w:r>
                </w:p>
              </w:tc>
              <w:tc>
                <w:tcPr>
                  <w:tcW w:w="796" w:type="dxa"/>
                  <w:noWrap w:val="0"/>
                  <w:vAlign w:val="center"/>
                </w:tcPr>
                <w:p w14:paraId="5534247E">
                  <w:pPr>
                    <w:spacing w:line="240" w:lineRule="exact"/>
                    <w:jc w:val="center"/>
                    <w:rPr>
                      <w:color w:val="auto"/>
                      <w:szCs w:val="21"/>
                    </w:rPr>
                  </w:pPr>
                  <w:r>
                    <w:rPr>
                      <w:rFonts w:hint="eastAsia"/>
                      <w:color w:val="auto"/>
                      <w:szCs w:val="21"/>
                    </w:rPr>
                    <w:t>5.0</w:t>
                  </w:r>
                </w:p>
              </w:tc>
            </w:tr>
            <w:tr w14:paraId="040FDA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90" w:hRule="atLeast"/>
                <w:jc w:val="center"/>
              </w:trPr>
              <w:tc>
                <w:tcPr>
                  <w:tcW w:w="714" w:type="dxa"/>
                  <w:gridSpan w:val="2"/>
                  <w:noWrap w:val="0"/>
                  <w:vAlign w:val="center"/>
                </w:tcPr>
                <w:p w14:paraId="622E295C">
                  <w:pPr>
                    <w:spacing w:line="240" w:lineRule="exact"/>
                    <w:jc w:val="center"/>
                    <w:rPr>
                      <w:b/>
                      <w:color w:val="auto"/>
                      <w:szCs w:val="21"/>
                    </w:rPr>
                  </w:pPr>
                  <w:r>
                    <w:rPr>
                      <w:b/>
                      <w:color w:val="auto"/>
                      <w:szCs w:val="21"/>
                    </w:rPr>
                    <w:t>环境风险及管理</w:t>
                  </w:r>
                </w:p>
              </w:tc>
              <w:tc>
                <w:tcPr>
                  <w:tcW w:w="1390" w:type="dxa"/>
                  <w:noWrap w:val="0"/>
                  <w:vAlign w:val="center"/>
                </w:tcPr>
                <w:p w14:paraId="4AC19527">
                  <w:pPr>
                    <w:spacing w:line="240" w:lineRule="exact"/>
                    <w:jc w:val="center"/>
                    <w:rPr>
                      <w:color w:val="auto"/>
                      <w:szCs w:val="21"/>
                    </w:rPr>
                  </w:pPr>
                  <w:r>
                    <w:rPr>
                      <w:color w:val="auto"/>
                      <w:szCs w:val="21"/>
                    </w:rPr>
                    <w:t>/</w:t>
                  </w:r>
                </w:p>
              </w:tc>
              <w:tc>
                <w:tcPr>
                  <w:tcW w:w="5125" w:type="dxa"/>
                  <w:noWrap w:val="0"/>
                  <w:vAlign w:val="center"/>
                </w:tcPr>
                <w:p w14:paraId="522E6D27">
                  <w:pPr>
                    <w:spacing w:line="240" w:lineRule="exact"/>
                    <w:jc w:val="center"/>
                    <w:rPr>
                      <w:color w:val="auto"/>
                      <w:szCs w:val="21"/>
                    </w:rPr>
                  </w:pPr>
                  <w:r>
                    <w:rPr>
                      <w:rFonts w:hint="eastAsia"/>
                      <w:color w:val="auto"/>
                      <w:szCs w:val="21"/>
                    </w:rPr>
                    <w:t>危废暂存间做好地面防渗、防漏措施，设置防渗围堰，围堰内设置备用收容设施和防范物质；沥青罐区、导热油储存区分区设置20cm高事故围堰以及初期雨水切换阀；加强运输风险管理，设置警示标识，配备相应数量灭火器，开展员工安全培训；加强污染防治设施管理和维护；严格执行环评及相关法律法规要求，制定环境风险应急预案。</w:t>
                  </w:r>
                </w:p>
              </w:tc>
              <w:tc>
                <w:tcPr>
                  <w:tcW w:w="796" w:type="dxa"/>
                  <w:noWrap w:val="0"/>
                  <w:vAlign w:val="center"/>
                </w:tcPr>
                <w:p w14:paraId="4E08D814">
                  <w:pPr>
                    <w:spacing w:line="240" w:lineRule="exact"/>
                    <w:jc w:val="center"/>
                    <w:rPr>
                      <w:color w:val="auto"/>
                      <w:szCs w:val="21"/>
                    </w:rPr>
                  </w:pPr>
                  <w:r>
                    <w:rPr>
                      <w:rFonts w:hint="eastAsia"/>
                      <w:color w:val="auto"/>
                      <w:szCs w:val="21"/>
                      <w:lang w:val="en-US" w:eastAsia="zh-CN"/>
                    </w:rPr>
                    <w:t>5</w:t>
                  </w:r>
                  <w:r>
                    <w:rPr>
                      <w:color w:val="auto"/>
                      <w:szCs w:val="21"/>
                    </w:rPr>
                    <w:t>.0</w:t>
                  </w:r>
                </w:p>
              </w:tc>
            </w:tr>
            <w:tr w14:paraId="4F7D78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90" w:hRule="atLeast"/>
                <w:jc w:val="center"/>
              </w:trPr>
              <w:tc>
                <w:tcPr>
                  <w:tcW w:w="714" w:type="dxa"/>
                  <w:gridSpan w:val="2"/>
                  <w:noWrap w:val="0"/>
                  <w:vAlign w:val="center"/>
                </w:tcPr>
                <w:p w14:paraId="05C52935">
                  <w:pPr>
                    <w:spacing w:line="240" w:lineRule="exact"/>
                    <w:jc w:val="center"/>
                    <w:rPr>
                      <w:b/>
                      <w:color w:val="auto"/>
                      <w:szCs w:val="21"/>
                    </w:rPr>
                  </w:pPr>
                  <w:r>
                    <w:rPr>
                      <w:b/>
                      <w:color w:val="auto"/>
                      <w:szCs w:val="21"/>
                    </w:rPr>
                    <w:t>合计</w:t>
                  </w:r>
                </w:p>
              </w:tc>
              <w:tc>
                <w:tcPr>
                  <w:tcW w:w="1390" w:type="dxa"/>
                  <w:noWrap w:val="0"/>
                  <w:vAlign w:val="center"/>
                </w:tcPr>
                <w:p w14:paraId="2168C62F">
                  <w:pPr>
                    <w:spacing w:line="240" w:lineRule="exact"/>
                    <w:jc w:val="center"/>
                    <w:rPr>
                      <w:color w:val="auto"/>
                      <w:szCs w:val="21"/>
                    </w:rPr>
                  </w:pPr>
                  <w:r>
                    <w:rPr>
                      <w:color w:val="auto"/>
                      <w:szCs w:val="21"/>
                    </w:rPr>
                    <w:t>/</w:t>
                  </w:r>
                </w:p>
              </w:tc>
              <w:tc>
                <w:tcPr>
                  <w:tcW w:w="5125" w:type="dxa"/>
                  <w:noWrap w:val="0"/>
                  <w:vAlign w:val="center"/>
                </w:tcPr>
                <w:p w14:paraId="196C3039">
                  <w:pPr>
                    <w:spacing w:line="240" w:lineRule="exact"/>
                    <w:jc w:val="center"/>
                    <w:rPr>
                      <w:color w:val="auto"/>
                      <w:szCs w:val="21"/>
                    </w:rPr>
                  </w:pPr>
                  <w:r>
                    <w:rPr>
                      <w:bCs/>
                      <w:color w:val="auto"/>
                      <w:szCs w:val="21"/>
                    </w:rPr>
                    <w:t>/</w:t>
                  </w:r>
                </w:p>
              </w:tc>
              <w:tc>
                <w:tcPr>
                  <w:tcW w:w="796" w:type="dxa"/>
                  <w:noWrap w:val="0"/>
                  <w:vAlign w:val="center"/>
                </w:tcPr>
                <w:p w14:paraId="2E7F5911">
                  <w:pPr>
                    <w:spacing w:line="240" w:lineRule="exact"/>
                    <w:jc w:val="center"/>
                    <w:rPr>
                      <w:rFonts w:hint="default" w:eastAsia="宋体"/>
                      <w:color w:val="auto"/>
                      <w:szCs w:val="21"/>
                      <w:lang w:val="en-US" w:eastAsia="zh-CN"/>
                    </w:rPr>
                  </w:pPr>
                  <w:r>
                    <w:rPr>
                      <w:rFonts w:hint="eastAsia"/>
                      <w:color w:val="auto"/>
                      <w:szCs w:val="21"/>
                      <w:lang w:val="en-US" w:eastAsia="zh-CN"/>
                    </w:rPr>
                    <w:t>218.0</w:t>
                  </w:r>
                </w:p>
              </w:tc>
            </w:tr>
          </w:tbl>
          <w:p w14:paraId="1EB1AEE4">
            <w:pPr>
              <w:wordWrap w:val="0"/>
              <w:jc w:val="center"/>
              <w:rPr>
                <w:bCs/>
                <w:szCs w:val="21"/>
              </w:rPr>
            </w:pPr>
          </w:p>
          <w:p w14:paraId="4E3352D7">
            <w:pPr>
              <w:wordWrap w:val="0"/>
              <w:spacing w:line="360" w:lineRule="auto"/>
              <w:ind w:firstLine="472" w:firstLineChars="196"/>
              <w:rPr>
                <w:rFonts w:hint="eastAsia"/>
                <w:b/>
                <w:sz w:val="24"/>
              </w:rPr>
            </w:pPr>
            <w:r>
              <w:rPr>
                <w:rFonts w:hint="eastAsia"/>
                <w:b/>
                <w:sz w:val="24"/>
              </w:rPr>
              <w:t>2、排污口规范化管理</w:t>
            </w:r>
          </w:p>
          <w:p w14:paraId="6E833EB0">
            <w:pPr>
              <w:pStyle w:val="69"/>
              <w:wordWrap w:val="0"/>
              <w:adjustRightInd/>
              <w:ind w:firstLine="480" w:firstLineChars="200"/>
              <w:rPr>
                <w:rFonts w:hint="eastAsia"/>
              </w:rPr>
            </w:pPr>
            <w:r>
              <w:rPr>
                <w:rFonts w:hint="eastAsia"/>
              </w:rPr>
              <w:t>根据《环境保护图形标志－排放口（源）》（GB15562.1-1995）、生态环境部《排污口规范化整治技术要求（试行）》的要求，设置环境保护图形标志牌。并按照“便于采集样品、便于计量监测、便于日常现场监督检查”的原则，设置与之相适应的采样口。</w:t>
            </w:r>
          </w:p>
          <w:p w14:paraId="1F7BD440">
            <w:pPr>
              <w:pStyle w:val="69"/>
              <w:wordWrap w:val="0"/>
              <w:adjustRightInd/>
              <w:ind w:firstLine="480" w:firstLineChars="200"/>
              <w:rPr>
                <w:rFonts w:hint="eastAsia"/>
              </w:rPr>
            </w:pPr>
            <w:r>
              <w:rPr>
                <w:rFonts w:hint="eastAsia"/>
              </w:rPr>
              <w:t>采取以上措施，加强环境管理后，能够有效减少本项目带来的不利环境影响。</w:t>
            </w:r>
          </w:p>
          <w:p w14:paraId="0CAB22BD">
            <w:pPr>
              <w:numPr>
                <w:ilvl w:val="0"/>
                <w:numId w:val="7"/>
              </w:numPr>
              <w:wordWrap w:val="0"/>
              <w:ind w:left="0" w:firstLine="0"/>
              <w:jc w:val="center"/>
              <w:rPr>
                <w:rFonts w:hint="eastAsia"/>
                <w:b/>
                <w:bCs/>
                <w:szCs w:val="21"/>
              </w:rPr>
            </w:pPr>
            <w:r>
              <w:rPr>
                <w:rFonts w:hint="eastAsia"/>
                <w:b/>
                <w:bCs/>
                <w:szCs w:val="21"/>
              </w:rPr>
              <w:t>排污口规范化要求及环保图形标识</w:t>
            </w:r>
          </w:p>
          <w:tbl>
            <w:tblPr>
              <w:tblStyle w:val="26"/>
              <w:tblW w:w="79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2"/>
              <w:gridCol w:w="891"/>
              <w:gridCol w:w="4556"/>
              <w:gridCol w:w="1809"/>
            </w:tblGrid>
            <w:tr w14:paraId="4CB075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noWrap w:val="0"/>
                  <w:vAlign w:val="center"/>
                </w:tcPr>
                <w:p w14:paraId="1DAB72BD">
                  <w:pPr>
                    <w:pStyle w:val="69"/>
                    <w:wordWrap w:val="0"/>
                    <w:adjustRightInd/>
                    <w:spacing w:line="240" w:lineRule="exact"/>
                    <w:ind w:firstLine="0"/>
                    <w:jc w:val="center"/>
                    <w:rPr>
                      <w:b/>
                      <w:sz w:val="21"/>
                      <w:szCs w:val="21"/>
                    </w:rPr>
                  </w:pPr>
                  <w:r>
                    <w:rPr>
                      <w:rFonts w:hint="eastAsia"/>
                      <w:b/>
                      <w:sz w:val="21"/>
                      <w:szCs w:val="21"/>
                    </w:rPr>
                    <w:t>序号</w:t>
                  </w:r>
                </w:p>
              </w:tc>
              <w:tc>
                <w:tcPr>
                  <w:tcW w:w="891" w:type="dxa"/>
                  <w:noWrap w:val="0"/>
                  <w:vAlign w:val="center"/>
                </w:tcPr>
                <w:p w14:paraId="45E8210B">
                  <w:pPr>
                    <w:pStyle w:val="69"/>
                    <w:wordWrap w:val="0"/>
                    <w:adjustRightInd/>
                    <w:spacing w:line="240" w:lineRule="exact"/>
                    <w:ind w:firstLine="0"/>
                    <w:jc w:val="center"/>
                    <w:rPr>
                      <w:b/>
                      <w:sz w:val="21"/>
                      <w:szCs w:val="21"/>
                    </w:rPr>
                  </w:pPr>
                  <w:r>
                    <w:rPr>
                      <w:rFonts w:hint="eastAsia"/>
                      <w:b/>
                      <w:sz w:val="21"/>
                      <w:szCs w:val="21"/>
                    </w:rPr>
                    <w:t>项目</w:t>
                  </w:r>
                </w:p>
              </w:tc>
              <w:tc>
                <w:tcPr>
                  <w:tcW w:w="4556" w:type="dxa"/>
                  <w:noWrap w:val="0"/>
                  <w:vAlign w:val="center"/>
                </w:tcPr>
                <w:p w14:paraId="088D2839">
                  <w:pPr>
                    <w:pStyle w:val="69"/>
                    <w:wordWrap w:val="0"/>
                    <w:adjustRightInd/>
                    <w:spacing w:line="240" w:lineRule="exact"/>
                    <w:ind w:firstLine="0"/>
                    <w:jc w:val="center"/>
                    <w:rPr>
                      <w:b/>
                      <w:sz w:val="21"/>
                      <w:szCs w:val="21"/>
                    </w:rPr>
                  </w:pPr>
                  <w:r>
                    <w:rPr>
                      <w:rFonts w:hint="eastAsia"/>
                      <w:b/>
                      <w:sz w:val="21"/>
                      <w:szCs w:val="21"/>
                    </w:rPr>
                    <w:t>要求</w:t>
                  </w:r>
                </w:p>
              </w:tc>
              <w:tc>
                <w:tcPr>
                  <w:tcW w:w="1809" w:type="dxa"/>
                  <w:noWrap w:val="0"/>
                  <w:vAlign w:val="center"/>
                </w:tcPr>
                <w:p w14:paraId="1EE6C902">
                  <w:pPr>
                    <w:pStyle w:val="69"/>
                    <w:wordWrap w:val="0"/>
                    <w:adjustRightInd/>
                    <w:spacing w:line="240" w:lineRule="exact"/>
                    <w:ind w:firstLine="0"/>
                    <w:jc w:val="center"/>
                    <w:rPr>
                      <w:b/>
                      <w:sz w:val="21"/>
                      <w:szCs w:val="21"/>
                    </w:rPr>
                  </w:pPr>
                  <w:r>
                    <w:rPr>
                      <w:rFonts w:hint="eastAsia"/>
                      <w:b/>
                      <w:sz w:val="21"/>
                      <w:szCs w:val="21"/>
                    </w:rPr>
                    <w:t>环保图形标志</w:t>
                  </w:r>
                </w:p>
              </w:tc>
            </w:tr>
            <w:tr w14:paraId="4D3C95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noWrap w:val="0"/>
                  <w:vAlign w:val="center"/>
                </w:tcPr>
                <w:p w14:paraId="036F04D1">
                  <w:pPr>
                    <w:pStyle w:val="69"/>
                    <w:wordWrap w:val="0"/>
                    <w:adjustRightInd/>
                    <w:spacing w:line="240" w:lineRule="exact"/>
                    <w:ind w:firstLine="0"/>
                    <w:jc w:val="center"/>
                    <w:rPr>
                      <w:rFonts w:hint="eastAsia"/>
                      <w:bCs/>
                      <w:sz w:val="21"/>
                      <w:szCs w:val="21"/>
                    </w:rPr>
                  </w:pPr>
                  <w:r>
                    <w:rPr>
                      <w:rFonts w:hint="eastAsia"/>
                      <w:bCs/>
                      <w:sz w:val="21"/>
                      <w:szCs w:val="21"/>
                    </w:rPr>
                    <w:t>1</w:t>
                  </w:r>
                </w:p>
              </w:tc>
              <w:tc>
                <w:tcPr>
                  <w:tcW w:w="891" w:type="dxa"/>
                  <w:noWrap w:val="0"/>
                  <w:vAlign w:val="center"/>
                </w:tcPr>
                <w:p w14:paraId="596CF73D">
                  <w:pPr>
                    <w:pStyle w:val="69"/>
                    <w:wordWrap w:val="0"/>
                    <w:adjustRightInd/>
                    <w:spacing w:line="240" w:lineRule="exact"/>
                    <w:ind w:firstLine="0"/>
                    <w:jc w:val="center"/>
                    <w:rPr>
                      <w:rFonts w:hint="eastAsia"/>
                      <w:bCs/>
                      <w:sz w:val="21"/>
                      <w:szCs w:val="21"/>
                    </w:rPr>
                  </w:pPr>
                  <w:r>
                    <w:rPr>
                      <w:rFonts w:hint="eastAsia"/>
                      <w:bCs/>
                      <w:sz w:val="21"/>
                      <w:szCs w:val="21"/>
                    </w:rPr>
                    <w:t>废气</w:t>
                  </w:r>
                </w:p>
              </w:tc>
              <w:tc>
                <w:tcPr>
                  <w:tcW w:w="4556" w:type="dxa"/>
                  <w:noWrap w:val="0"/>
                  <w:vAlign w:val="center"/>
                </w:tcPr>
                <w:p w14:paraId="10453C67">
                  <w:pPr>
                    <w:pStyle w:val="69"/>
                    <w:wordWrap w:val="0"/>
                    <w:adjustRightInd/>
                    <w:spacing w:line="240" w:lineRule="exact"/>
                    <w:ind w:firstLine="0"/>
                    <w:jc w:val="center"/>
                    <w:rPr>
                      <w:bCs/>
                      <w:sz w:val="21"/>
                      <w:szCs w:val="21"/>
                    </w:rPr>
                  </w:pPr>
                  <w:r>
                    <w:rPr>
                      <w:rFonts w:hint="eastAsia"/>
                      <w:bCs/>
                      <w:sz w:val="21"/>
                      <w:szCs w:val="21"/>
                    </w:rPr>
                    <w:t>排气筒应设置便于采样、监测的采样口，采样口的设置应符合《污染源监测技术规范》要求，采样口位置无法满足“规范要求的”，其监测孔位置由当地环境监测部门确认</w:t>
                  </w:r>
                </w:p>
              </w:tc>
              <w:tc>
                <w:tcPr>
                  <w:tcW w:w="1809" w:type="dxa"/>
                  <w:noWrap w:val="0"/>
                  <w:vAlign w:val="center"/>
                </w:tcPr>
                <w:p w14:paraId="598B6B69">
                  <w:pPr>
                    <w:pStyle w:val="69"/>
                    <w:wordWrap w:val="0"/>
                    <w:adjustRightInd/>
                    <w:spacing w:line="240" w:lineRule="auto"/>
                    <w:ind w:firstLine="0"/>
                    <w:jc w:val="center"/>
                    <w:rPr>
                      <w:rFonts w:hint="eastAsia"/>
                      <w:bCs/>
                      <w:sz w:val="21"/>
                      <w:szCs w:val="21"/>
                    </w:rPr>
                  </w:pPr>
                  <w:r>
                    <w:rPr>
                      <w:rFonts w:hint="eastAsia"/>
                      <w:bCs/>
                      <w:sz w:val="21"/>
                      <w:szCs w:val="21"/>
                    </w:rPr>
                    <w:drawing>
                      <wp:inline distT="0" distB="0" distL="114300" distR="114300">
                        <wp:extent cx="1009650" cy="748665"/>
                        <wp:effectExtent l="0" t="0" r="11430" b="13335"/>
                        <wp:docPr id="238" name="图片 100" descr="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00" descr="4215"/>
                                <pic:cNvPicPr>
                                  <a:picLocks noChangeAspect="1"/>
                                </pic:cNvPicPr>
                              </pic:nvPicPr>
                              <pic:blipFill>
                                <a:blip r:embed="rId23"/>
                                <a:stretch>
                                  <a:fillRect/>
                                </a:stretch>
                              </pic:blipFill>
                              <pic:spPr>
                                <a:xfrm>
                                  <a:off x="0" y="0"/>
                                  <a:ext cx="1009650" cy="748665"/>
                                </a:xfrm>
                                <a:prstGeom prst="rect">
                                  <a:avLst/>
                                </a:prstGeom>
                                <a:noFill/>
                                <a:ln>
                                  <a:noFill/>
                                </a:ln>
                              </pic:spPr>
                            </pic:pic>
                          </a:graphicData>
                        </a:graphic>
                      </wp:inline>
                    </w:drawing>
                  </w:r>
                </w:p>
              </w:tc>
            </w:tr>
            <w:tr w14:paraId="7ECAFF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noWrap w:val="0"/>
                  <w:vAlign w:val="center"/>
                </w:tcPr>
                <w:p w14:paraId="23E36FCF">
                  <w:pPr>
                    <w:pStyle w:val="69"/>
                    <w:wordWrap w:val="0"/>
                    <w:adjustRightInd/>
                    <w:spacing w:line="240" w:lineRule="exact"/>
                    <w:ind w:firstLine="0"/>
                    <w:jc w:val="center"/>
                    <w:rPr>
                      <w:rFonts w:hint="eastAsia"/>
                      <w:bCs/>
                      <w:sz w:val="21"/>
                      <w:szCs w:val="21"/>
                    </w:rPr>
                  </w:pPr>
                  <w:r>
                    <w:rPr>
                      <w:rFonts w:hint="eastAsia"/>
                      <w:bCs/>
                      <w:sz w:val="21"/>
                      <w:szCs w:val="21"/>
                    </w:rPr>
                    <w:t>2</w:t>
                  </w:r>
                </w:p>
              </w:tc>
              <w:tc>
                <w:tcPr>
                  <w:tcW w:w="891" w:type="dxa"/>
                  <w:noWrap w:val="0"/>
                  <w:vAlign w:val="center"/>
                </w:tcPr>
                <w:p w14:paraId="78535A70">
                  <w:pPr>
                    <w:pStyle w:val="69"/>
                    <w:wordWrap w:val="0"/>
                    <w:adjustRightInd/>
                    <w:spacing w:line="240" w:lineRule="exact"/>
                    <w:ind w:firstLine="0"/>
                    <w:jc w:val="center"/>
                    <w:rPr>
                      <w:rFonts w:hint="eastAsia"/>
                      <w:bCs/>
                      <w:sz w:val="21"/>
                      <w:szCs w:val="21"/>
                    </w:rPr>
                  </w:pPr>
                  <w:r>
                    <w:rPr>
                      <w:rFonts w:hint="eastAsia"/>
                      <w:bCs/>
                      <w:sz w:val="21"/>
                      <w:szCs w:val="21"/>
                    </w:rPr>
                    <w:t>废水</w:t>
                  </w:r>
                </w:p>
              </w:tc>
              <w:tc>
                <w:tcPr>
                  <w:tcW w:w="4556" w:type="dxa"/>
                  <w:noWrap w:val="0"/>
                  <w:vAlign w:val="center"/>
                </w:tcPr>
                <w:p w14:paraId="36E3F611">
                  <w:pPr>
                    <w:pStyle w:val="69"/>
                    <w:wordWrap w:val="0"/>
                    <w:adjustRightInd/>
                    <w:spacing w:line="240" w:lineRule="exact"/>
                    <w:ind w:firstLine="0"/>
                    <w:jc w:val="center"/>
                    <w:rPr>
                      <w:bCs/>
                      <w:sz w:val="21"/>
                      <w:szCs w:val="21"/>
                    </w:rPr>
                  </w:pPr>
                  <w:r>
                    <w:rPr>
                      <w:rFonts w:hint="eastAsia"/>
                      <w:bCs/>
                      <w:sz w:val="21"/>
                      <w:szCs w:val="21"/>
                    </w:rPr>
                    <w:t>项目废水排放口设置与之相符的环境保护图形标示牌</w:t>
                  </w:r>
                </w:p>
              </w:tc>
              <w:tc>
                <w:tcPr>
                  <w:tcW w:w="1809" w:type="dxa"/>
                  <w:noWrap w:val="0"/>
                  <w:vAlign w:val="center"/>
                </w:tcPr>
                <w:p w14:paraId="3ECDF8BB">
                  <w:pPr>
                    <w:pStyle w:val="69"/>
                    <w:wordWrap w:val="0"/>
                    <w:adjustRightInd/>
                    <w:spacing w:line="240" w:lineRule="auto"/>
                    <w:ind w:firstLine="0"/>
                    <w:jc w:val="center"/>
                    <w:rPr>
                      <w:rFonts w:hint="eastAsia"/>
                      <w:bCs/>
                      <w:sz w:val="21"/>
                      <w:szCs w:val="21"/>
                    </w:rPr>
                  </w:pPr>
                  <w:r>
                    <w:rPr>
                      <w:rFonts w:hint="eastAsia"/>
                      <w:bCs/>
                      <w:sz w:val="21"/>
                      <w:szCs w:val="21"/>
                    </w:rPr>
                    <w:drawing>
                      <wp:inline distT="0" distB="0" distL="114300" distR="114300">
                        <wp:extent cx="1010285" cy="641350"/>
                        <wp:effectExtent l="0" t="0" r="10795" b="13970"/>
                        <wp:docPr id="239" name="图片 101" descr="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01" descr="459"/>
                                <pic:cNvPicPr>
                                  <a:picLocks noChangeAspect="1"/>
                                </pic:cNvPicPr>
                              </pic:nvPicPr>
                              <pic:blipFill>
                                <a:blip r:embed="rId24"/>
                                <a:stretch>
                                  <a:fillRect/>
                                </a:stretch>
                              </pic:blipFill>
                              <pic:spPr>
                                <a:xfrm>
                                  <a:off x="0" y="0"/>
                                  <a:ext cx="1010285" cy="641350"/>
                                </a:xfrm>
                                <a:prstGeom prst="rect">
                                  <a:avLst/>
                                </a:prstGeom>
                                <a:noFill/>
                                <a:ln>
                                  <a:noFill/>
                                </a:ln>
                              </pic:spPr>
                            </pic:pic>
                          </a:graphicData>
                        </a:graphic>
                      </wp:inline>
                    </w:drawing>
                  </w:r>
                </w:p>
              </w:tc>
            </w:tr>
            <w:tr w14:paraId="78DA94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noWrap w:val="0"/>
                  <w:vAlign w:val="center"/>
                </w:tcPr>
                <w:p w14:paraId="59A15F72">
                  <w:pPr>
                    <w:pStyle w:val="69"/>
                    <w:wordWrap w:val="0"/>
                    <w:adjustRightInd/>
                    <w:spacing w:line="240" w:lineRule="exact"/>
                    <w:ind w:firstLine="0"/>
                    <w:jc w:val="center"/>
                    <w:rPr>
                      <w:rFonts w:hint="eastAsia"/>
                      <w:bCs/>
                      <w:sz w:val="21"/>
                      <w:szCs w:val="21"/>
                    </w:rPr>
                  </w:pPr>
                  <w:r>
                    <w:rPr>
                      <w:rFonts w:hint="eastAsia"/>
                      <w:bCs/>
                      <w:sz w:val="21"/>
                      <w:szCs w:val="21"/>
                    </w:rPr>
                    <w:t>3</w:t>
                  </w:r>
                </w:p>
              </w:tc>
              <w:tc>
                <w:tcPr>
                  <w:tcW w:w="891" w:type="dxa"/>
                  <w:noWrap w:val="0"/>
                  <w:vAlign w:val="center"/>
                </w:tcPr>
                <w:p w14:paraId="2ECFD5CF">
                  <w:pPr>
                    <w:pStyle w:val="69"/>
                    <w:wordWrap w:val="0"/>
                    <w:adjustRightInd/>
                    <w:spacing w:line="240" w:lineRule="exact"/>
                    <w:ind w:firstLine="0"/>
                    <w:jc w:val="center"/>
                    <w:rPr>
                      <w:rFonts w:hint="eastAsia"/>
                      <w:bCs/>
                      <w:sz w:val="21"/>
                      <w:szCs w:val="21"/>
                    </w:rPr>
                  </w:pPr>
                  <w:r>
                    <w:rPr>
                      <w:rFonts w:hint="eastAsia"/>
                      <w:bCs/>
                      <w:sz w:val="21"/>
                      <w:szCs w:val="21"/>
                    </w:rPr>
                    <w:t>噪声</w:t>
                  </w:r>
                </w:p>
              </w:tc>
              <w:tc>
                <w:tcPr>
                  <w:tcW w:w="4556" w:type="dxa"/>
                  <w:noWrap w:val="0"/>
                  <w:vAlign w:val="center"/>
                </w:tcPr>
                <w:p w14:paraId="2581B4D8">
                  <w:pPr>
                    <w:pStyle w:val="69"/>
                    <w:wordWrap w:val="0"/>
                    <w:adjustRightInd/>
                    <w:spacing w:line="240" w:lineRule="exact"/>
                    <w:ind w:firstLine="0"/>
                    <w:jc w:val="center"/>
                    <w:rPr>
                      <w:bCs/>
                      <w:sz w:val="21"/>
                      <w:szCs w:val="21"/>
                    </w:rPr>
                  </w:pPr>
                  <w:r>
                    <w:rPr>
                      <w:rFonts w:hint="eastAsia"/>
                      <w:bCs/>
                      <w:sz w:val="21"/>
                      <w:szCs w:val="21"/>
                    </w:rPr>
                    <w:t>应按照《工业企业厂界噪声测量方法》（GB12349）的规定，设置环境噪声监测点，并在该处附近醒目位置设置与之相符的环境保护图形标示牌</w:t>
                  </w:r>
                </w:p>
              </w:tc>
              <w:tc>
                <w:tcPr>
                  <w:tcW w:w="1809" w:type="dxa"/>
                  <w:noWrap w:val="0"/>
                  <w:vAlign w:val="center"/>
                </w:tcPr>
                <w:p w14:paraId="12451393">
                  <w:pPr>
                    <w:pStyle w:val="69"/>
                    <w:wordWrap w:val="0"/>
                    <w:adjustRightInd/>
                    <w:spacing w:line="240" w:lineRule="auto"/>
                    <w:ind w:firstLine="0"/>
                    <w:jc w:val="center"/>
                    <w:rPr>
                      <w:rFonts w:hint="eastAsia"/>
                      <w:bCs/>
                      <w:sz w:val="21"/>
                      <w:szCs w:val="21"/>
                    </w:rPr>
                  </w:pPr>
                  <w:r>
                    <w:rPr>
                      <w:rFonts w:hint="eastAsia"/>
                      <w:bCs/>
                      <w:sz w:val="21"/>
                      <w:szCs w:val="21"/>
                    </w:rPr>
                    <w:drawing>
                      <wp:inline distT="0" distB="0" distL="114300" distR="114300">
                        <wp:extent cx="1009650" cy="777875"/>
                        <wp:effectExtent l="0" t="0" r="11430" b="14605"/>
                        <wp:docPr id="240" name="图片 102" descr="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02" descr="7895"/>
                                <pic:cNvPicPr>
                                  <a:picLocks noChangeAspect="1"/>
                                </pic:cNvPicPr>
                              </pic:nvPicPr>
                              <pic:blipFill>
                                <a:blip r:embed="rId25"/>
                                <a:stretch>
                                  <a:fillRect/>
                                </a:stretch>
                              </pic:blipFill>
                              <pic:spPr>
                                <a:xfrm>
                                  <a:off x="0" y="0"/>
                                  <a:ext cx="1009650" cy="777875"/>
                                </a:xfrm>
                                <a:prstGeom prst="rect">
                                  <a:avLst/>
                                </a:prstGeom>
                                <a:noFill/>
                                <a:ln>
                                  <a:noFill/>
                                </a:ln>
                              </pic:spPr>
                            </pic:pic>
                          </a:graphicData>
                        </a:graphic>
                      </wp:inline>
                    </w:drawing>
                  </w:r>
                </w:p>
              </w:tc>
            </w:tr>
            <w:tr w14:paraId="65D45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restart"/>
                  <w:noWrap w:val="0"/>
                  <w:vAlign w:val="center"/>
                </w:tcPr>
                <w:p w14:paraId="4BBD3A4C">
                  <w:pPr>
                    <w:pStyle w:val="69"/>
                    <w:wordWrap w:val="0"/>
                    <w:adjustRightInd/>
                    <w:spacing w:line="240" w:lineRule="exact"/>
                    <w:ind w:firstLine="0"/>
                    <w:jc w:val="center"/>
                    <w:rPr>
                      <w:rFonts w:hint="eastAsia"/>
                      <w:bCs/>
                      <w:sz w:val="21"/>
                      <w:szCs w:val="21"/>
                    </w:rPr>
                  </w:pPr>
                  <w:r>
                    <w:rPr>
                      <w:rFonts w:hint="eastAsia"/>
                      <w:bCs/>
                      <w:sz w:val="21"/>
                      <w:szCs w:val="21"/>
                    </w:rPr>
                    <w:t>4</w:t>
                  </w:r>
                </w:p>
              </w:tc>
              <w:tc>
                <w:tcPr>
                  <w:tcW w:w="891" w:type="dxa"/>
                  <w:vMerge w:val="restart"/>
                  <w:noWrap w:val="0"/>
                  <w:vAlign w:val="center"/>
                </w:tcPr>
                <w:p w14:paraId="571075FF">
                  <w:pPr>
                    <w:widowControl/>
                    <w:wordWrap w:val="0"/>
                    <w:spacing w:line="240" w:lineRule="exact"/>
                    <w:jc w:val="center"/>
                    <w:rPr>
                      <w:rFonts w:hint="eastAsia"/>
                      <w:bCs/>
                      <w:kern w:val="0"/>
                      <w:szCs w:val="21"/>
                    </w:rPr>
                  </w:pPr>
                  <w:r>
                    <w:rPr>
                      <w:rFonts w:hint="eastAsia"/>
                      <w:bCs/>
                      <w:kern w:val="0"/>
                      <w:szCs w:val="21"/>
                    </w:rPr>
                    <w:t>固体废物</w:t>
                  </w:r>
                </w:p>
              </w:tc>
              <w:tc>
                <w:tcPr>
                  <w:tcW w:w="4556" w:type="dxa"/>
                  <w:noWrap w:val="0"/>
                  <w:vAlign w:val="center"/>
                </w:tcPr>
                <w:p w14:paraId="65FC88F4">
                  <w:pPr>
                    <w:widowControl/>
                    <w:wordWrap w:val="0"/>
                    <w:spacing w:line="240" w:lineRule="exact"/>
                    <w:jc w:val="center"/>
                    <w:rPr>
                      <w:bCs/>
                      <w:kern w:val="0"/>
                      <w:szCs w:val="21"/>
                    </w:rPr>
                  </w:pPr>
                  <w:r>
                    <w:rPr>
                      <w:rFonts w:hint="eastAsia"/>
                      <w:bCs/>
                      <w:kern w:val="0"/>
                      <w:szCs w:val="21"/>
                    </w:rPr>
                    <w:t>项目一般固体废物应设置专用储存、处置场所。固体废物贮存必须规范化，并设置与之相符的环境保护图形标示牌</w:t>
                  </w:r>
                </w:p>
              </w:tc>
              <w:tc>
                <w:tcPr>
                  <w:tcW w:w="1809" w:type="dxa"/>
                  <w:noWrap w:val="0"/>
                  <w:vAlign w:val="center"/>
                </w:tcPr>
                <w:p w14:paraId="6778E40D">
                  <w:pPr>
                    <w:widowControl/>
                    <w:wordWrap w:val="0"/>
                    <w:jc w:val="center"/>
                    <w:rPr>
                      <w:rFonts w:hint="eastAsia"/>
                      <w:bCs/>
                      <w:kern w:val="0"/>
                      <w:szCs w:val="21"/>
                    </w:rPr>
                  </w:pPr>
                  <w:r>
                    <w:rPr>
                      <w:rFonts w:hint="eastAsia"/>
                      <w:bCs/>
                      <w:kern w:val="0"/>
                      <w:szCs w:val="21"/>
                    </w:rPr>
                    <w:drawing>
                      <wp:inline distT="0" distB="0" distL="114300" distR="114300">
                        <wp:extent cx="1011555" cy="627380"/>
                        <wp:effectExtent l="0" t="0" r="9525" b="12700"/>
                        <wp:docPr id="241" name="图片 103" descr="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03" descr="1235"/>
                                <pic:cNvPicPr>
                                  <a:picLocks noChangeAspect="1"/>
                                </pic:cNvPicPr>
                              </pic:nvPicPr>
                              <pic:blipFill>
                                <a:blip r:embed="rId26"/>
                                <a:stretch>
                                  <a:fillRect/>
                                </a:stretch>
                              </pic:blipFill>
                              <pic:spPr>
                                <a:xfrm>
                                  <a:off x="0" y="0"/>
                                  <a:ext cx="1011555" cy="627380"/>
                                </a:xfrm>
                                <a:prstGeom prst="rect">
                                  <a:avLst/>
                                </a:prstGeom>
                                <a:noFill/>
                                <a:ln>
                                  <a:noFill/>
                                </a:ln>
                              </pic:spPr>
                            </pic:pic>
                          </a:graphicData>
                        </a:graphic>
                      </wp:inline>
                    </w:drawing>
                  </w:r>
                </w:p>
              </w:tc>
            </w:tr>
            <w:tr w14:paraId="46E407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702" w:type="dxa"/>
                  <w:vMerge w:val="continue"/>
                  <w:noWrap w:val="0"/>
                  <w:vAlign w:val="center"/>
                </w:tcPr>
                <w:p w14:paraId="3D09B217">
                  <w:pPr>
                    <w:pStyle w:val="69"/>
                    <w:wordWrap w:val="0"/>
                    <w:adjustRightInd/>
                    <w:spacing w:line="240" w:lineRule="exact"/>
                    <w:ind w:firstLine="0"/>
                    <w:jc w:val="center"/>
                    <w:rPr>
                      <w:bCs/>
                      <w:sz w:val="21"/>
                      <w:szCs w:val="21"/>
                    </w:rPr>
                  </w:pPr>
                </w:p>
              </w:tc>
              <w:tc>
                <w:tcPr>
                  <w:tcW w:w="891" w:type="dxa"/>
                  <w:vMerge w:val="continue"/>
                  <w:noWrap w:val="0"/>
                  <w:vAlign w:val="center"/>
                </w:tcPr>
                <w:p w14:paraId="7F8BB904">
                  <w:pPr>
                    <w:widowControl/>
                    <w:wordWrap w:val="0"/>
                    <w:spacing w:line="240" w:lineRule="exact"/>
                    <w:jc w:val="center"/>
                    <w:rPr>
                      <w:bCs/>
                      <w:kern w:val="0"/>
                      <w:szCs w:val="21"/>
                    </w:rPr>
                  </w:pPr>
                </w:p>
              </w:tc>
              <w:tc>
                <w:tcPr>
                  <w:tcW w:w="4556" w:type="dxa"/>
                  <w:noWrap w:val="0"/>
                  <w:vAlign w:val="center"/>
                </w:tcPr>
                <w:p w14:paraId="601933D5">
                  <w:pPr>
                    <w:widowControl/>
                    <w:wordWrap w:val="0"/>
                    <w:spacing w:line="240" w:lineRule="exact"/>
                    <w:jc w:val="center"/>
                    <w:rPr>
                      <w:rFonts w:hint="eastAsia"/>
                      <w:bCs/>
                      <w:kern w:val="0"/>
                      <w:szCs w:val="21"/>
                    </w:rPr>
                  </w:pPr>
                  <w:r>
                    <w:rPr>
                      <w:rFonts w:hint="eastAsia"/>
                      <w:bCs/>
                      <w:kern w:val="0"/>
                      <w:szCs w:val="21"/>
                    </w:rPr>
                    <w:t>项目危险废物应设置专用储存、处置场所。危险废物贮存必须规范化，并设置与之相符的环境保护图形标示牌</w:t>
                  </w:r>
                </w:p>
              </w:tc>
              <w:tc>
                <w:tcPr>
                  <w:tcW w:w="1809" w:type="dxa"/>
                  <w:noWrap w:val="0"/>
                  <w:vAlign w:val="center"/>
                </w:tcPr>
                <w:p w14:paraId="08B448AC">
                  <w:pPr>
                    <w:widowControl/>
                    <w:wordWrap w:val="0"/>
                    <w:jc w:val="center"/>
                    <w:rPr>
                      <w:rFonts w:hint="eastAsia" w:eastAsia="宋体"/>
                      <w:bCs/>
                      <w:kern w:val="0"/>
                      <w:szCs w:val="21"/>
                      <w:lang w:eastAsia="zh-CN"/>
                    </w:rPr>
                  </w:pPr>
                  <w:r>
                    <w:rPr>
                      <w:rFonts w:hint="eastAsia" w:eastAsia="宋体"/>
                      <w:bCs/>
                      <w:kern w:val="0"/>
                      <w:szCs w:val="21"/>
                      <w:lang w:eastAsia="zh-CN"/>
                    </w:rPr>
                    <w:drawing>
                      <wp:inline distT="0" distB="0" distL="114300" distR="114300">
                        <wp:extent cx="1009650" cy="634365"/>
                        <wp:effectExtent l="0" t="0" r="11430" b="5715"/>
                        <wp:docPr id="242" name="图片 37" descr="微信图片_2023102323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37" descr="微信图片_20231023233046"/>
                                <pic:cNvPicPr>
                                  <a:picLocks noChangeAspect="1"/>
                                </pic:cNvPicPr>
                              </pic:nvPicPr>
                              <pic:blipFill>
                                <a:blip r:embed="rId27"/>
                                <a:stretch>
                                  <a:fillRect/>
                                </a:stretch>
                              </pic:blipFill>
                              <pic:spPr>
                                <a:xfrm>
                                  <a:off x="0" y="0"/>
                                  <a:ext cx="1009650" cy="634365"/>
                                </a:xfrm>
                                <a:prstGeom prst="rect">
                                  <a:avLst/>
                                </a:prstGeom>
                                <a:noFill/>
                                <a:ln>
                                  <a:noFill/>
                                </a:ln>
                              </pic:spPr>
                            </pic:pic>
                          </a:graphicData>
                        </a:graphic>
                      </wp:inline>
                    </w:drawing>
                  </w:r>
                </w:p>
              </w:tc>
            </w:tr>
          </w:tbl>
          <w:p w14:paraId="39328984">
            <w:pPr>
              <w:wordWrap w:val="0"/>
              <w:autoSpaceDE w:val="0"/>
              <w:autoSpaceDN w:val="0"/>
              <w:adjustRightInd w:val="0"/>
              <w:rPr>
                <w:kern w:val="0"/>
                <w:sz w:val="24"/>
              </w:rPr>
            </w:pPr>
          </w:p>
        </w:tc>
      </w:tr>
    </w:tbl>
    <w:p w14:paraId="096DC5AD">
      <w:pPr>
        <w:pStyle w:val="22"/>
        <w:wordWrap w:val="0"/>
        <w:spacing w:before="0" w:beforeAutospacing="0" w:after="0" w:afterAutospacing="0"/>
        <w:jc w:val="center"/>
        <w:outlineLvl w:val="0"/>
        <w:rPr>
          <w:rFonts w:ascii="Times New Roman" w:hAnsi="Times New Roman" w:eastAsia="黑体"/>
          <w:snapToGrid w:val="0"/>
          <w:sz w:val="30"/>
          <w:szCs w:val="30"/>
        </w:rPr>
      </w:pPr>
      <w:r>
        <w:rPr>
          <w:rFonts w:ascii="Times New Roman" w:hAnsi="Times New Roman"/>
          <w:snapToGrid w:val="0"/>
        </w:rPr>
        <w:br w:type="page"/>
      </w:r>
      <w:r>
        <w:rPr>
          <w:rFonts w:ascii="Times New Roman" w:hAnsi="Times New Roman" w:eastAsia="黑体"/>
          <w:snapToGrid w:val="0"/>
          <w:sz w:val="30"/>
          <w:szCs w:val="30"/>
        </w:rPr>
        <w:t>六、结论</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46492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0AC6786E">
            <w:pPr>
              <w:wordWrap w:val="0"/>
              <w:autoSpaceDE w:val="0"/>
              <w:autoSpaceDN w:val="0"/>
              <w:adjustRightInd w:val="0"/>
              <w:spacing w:line="360" w:lineRule="auto"/>
              <w:ind w:firstLine="480" w:firstLineChars="200"/>
              <w:rPr>
                <w:sz w:val="24"/>
              </w:rPr>
            </w:pPr>
            <w:r>
              <w:rPr>
                <w:rFonts w:hint="eastAsia"/>
                <w:sz w:val="24"/>
              </w:rPr>
              <w:t>本项目的建设符合国家现行产业政策和当地规划，符合生态环境分区管控要求，用地符合规划，选址无明显环境制约因素，总图布置合理。建设单位严格落实本环评提出的污染防治措施及风险防范措施后可实现废水、废气、噪声的达标排放，固废的合理处置，环境风险在可接受范围。因此，从环境保护角度而言，本项目在四川省达州市通川区东岳镇有力村九组建设是可行的。</w:t>
            </w:r>
          </w:p>
        </w:tc>
      </w:tr>
    </w:tbl>
    <w:p w14:paraId="51D0F8DD">
      <w:pPr>
        <w:pStyle w:val="22"/>
        <w:wordWrap w:val="0"/>
        <w:adjustRightInd w:val="0"/>
        <w:snapToGrid w:val="0"/>
        <w:spacing w:before="0" w:beforeAutospacing="0" w:after="0" w:afterAutospacing="0"/>
        <w:outlineLvl w:val="0"/>
        <w:rPr>
          <w:rFonts w:ascii="Times New Roman" w:hAnsi="Times New Roman" w:eastAsia="黑体"/>
        </w:rPr>
        <w:sectPr>
          <w:footerReference r:id="rId5"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34EB4F6B">
      <w:pPr>
        <w:pStyle w:val="22"/>
        <w:wordWrap w:val="0"/>
        <w:spacing w:before="0" w:beforeAutospacing="0" w:after="0" w:afterAutospacing="0"/>
        <w:jc w:val="center"/>
        <w:outlineLvl w:val="0"/>
        <w:rPr>
          <w:rFonts w:ascii="Times New Roman" w:hAnsi="Times New Roman" w:eastAsia="方正小标宋_GBK"/>
          <w:snapToGrid w:val="0"/>
          <w:sz w:val="38"/>
          <w:szCs w:val="38"/>
          <w:highlight w:val="none"/>
        </w:rPr>
      </w:pPr>
      <w:r>
        <w:rPr>
          <w:rFonts w:ascii="Times New Roman" w:hAnsi="Times New Roman" w:eastAsia="方正小标宋_GBK"/>
          <w:snapToGrid w:val="0"/>
          <w:sz w:val="38"/>
          <w:szCs w:val="38"/>
          <w:highlight w:val="none"/>
        </w:rPr>
        <w:t>建设项目污染物排放量汇总表</w:t>
      </w:r>
    </w:p>
    <w:tbl>
      <w:tblPr>
        <w:tblStyle w:val="26"/>
        <w:tblW w:w="1396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77"/>
        <w:gridCol w:w="2164"/>
        <w:gridCol w:w="1596"/>
        <w:gridCol w:w="1521"/>
        <w:gridCol w:w="1522"/>
        <w:gridCol w:w="1553"/>
        <w:gridCol w:w="1479"/>
        <w:gridCol w:w="1757"/>
        <w:gridCol w:w="1695"/>
      </w:tblGrid>
      <w:tr w14:paraId="50DA5E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4" w:hRule="atLeast"/>
          <w:jc w:val="center"/>
        </w:trPr>
        <w:tc>
          <w:tcPr>
            <w:tcW w:w="677" w:type="dxa"/>
            <w:noWrap w:val="0"/>
            <w:vAlign w:val="center"/>
          </w:tcPr>
          <w:p w14:paraId="03C4E19B">
            <w:pPr>
              <w:widowControl/>
              <w:spacing w:line="240" w:lineRule="exact"/>
              <w:jc w:val="center"/>
              <w:rPr>
                <w:kern w:val="0"/>
                <w:szCs w:val="21"/>
              </w:rPr>
            </w:pPr>
            <w:r>
              <w:rPr>
                <w:kern w:val="0"/>
                <w:szCs w:val="21"/>
              </w:rPr>
              <w:t>项目</w:t>
            </w:r>
          </w:p>
          <w:p w14:paraId="0D5EC6C9">
            <w:pPr>
              <w:widowControl/>
              <w:spacing w:line="240" w:lineRule="exact"/>
              <w:jc w:val="center"/>
              <w:rPr>
                <w:kern w:val="0"/>
                <w:szCs w:val="21"/>
              </w:rPr>
            </w:pPr>
            <w:r>
              <w:rPr>
                <w:kern w:val="0"/>
                <w:szCs w:val="21"/>
              </w:rPr>
              <w:t>分类</w:t>
            </w:r>
          </w:p>
        </w:tc>
        <w:tc>
          <w:tcPr>
            <w:tcW w:w="2164" w:type="dxa"/>
            <w:noWrap w:val="0"/>
            <w:vAlign w:val="center"/>
          </w:tcPr>
          <w:p w14:paraId="37E8E6BC">
            <w:pPr>
              <w:widowControl/>
              <w:spacing w:line="240" w:lineRule="exact"/>
              <w:jc w:val="center"/>
              <w:rPr>
                <w:kern w:val="0"/>
                <w:szCs w:val="21"/>
              </w:rPr>
            </w:pPr>
            <w:r>
              <w:rPr>
                <w:kern w:val="0"/>
                <w:szCs w:val="21"/>
              </w:rPr>
              <w:t>污染物名称</w:t>
            </w:r>
          </w:p>
        </w:tc>
        <w:tc>
          <w:tcPr>
            <w:tcW w:w="1596" w:type="dxa"/>
            <w:noWrap w:val="0"/>
            <w:vAlign w:val="center"/>
          </w:tcPr>
          <w:p w14:paraId="5A932EA3">
            <w:pPr>
              <w:widowControl/>
              <w:spacing w:line="240" w:lineRule="exact"/>
              <w:jc w:val="center"/>
              <w:rPr>
                <w:kern w:val="0"/>
                <w:szCs w:val="21"/>
              </w:rPr>
            </w:pPr>
            <w:r>
              <w:rPr>
                <w:kern w:val="0"/>
                <w:szCs w:val="21"/>
              </w:rPr>
              <w:t>现有工程排放量（固体废物产生量）①</w:t>
            </w:r>
          </w:p>
        </w:tc>
        <w:tc>
          <w:tcPr>
            <w:tcW w:w="1521" w:type="dxa"/>
            <w:noWrap w:val="0"/>
            <w:vAlign w:val="center"/>
          </w:tcPr>
          <w:p w14:paraId="2836EEB0">
            <w:pPr>
              <w:widowControl/>
              <w:spacing w:line="240" w:lineRule="exact"/>
              <w:jc w:val="center"/>
              <w:rPr>
                <w:kern w:val="0"/>
                <w:szCs w:val="21"/>
              </w:rPr>
            </w:pPr>
            <w:r>
              <w:rPr>
                <w:kern w:val="0"/>
                <w:szCs w:val="21"/>
              </w:rPr>
              <w:t>现有工程许可排放量②</w:t>
            </w:r>
          </w:p>
        </w:tc>
        <w:tc>
          <w:tcPr>
            <w:tcW w:w="1522" w:type="dxa"/>
            <w:noWrap w:val="0"/>
            <w:vAlign w:val="center"/>
          </w:tcPr>
          <w:p w14:paraId="1E8F735E">
            <w:pPr>
              <w:widowControl/>
              <w:spacing w:line="240" w:lineRule="exact"/>
              <w:jc w:val="center"/>
              <w:rPr>
                <w:kern w:val="0"/>
                <w:szCs w:val="21"/>
              </w:rPr>
            </w:pPr>
            <w:r>
              <w:rPr>
                <w:kern w:val="0"/>
                <w:szCs w:val="21"/>
              </w:rPr>
              <w:t>在建工程排放量（固体废物产生量）③</w:t>
            </w:r>
          </w:p>
        </w:tc>
        <w:tc>
          <w:tcPr>
            <w:tcW w:w="1553" w:type="dxa"/>
            <w:noWrap w:val="0"/>
            <w:vAlign w:val="center"/>
          </w:tcPr>
          <w:p w14:paraId="502CEA08">
            <w:pPr>
              <w:widowControl/>
              <w:spacing w:line="240" w:lineRule="exact"/>
              <w:jc w:val="center"/>
              <w:rPr>
                <w:kern w:val="0"/>
                <w:szCs w:val="21"/>
              </w:rPr>
            </w:pPr>
            <w:r>
              <w:rPr>
                <w:kern w:val="0"/>
                <w:szCs w:val="21"/>
              </w:rPr>
              <w:t>本项目排放量（固体废物产生量）④</w:t>
            </w:r>
          </w:p>
        </w:tc>
        <w:tc>
          <w:tcPr>
            <w:tcW w:w="1479" w:type="dxa"/>
            <w:noWrap w:val="0"/>
            <w:vAlign w:val="center"/>
          </w:tcPr>
          <w:p w14:paraId="41EA514B">
            <w:pPr>
              <w:widowControl/>
              <w:spacing w:line="240" w:lineRule="exact"/>
              <w:jc w:val="center"/>
              <w:rPr>
                <w:kern w:val="0"/>
                <w:szCs w:val="21"/>
              </w:rPr>
            </w:pPr>
            <w:r>
              <w:rPr>
                <w:kern w:val="0"/>
                <w:szCs w:val="21"/>
              </w:rPr>
              <w:t>以新带老削减量（新建项目不填）⑤</w:t>
            </w:r>
          </w:p>
        </w:tc>
        <w:tc>
          <w:tcPr>
            <w:tcW w:w="1757" w:type="dxa"/>
            <w:noWrap w:val="0"/>
            <w:vAlign w:val="center"/>
          </w:tcPr>
          <w:p w14:paraId="4FA3E3B0">
            <w:pPr>
              <w:widowControl/>
              <w:spacing w:line="240" w:lineRule="exact"/>
              <w:jc w:val="center"/>
              <w:rPr>
                <w:kern w:val="0"/>
                <w:szCs w:val="21"/>
              </w:rPr>
            </w:pPr>
            <w:r>
              <w:rPr>
                <w:kern w:val="0"/>
                <w:szCs w:val="21"/>
              </w:rPr>
              <w:t>本项目建成后全厂排放量（固体废物产生量）⑥</w:t>
            </w:r>
          </w:p>
        </w:tc>
        <w:tc>
          <w:tcPr>
            <w:tcW w:w="1695" w:type="dxa"/>
            <w:noWrap w:val="0"/>
            <w:vAlign w:val="center"/>
          </w:tcPr>
          <w:p w14:paraId="4B224929">
            <w:pPr>
              <w:widowControl/>
              <w:spacing w:line="240" w:lineRule="exact"/>
              <w:jc w:val="center"/>
              <w:rPr>
                <w:kern w:val="0"/>
                <w:szCs w:val="21"/>
              </w:rPr>
            </w:pPr>
            <w:r>
              <w:rPr>
                <w:kern w:val="0"/>
                <w:szCs w:val="21"/>
              </w:rPr>
              <w:t>变化量</w:t>
            </w:r>
          </w:p>
          <w:p w14:paraId="4C77A816">
            <w:pPr>
              <w:spacing w:line="240" w:lineRule="exact"/>
              <w:jc w:val="center"/>
              <w:rPr>
                <w:kern w:val="0"/>
                <w:szCs w:val="21"/>
              </w:rPr>
            </w:pPr>
            <w:r>
              <w:rPr>
                <w:kern w:val="0"/>
                <w:szCs w:val="21"/>
              </w:rPr>
              <w:t>⑦</w:t>
            </w:r>
          </w:p>
        </w:tc>
      </w:tr>
      <w:tr w14:paraId="444DE3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77" w:type="dxa"/>
            <w:vMerge w:val="restart"/>
            <w:noWrap w:val="0"/>
            <w:vAlign w:val="center"/>
          </w:tcPr>
          <w:p w14:paraId="46BE8DAB">
            <w:pPr>
              <w:widowControl/>
              <w:spacing w:line="240" w:lineRule="exact"/>
              <w:jc w:val="center"/>
              <w:rPr>
                <w:rFonts w:hint="eastAsia"/>
                <w:kern w:val="0"/>
                <w:szCs w:val="21"/>
              </w:rPr>
            </w:pPr>
            <w:r>
              <w:rPr>
                <w:rFonts w:hint="eastAsia"/>
                <w:kern w:val="0"/>
                <w:szCs w:val="21"/>
              </w:rPr>
              <w:t>废气</w:t>
            </w:r>
          </w:p>
        </w:tc>
        <w:tc>
          <w:tcPr>
            <w:tcW w:w="2164" w:type="dxa"/>
            <w:noWrap w:val="0"/>
            <w:vAlign w:val="center"/>
          </w:tcPr>
          <w:p w14:paraId="44EDCC9A">
            <w:pPr>
              <w:pStyle w:val="17"/>
              <w:spacing w:after="0" w:line="240" w:lineRule="exact"/>
              <w:ind w:left="0" w:leftChars="0"/>
              <w:jc w:val="center"/>
              <w:rPr>
                <w:rFonts w:hint="eastAsia"/>
                <w:kern w:val="0"/>
                <w:szCs w:val="21"/>
              </w:rPr>
            </w:pPr>
            <w:r>
              <w:rPr>
                <w:rFonts w:hint="eastAsia"/>
                <w:kern w:val="0"/>
                <w:szCs w:val="21"/>
                <w:lang w:val="en-US" w:eastAsia="zh-CN"/>
              </w:rPr>
              <w:t>颗粒物</w:t>
            </w:r>
            <w:r>
              <w:rPr>
                <w:kern w:val="0"/>
                <w:szCs w:val="21"/>
              </w:rPr>
              <w:t>（t/a）</w:t>
            </w:r>
          </w:p>
        </w:tc>
        <w:tc>
          <w:tcPr>
            <w:tcW w:w="1596" w:type="dxa"/>
            <w:noWrap w:val="0"/>
            <w:vAlign w:val="center"/>
          </w:tcPr>
          <w:p w14:paraId="49FD6708">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eastAsia" w:cs="Times New Roman"/>
                <w:sz w:val="21"/>
                <w:szCs w:val="21"/>
                <w:lang w:val="en-US" w:eastAsia="zh-CN"/>
              </w:rPr>
              <w:t>0.9861</w:t>
            </w:r>
          </w:p>
        </w:tc>
        <w:tc>
          <w:tcPr>
            <w:tcW w:w="1521" w:type="dxa"/>
            <w:noWrap w:val="0"/>
            <w:vAlign w:val="center"/>
          </w:tcPr>
          <w:p w14:paraId="161CBAE3">
            <w:pPr>
              <w:widowControl/>
              <w:spacing w:line="240" w:lineRule="exact"/>
              <w:jc w:val="center"/>
              <w:rPr>
                <w:rFonts w:hint="eastAsia"/>
                <w:kern w:val="0"/>
                <w:szCs w:val="21"/>
              </w:rPr>
            </w:pPr>
            <w:r>
              <w:rPr>
                <w:rFonts w:hint="eastAsia"/>
                <w:kern w:val="0"/>
                <w:szCs w:val="21"/>
              </w:rPr>
              <w:t>0</w:t>
            </w:r>
          </w:p>
        </w:tc>
        <w:tc>
          <w:tcPr>
            <w:tcW w:w="1522" w:type="dxa"/>
            <w:noWrap w:val="0"/>
            <w:vAlign w:val="center"/>
          </w:tcPr>
          <w:p w14:paraId="51C0BBE8">
            <w:pPr>
              <w:widowControl/>
              <w:spacing w:line="240" w:lineRule="exact"/>
              <w:jc w:val="center"/>
              <w:rPr>
                <w:kern w:val="0"/>
                <w:szCs w:val="21"/>
              </w:rPr>
            </w:pPr>
            <w:r>
              <w:rPr>
                <w:rFonts w:hint="eastAsia"/>
                <w:kern w:val="0"/>
                <w:szCs w:val="21"/>
              </w:rPr>
              <w:t>0</w:t>
            </w:r>
          </w:p>
        </w:tc>
        <w:tc>
          <w:tcPr>
            <w:tcW w:w="1553" w:type="dxa"/>
            <w:shd w:val="clear" w:color="auto" w:fill="auto"/>
            <w:noWrap w:val="0"/>
            <w:vAlign w:val="center"/>
          </w:tcPr>
          <w:p w14:paraId="5BB9AFA6">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sz w:val="21"/>
                <w:szCs w:val="21"/>
                <w:vertAlign w:val="baseline"/>
                <w:lang w:val="en-US" w:eastAsia="zh-CN"/>
              </w:rPr>
              <w:t>2.4004</w:t>
            </w:r>
          </w:p>
        </w:tc>
        <w:tc>
          <w:tcPr>
            <w:tcW w:w="1479" w:type="dxa"/>
            <w:noWrap w:val="0"/>
            <w:vAlign w:val="center"/>
          </w:tcPr>
          <w:p w14:paraId="73C1398A">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eastAsia="宋体"/>
                <w:kern w:val="0"/>
                <w:szCs w:val="21"/>
                <w:lang w:eastAsia="zh-CN"/>
              </w:rPr>
            </w:pPr>
            <w:r>
              <w:rPr>
                <w:rFonts w:hint="eastAsia" w:cs="Times New Roman"/>
                <w:sz w:val="21"/>
                <w:szCs w:val="21"/>
                <w:lang w:val="en-US" w:eastAsia="zh-CN"/>
              </w:rPr>
              <w:t>0.9861</w:t>
            </w:r>
          </w:p>
        </w:tc>
        <w:tc>
          <w:tcPr>
            <w:tcW w:w="1757" w:type="dxa"/>
            <w:shd w:val="clear" w:color="auto" w:fill="auto"/>
            <w:noWrap w:val="0"/>
            <w:vAlign w:val="center"/>
          </w:tcPr>
          <w:p w14:paraId="6EE325E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sz w:val="21"/>
                <w:szCs w:val="21"/>
                <w:vertAlign w:val="baseline"/>
                <w:lang w:val="en-US" w:eastAsia="zh-CN"/>
              </w:rPr>
              <w:t>2.4004</w:t>
            </w:r>
          </w:p>
        </w:tc>
        <w:tc>
          <w:tcPr>
            <w:tcW w:w="1695" w:type="dxa"/>
            <w:shd w:val="clear" w:color="auto" w:fill="auto"/>
            <w:noWrap w:val="0"/>
            <w:vAlign w:val="center"/>
          </w:tcPr>
          <w:p w14:paraId="29F7D022">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sz w:val="21"/>
                <w:szCs w:val="21"/>
                <w:lang w:val="en-US" w:eastAsia="zh-CN"/>
              </w:rPr>
              <w:t>+1.4143</w:t>
            </w:r>
          </w:p>
        </w:tc>
      </w:tr>
      <w:tr w14:paraId="0E1177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77" w:type="dxa"/>
            <w:vMerge w:val="continue"/>
            <w:noWrap w:val="0"/>
            <w:vAlign w:val="center"/>
          </w:tcPr>
          <w:p w14:paraId="2B3C2BE6">
            <w:pPr>
              <w:widowControl/>
              <w:spacing w:line="240" w:lineRule="exact"/>
              <w:jc w:val="center"/>
              <w:rPr>
                <w:rFonts w:hint="eastAsia"/>
                <w:kern w:val="0"/>
                <w:szCs w:val="21"/>
              </w:rPr>
            </w:pPr>
          </w:p>
        </w:tc>
        <w:tc>
          <w:tcPr>
            <w:tcW w:w="2164" w:type="dxa"/>
            <w:noWrap w:val="0"/>
            <w:vAlign w:val="center"/>
          </w:tcPr>
          <w:p w14:paraId="426ED700">
            <w:pPr>
              <w:pStyle w:val="17"/>
              <w:spacing w:after="0" w:line="240" w:lineRule="exact"/>
              <w:ind w:left="0" w:leftChars="0"/>
              <w:jc w:val="center"/>
              <w:rPr>
                <w:rFonts w:hint="default"/>
                <w:kern w:val="0"/>
                <w:szCs w:val="21"/>
                <w:lang w:val="en-US" w:eastAsia="zh-CN"/>
              </w:rPr>
            </w:pPr>
            <w:r>
              <w:rPr>
                <w:rFonts w:hint="default"/>
                <w:kern w:val="0"/>
                <w:szCs w:val="21"/>
                <w:lang w:val="en-US" w:eastAsia="zh-CN"/>
              </w:rPr>
              <w:t>沥青烟</w:t>
            </w:r>
            <w:r>
              <w:rPr>
                <w:kern w:val="0"/>
                <w:szCs w:val="21"/>
              </w:rPr>
              <w:t>（t/a）</w:t>
            </w:r>
          </w:p>
        </w:tc>
        <w:tc>
          <w:tcPr>
            <w:tcW w:w="1596" w:type="dxa"/>
            <w:noWrap w:val="0"/>
            <w:vAlign w:val="center"/>
          </w:tcPr>
          <w:p w14:paraId="46B48A77">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eastAsia" w:cs="Times New Roman"/>
                <w:sz w:val="21"/>
                <w:szCs w:val="21"/>
                <w:lang w:val="en-US" w:eastAsia="zh-CN"/>
              </w:rPr>
              <w:t>0.0183</w:t>
            </w:r>
          </w:p>
        </w:tc>
        <w:tc>
          <w:tcPr>
            <w:tcW w:w="1521" w:type="dxa"/>
            <w:noWrap w:val="0"/>
            <w:vAlign w:val="center"/>
          </w:tcPr>
          <w:p w14:paraId="5759417F">
            <w:pPr>
              <w:widowControl/>
              <w:spacing w:line="240" w:lineRule="exact"/>
              <w:jc w:val="center"/>
              <w:rPr>
                <w:rFonts w:hint="eastAsia" w:eastAsia="宋体"/>
                <w:kern w:val="0"/>
                <w:szCs w:val="21"/>
                <w:lang w:val="en-US" w:eastAsia="zh-CN"/>
              </w:rPr>
            </w:pPr>
            <w:r>
              <w:rPr>
                <w:rFonts w:hint="eastAsia"/>
                <w:kern w:val="0"/>
                <w:szCs w:val="21"/>
                <w:lang w:val="en-US" w:eastAsia="zh-CN"/>
              </w:rPr>
              <w:t>0</w:t>
            </w:r>
          </w:p>
        </w:tc>
        <w:tc>
          <w:tcPr>
            <w:tcW w:w="1522" w:type="dxa"/>
            <w:noWrap w:val="0"/>
            <w:vAlign w:val="center"/>
          </w:tcPr>
          <w:p w14:paraId="68C86FA6">
            <w:pPr>
              <w:widowControl/>
              <w:spacing w:line="240" w:lineRule="exact"/>
              <w:jc w:val="center"/>
              <w:rPr>
                <w:rFonts w:hint="eastAsia" w:eastAsia="宋体"/>
                <w:kern w:val="0"/>
                <w:szCs w:val="21"/>
                <w:lang w:val="en-US" w:eastAsia="zh-CN"/>
              </w:rPr>
            </w:pPr>
            <w:r>
              <w:rPr>
                <w:rFonts w:hint="eastAsia"/>
                <w:kern w:val="0"/>
                <w:szCs w:val="21"/>
                <w:lang w:val="en-US" w:eastAsia="zh-CN"/>
              </w:rPr>
              <w:t>0</w:t>
            </w:r>
          </w:p>
        </w:tc>
        <w:tc>
          <w:tcPr>
            <w:tcW w:w="1553" w:type="dxa"/>
            <w:shd w:val="clear" w:color="auto" w:fill="auto"/>
            <w:noWrap w:val="0"/>
            <w:vAlign w:val="center"/>
          </w:tcPr>
          <w:p w14:paraId="0F5BC7B0">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sz w:val="21"/>
                <w:szCs w:val="21"/>
                <w:vertAlign w:val="baseline"/>
                <w:lang w:val="en-US" w:eastAsia="zh-CN"/>
              </w:rPr>
              <w:t>0.0371</w:t>
            </w:r>
          </w:p>
        </w:tc>
        <w:tc>
          <w:tcPr>
            <w:tcW w:w="1479" w:type="dxa"/>
            <w:noWrap w:val="0"/>
            <w:vAlign w:val="center"/>
          </w:tcPr>
          <w:p w14:paraId="45324422">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eastAsia="宋体"/>
                <w:kern w:val="0"/>
                <w:szCs w:val="21"/>
                <w:lang w:eastAsia="zh-CN"/>
              </w:rPr>
            </w:pPr>
            <w:r>
              <w:rPr>
                <w:rFonts w:hint="eastAsia" w:cs="Times New Roman"/>
                <w:sz w:val="21"/>
                <w:szCs w:val="21"/>
                <w:lang w:val="en-US" w:eastAsia="zh-CN"/>
              </w:rPr>
              <w:t>0.0183</w:t>
            </w:r>
          </w:p>
        </w:tc>
        <w:tc>
          <w:tcPr>
            <w:tcW w:w="1757" w:type="dxa"/>
            <w:shd w:val="clear" w:color="auto" w:fill="auto"/>
            <w:noWrap w:val="0"/>
            <w:vAlign w:val="center"/>
          </w:tcPr>
          <w:p w14:paraId="595F8802">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sz w:val="21"/>
                <w:szCs w:val="21"/>
                <w:vertAlign w:val="baseline"/>
                <w:lang w:val="en-US" w:eastAsia="zh-CN"/>
              </w:rPr>
              <w:t>0.0371</w:t>
            </w:r>
          </w:p>
        </w:tc>
        <w:tc>
          <w:tcPr>
            <w:tcW w:w="1695" w:type="dxa"/>
            <w:shd w:val="clear" w:color="auto" w:fill="auto"/>
            <w:noWrap w:val="0"/>
            <w:vAlign w:val="center"/>
          </w:tcPr>
          <w:p w14:paraId="6771B6A0">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sz w:val="21"/>
                <w:szCs w:val="21"/>
                <w:lang w:val="en-US" w:eastAsia="zh-CN"/>
              </w:rPr>
              <w:t>+0.0188</w:t>
            </w:r>
          </w:p>
        </w:tc>
      </w:tr>
      <w:tr w14:paraId="548A79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77" w:type="dxa"/>
            <w:vMerge w:val="continue"/>
            <w:noWrap w:val="0"/>
            <w:vAlign w:val="center"/>
          </w:tcPr>
          <w:p w14:paraId="22FC2D26">
            <w:pPr>
              <w:widowControl/>
              <w:spacing w:line="240" w:lineRule="exact"/>
              <w:jc w:val="center"/>
              <w:rPr>
                <w:rFonts w:hint="eastAsia"/>
                <w:kern w:val="0"/>
                <w:szCs w:val="21"/>
              </w:rPr>
            </w:pPr>
          </w:p>
        </w:tc>
        <w:tc>
          <w:tcPr>
            <w:tcW w:w="2164" w:type="dxa"/>
            <w:noWrap w:val="0"/>
            <w:vAlign w:val="center"/>
          </w:tcPr>
          <w:p w14:paraId="42B0B755">
            <w:pPr>
              <w:pStyle w:val="17"/>
              <w:spacing w:after="0" w:line="240" w:lineRule="exact"/>
              <w:ind w:left="0" w:leftChars="0"/>
              <w:jc w:val="center"/>
              <w:rPr>
                <w:rFonts w:hint="default"/>
                <w:kern w:val="0"/>
                <w:szCs w:val="21"/>
                <w:lang w:val="en-US" w:eastAsia="zh-CN"/>
              </w:rPr>
            </w:pPr>
            <w:r>
              <w:rPr>
                <w:rFonts w:hint="default" w:ascii="Times New Roman" w:hAnsi="Times New Roman" w:eastAsia="宋体" w:cs="Times New Roman"/>
                <w:sz w:val="21"/>
                <w:szCs w:val="21"/>
                <w:lang w:val="en-US" w:eastAsia="zh-CN"/>
              </w:rPr>
              <w:t>苯并[a]芘</w:t>
            </w:r>
            <w:r>
              <w:rPr>
                <w:kern w:val="0"/>
                <w:szCs w:val="21"/>
              </w:rPr>
              <w:t>（t/a）</w:t>
            </w:r>
          </w:p>
        </w:tc>
        <w:tc>
          <w:tcPr>
            <w:tcW w:w="1596" w:type="dxa"/>
            <w:noWrap w:val="0"/>
            <w:vAlign w:val="center"/>
          </w:tcPr>
          <w:p w14:paraId="6747B5A6">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eastAsia" w:cs="Times New Roman"/>
                <w:sz w:val="21"/>
                <w:szCs w:val="21"/>
                <w:lang w:val="en-US" w:eastAsia="zh-CN"/>
              </w:rPr>
              <w:t>3.654×10</w:t>
            </w:r>
            <w:r>
              <w:rPr>
                <w:rFonts w:hint="eastAsia" w:cs="Times New Roman"/>
                <w:sz w:val="21"/>
                <w:szCs w:val="21"/>
                <w:vertAlign w:val="superscript"/>
                <w:lang w:val="en-US" w:eastAsia="zh-CN"/>
              </w:rPr>
              <w:t>-7</w:t>
            </w:r>
          </w:p>
        </w:tc>
        <w:tc>
          <w:tcPr>
            <w:tcW w:w="1521" w:type="dxa"/>
            <w:noWrap w:val="0"/>
            <w:vAlign w:val="center"/>
          </w:tcPr>
          <w:p w14:paraId="7F7C1175">
            <w:pPr>
              <w:widowControl/>
              <w:spacing w:line="240" w:lineRule="exact"/>
              <w:jc w:val="center"/>
              <w:rPr>
                <w:rFonts w:hint="eastAsia" w:eastAsia="宋体"/>
                <w:kern w:val="0"/>
                <w:szCs w:val="21"/>
                <w:lang w:val="en-US" w:eastAsia="zh-CN"/>
              </w:rPr>
            </w:pPr>
            <w:r>
              <w:rPr>
                <w:rFonts w:hint="eastAsia"/>
                <w:kern w:val="0"/>
                <w:szCs w:val="21"/>
                <w:lang w:val="en-US" w:eastAsia="zh-CN"/>
              </w:rPr>
              <w:t>0</w:t>
            </w:r>
          </w:p>
        </w:tc>
        <w:tc>
          <w:tcPr>
            <w:tcW w:w="1522" w:type="dxa"/>
            <w:noWrap w:val="0"/>
            <w:vAlign w:val="center"/>
          </w:tcPr>
          <w:p w14:paraId="11F746F3">
            <w:pPr>
              <w:widowControl/>
              <w:spacing w:line="240" w:lineRule="exact"/>
              <w:jc w:val="center"/>
              <w:rPr>
                <w:rFonts w:hint="eastAsia" w:eastAsia="宋体"/>
                <w:kern w:val="0"/>
                <w:szCs w:val="21"/>
                <w:lang w:val="en-US" w:eastAsia="zh-CN"/>
              </w:rPr>
            </w:pPr>
            <w:r>
              <w:rPr>
                <w:rFonts w:hint="eastAsia"/>
                <w:kern w:val="0"/>
                <w:szCs w:val="21"/>
                <w:lang w:val="en-US" w:eastAsia="zh-CN"/>
              </w:rPr>
              <w:t>0</w:t>
            </w:r>
          </w:p>
        </w:tc>
        <w:tc>
          <w:tcPr>
            <w:tcW w:w="1553" w:type="dxa"/>
            <w:shd w:val="clear" w:color="auto" w:fill="auto"/>
            <w:noWrap w:val="0"/>
            <w:vAlign w:val="center"/>
          </w:tcPr>
          <w:p w14:paraId="67954C1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sz w:val="21"/>
                <w:szCs w:val="21"/>
                <w:vertAlign w:val="baseline"/>
                <w:lang w:val="en-US" w:eastAsia="zh-CN"/>
              </w:rPr>
              <w:t>7.4176</w:t>
            </w: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b w:val="0"/>
                <w:bCs w:val="0"/>
                <w:color w:val="auto"/>
                <w:sz w:val="21"/>
                <w:szCs w:val="21"/>
                <w:vertAlign w:val="superscript"/>
                <w:lang w:val="en-US" w:eastAsia="zh-CN"/>
              </w:rPr>
              <w:t>-</w:t>
            </w:r>
            <w:r>
              <w:rPr>
                <w:rFonts w:hint="eastAsia" w:ascii="Times New Roman" w:hAnsi="Times New Roman" w:eastAsia="宋体" w:cs="Times New Roman"/>
                <w:b w:val="0"/>
                <w:bCs w:val="0"/>
                <w:color w:val="auto"/>
                <w:sz w:val="21"/>
                <w:szCs w:val="21"/>
                <w:vertAlign w:val="superscript"/>
                <w:lang w:val="en-US" w:eastAsia="zh-CN"/>
              </w:rPr>
              <w:t>7</w:t>
            </w:r>
          </w:p>
        </w:tc>
        <w:tc>
          <w:tcPr>
            <w:tcW w:w="1479" w:type="dxa"/>
            <w:noWrap w:val="0"/>
            <w:vAlign w:val="center"/>
          </w:tcPr>
          <w:p w14:paraId="712DFADC">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eastAsia="宋体"/>
                <w:kern w:val="0"/>
                <w:szCs w:val="21"/>
                <w:lang w:eastAsia="zh-CN"/>
              </w:rPr>
            </w:pPr>
            <w:r>
              <w:rPr>
                <w:rFonts w:hint="eastAsia" w:cs="Times New Roman"/>
                <w:sz w:val="21"/>
                <w:szCs w:val="21"/>
                <w:lang w:val="en-US" w:eastAsia="zh-CN"/>
              </w:rPr>
              <w:t>3.654×10</w:t>
            </w:r>
            <w:r>
              <w:rPr>
                <w:rFonts w:hint="eastAsia" w:cs="Times New Roman"/>
                <w:sz w:val="21"/>
                <w:szCs w:val="21"/>
                <w:vertAlign w:val="superscript"/>
                <w:lang w:val="en-US" w:eastAsia="zh-CN"/>
              </w:rPr>
              <w:t>-7</w:t>
            </w:r>
          </w:p>
        </w:tc>
        <w:tc>
          <w:tcPr>
            <w:tcW w:w="1757" w:type="dxa"/>
            <w:shd w:val="clear" w:color="auto" w:fill="auto"/>
            <w:noWrap w:val="0"/>
            <w:vAlign w:val="center"/>
          </w:tcPr>
          <w:p w14:paraId="5D0C2628">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sz w:val="21"/>
                <w:szCs w:val="21"/>
                <w:vertAlign w:val="baseline"/>
                <w:lang w:val="en-US" w:eastAsia="zh-CN"/>
              </w:rPr>
              <w:t>7.4176</w:t>
            </w: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b w:val="0"/>
                <w:bCs w:val="0"/>
                <w:color w:val="auto"/>
                <w:sz w:val="21"/>
                <w:szCs w:val="21"/>
                <w:vertAlign w:val="superscript"/>
                <w:lang w:val="en-US" w:eastAsia="zh-CN"/>
              </w:rPr>
              <w:t>-</w:t>
            </w:r>
            <w:r>
              <w:rPr>
                <w:rFonts w:hint="eastAsia" w:ascii="Times New Roman" w:hAnsi="Times New Roman" w:eastAsia="宋体" w:cs="Times New Roman"/>
                <w:b w:val="0"/>
                <w:bCs w:val="0"/>
                <w:color w:val="auto"/>
                <w:sz w:val="21"/>
                <w:szCs w:val="21"/>
                <w:vertAlign w:val="superscript"/>
                <w:lang w:val="en-US" w:eastAsia="zh-CN"/>
              </w:rPr>
              <w:t>7</w:t>
            </w:r>
          </w:p>
        </w:tc>
        <w:tc>
          <w:tcPr>
            <w:tcW w:w="1695" w:type="dxa"/>
            <w:shd w:val="clear" w:color="auto" w:fill="auto"/>
            <w:noWrap w:val="0"/>
            <w:vAlign w:val="center"/>
          </w:tcPr>
          <w:p w14:paraId="134C888E">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sz w:val="21"/>
                <w:szCs w:val="21"/>
                <w:lang w:val="en-US" w:eastAsia="zh-CN"/>
              </w:rPr>
              <w:t>+3.7636</w:t>
            </w: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b w:val="0"/>
                <w:bCs w:val="0"/>
                <w:color w:val="auto"/>
                <w:sz w:val="21"/>
                <w:szCs w:val="21"/>
                <w:vertAlign w:val="superscript"/>
                <w:lang w:val="en-US" w:eastAsia="zh-CN"/>
              </w:rPr>
              <w:t>-</w:t>
            </w:r>
            <w:r>
              <w:rPr>
                <w:rFonts w:hint="eastAsia" w:ascii="Times New Roman" w:hAnsi="Times New Roman" w:eastAsia="宋体" w:cs="Times New Roman"/>
                <w:b w:val="0"/>
                <w:bCs w:val="0"/>
                <w:color w:val="auto"/>
                <w:sz w:val="21"/>
                <w:szCs w:val="21"/>
                <w:vertAlign w:val="superscript"/>
                <w:lang w:val="en-US" w:eastAsia="zh-CN"/>
              </w:rPr>
              <w:t>7</w:t>
            </w:r>
          </w:p>
        </w:tc>
      </w:tr>
      <w:tr w14:paraId="0F7002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77" w:type="dxa"/>
            <w:vMerge w:val="continue"/>
            <w:noWrap w:val="0"/>
            <w:vAlign w:val="center"/>
          </w:tcPr>
          <w:p w14:paraId="4AD57016">
            <w:pPr>
              <w:widowControl/>
              <w:spacing w:line="240" w:lineRule="exact"/>
              <w:jc w:val="center"/>
              <w:rPr>
                <w:kern w:val="0"/>
                <w:szCs w:val="21"/>
              </w:rPr>
            </w:pPr>
          </w:p>
        </w:tc>
        <w:tc>
          <w:tcPr>
            <w:tcW w:w="2164" w:type="dxa"/>
            <w:noWrap w:val="0"/>
            <w:vAlign w:val="center"/>
          </w:tcPr>
          <w:p w14:paraId="3F8AFECB">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VOCs（以非甲烷总烃计）</w:t>
            </w:r>
            <w:r>
              <w:rPr>
                <w:kern w:val="0"/>
                <w:szCs w:val="21"/>
              </w:rPr>
              <w:t>（t/a）</w:t>
            </w:r>
          </w:p>
        </w:tc>
        <w:tc>
          <w:tcPr>
            <w:tcW w:w="1596" w:type="dxa"/>
            <w:noWrap w:val="0"/>
            <w:vAlign w:val="center"/>
          </w:tcPr>
          <w:p w14:paraId="38728F82">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sz w:val="21"/>
                <w:szCs w:val="21"/>
                <w:lang w:val="en-US" w:eastAsia="zh-CN"/>
              </w:rPr>
              <w:t>0.0128</w:t>
            </w:r>
          </w:p>
        </w:tc>
        <w:tc>
          <w:tcPr>
            <w:tcW w:w="1521" w:type="dxa"/>
            <w:noWrap w:val="0"/>
            <w:vAlign w:val="center"/>
          </w:tcPr>
          <w:p w14:paraId="4555FF44">
            <w:pPr>
              <w:widowControl/>
              <w:spacing w:line="240" w:lineRule="exact"/>
              <w:jc w:val="center"/>
              <w:rPr>
                <w:kern w:val="0"/>
                <w:szCs w:val="21"/>
              </w:rPr>
            </w:pPr>
            <w:r>
              <w:rPr>
                <w:rFonts w:hint="eastAsia"/>
                <w:kern w:val="0"/>
                <w:szCs w:val="21"/>
              </w:rPr>
              <w:t>0</w:t>
            </w:r>
          </w:p>
        </w:tc>
        <w:tc>
          <w:tcPr>
            <w:tcW w:w="1522" w:type="dxa"/>
            <w:noWrap w:val="0"/>
            <w:vAlign w:val="center"/>
          </w:tcPr>
          <w:p w14:paraId="64CB86C7">
            <w:pPr>
              <w:widowControl/>
              <w:spacing w:line="240" w:lineRule="exact"/>
              <w:jc w:val="center"/>
              <w:rPr>
                <w:kern w:val="0"/>
                <w:szCs w:val="21"/>
              </w:rPr>
            </w:pPr>
            <w:r>
              <w:rPr>
                <w:rFonts w:hint="eastAsia"/>
                <w:kern w:val="0"/>
                <w:szCs w:val="21"/>
              </w:rPr>
              <w:t>0</w:t>
            </w:r>
          </w:p>
        </w:tc>
        <w:tc>
          <w:tcPr>
            <w:tcW w:w="1553" w:type="dxa"/>
            <w:shd w:val="clear" w:color="auto" w:fill="auto"/>
            <w:noWrap w:val="0"/>
            <w:vAlign w:val="center"/>
          </w:tcPr>
          <w:p w14:paraId="22E55F97">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sz w:val="21"/>
                <w:szCs w:val="21"/>
                <w:vertAlign w:val="baseline"/>
                <w:lang w:val="en-US" w:eastAsia="zh-CN"/>
              </w:rPr>
              <w:t>0.026</w:t>
            </w:r>
          </w:p>
        </w:tc>
        <w:tc>
          <w:tcPr>
            <w:tcW w:w="1479" w:type="dxa"/>
            <w:noWrap w:val="0"/>
            <w:vAlign w:val="center"/>
          </w:tcPr>
          <w:p w14:paraId="34665A3A">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kern w:val="0"/>
                <w:szCs w:val="21"/>
              </w:rPr>
            </w:pPr>
            <w:r>
              <w:rPr>
                <w:rFonts w:hint="eastAsia" w:cs="Times New Roman"/>
                <w:sz w:val="21"/>
                <w:szCs w:val="21"/>
                <w:lang w:val="en-US" w:eastAsia="zh-CN"/>
              </w:rPr>
              <w:t>0.0128</w:t>
            </w:r>
          </w:p>
        </w:tc>
        <w:tc>
          <w:tcPr>
            <w:tcW w:w="1757" w:type="dxa"/>
            <w:shd w:val="clear" w:color="auto" w:fill="auto"/>
            <w:noWrap w:val="0"/>
            <w:vAlign w:val="center"/>
          </w:tcPr>
          <w:p w14:paraId="34D683B9">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sz w:val="21"/>
                <w:szCs w:val="21"/>
                <w:vertAlign w:val="baseline"/>
                <w:lang w:val="en-US" w:eastAsia="zh-CN"/>
              </w:rPr>
              <w:t>0.026</w:t>
            </w:r>
          </w:p>
        </w:tc>
        <w:tc>
          <w:tcPr>
            <w:tcW w:w="1695" w:type="dxa"/>
            <w:shd w:val="clear" w:color="auto" w:fill="auto"/>
            <w:noWrap w:val="0"/>
            <w:vAlign w:val="center"/>
          </w:tcPr>
          <w:p w14:paraId="14BC1D92">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eastAsia" w:cs="Times New Roman"/>
                <w:sz w:val="21"/>
                <w:szCs w:val="21"/>
                <w:lang w:val="en-US" w:eastAsia="zh-CN"/>
              </w:rPr>
              <w:t>+0.0132</w:t>
            </w:r>
          </w:p>
        </w:tc>
      </w:tr>
      <w:tr w14:paraId="576DEC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77" w:type="dxa"/>
            <w:vMerge w:val="continue"/>
            <w:noWrap w:val="0"/>
            <w:vAlign w:val="center"/>
          </w:tcPr>
          <w:p w14:paraId="1631E765">
            <w:pPr>
              <w:widowControl/>
              <w:spacing w:line="240" w:lineRule="exact"/>
              <w:jc w:val="center"/>
              <w:rPr>
                <w:kern w:val="0"/>
                <w:szCs w:val="21"/>
              </w:rPr>
            </w:pPr>
          </w:p>
        </w:tc>
        <w:tc>
          <w:tcPr>
            <w:tcW w:w="2164" w:type="dxa"/>
            <w:noWrap w:val="0"/>
            <w:vAlign w:val="center"/>
          </w:tcPr>
          <w:p w14:paraId="7936D33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NO</w:t>
            </w:r>
            <w:r>
              <w:rPr>
                <w:rFonts w:hint="eastAsia" w:cs="Times New Roman"/>
                <w:sz w:val="21"/>
                <w:szCs w:val="21"/>
                <w:vertAlign w:val="subscript"/>
                <w:lang w:val="en-US" w:eastAsia="zh-CN"/>
              </w:rPr>
              <w:t>x</w:t>
            </w:r>
            <w:r>
              <w:rPr>
                <w:kern w:val="0"/>
                <w:szCs w:val="21"/>
              </w:rPr>
              <w:t>（t/a）</w:t>
            </w:r>
          </w:p>
        </w:tc>
        <w:tc>
          <w:tcPr>
            <w:tcW w:w="1596" w:type="dxa"/>
            <w:noWrap w:val="0"/>
            <w:vAlign w:val="center"/>
          </w:tcPr>
          <w:p w14:paraId="018083F1">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sz w:val="21"/>
                <w:szCs w:val="21"/>
                <w:lang w:val="en-US" w:eastAsia="zh-CN"/>
              </w:rPr>
              <w:t>2.2509</w:t>
            </w:r>
          </w:p>
        </w:tc>
        <w:tc>
          <w:tcPr>
            <w:tcW w:w="1521" w:type="dxa"/>
            <w:noWrap w:val="0"/>
            <w:vAlign w:val="center"/>
          </w:tcPr>
          <w:p w14:paraId="56E7E8C4">
            <w:pPr>
              <w:widowControl/>
              <w:spacing w:line="240" w:lineRule="exact"/>
              <w:jc w:val="center"/>
              <w:rPr>
                <w:rFonts w:hint="eastAsia" w:eastAsia="宋体"/>
                <w:kern w:val="0"/>
                <w:szCs w:val="21"/>
                <w:lang w:val="en-US" w:eastAsia="zh-CN"/>
              </w:rPr>
            </w:pPr>
            <w:r>
              <w:rPr>
                <w:rFonts w:hint="eastAsia"/>
                <w:kern w:val="0"/>
                <w:szCs w:val="21"/>
                <w:lang w:val="en-US" w:eastAsia="zh-CN"/>
              </w:rPr>
              <w:t>0</w:t>
            </w:r>
          </w:p>
        </w:tc>
        <w:tc>
          <w:tcPr>
            <w:tcW w:w="1522" w:type="dxa"/>
            <w:noWrap w:val="0"/>
            <w:vAlign w:val="center"/>
          </w:tcPr>
          <w:p w14:paraId="735001A3">
            <w:pPr>
              <w:widowControl/>
              <w:spacing w:line="240" w:lineRule="exact"/>
              <w:jc w:val="center"/>
              <w:rPr>
                <w:rFonts w:hint="eastAsia" w:eastAsia="宋体"/>
                <w:kern w:val="0"/>
                <w:szCs w:val="21"/>
                <w:lang w:val="en-US" w:eastAsia="zh-CN"/>
              </w:rPr>
            </w:pPr>
            <w:r>
              <w:rPr>
                <w:rFonts w:hint="eastAsia"/>
                <w:kern w:val="0"/>
                <w:szCs w:val="21"/>
                <w:lang w:val="en-US" w:eastAsia="zh-CN"/>
              </w:rPr>
              <w:t>0</w:t>
            </w:r>
          </w:p>
        </w:tc>
        <w:tc>
          <w:tcPr>
            <w:tcW w:w="1553" w:type="dxa"/>
            <w:shd w:val="clear" w:color="auto" w:fill="auto"/>
            <w:noWrap w:val="0"/>
            <w:vAlign w:val="center"/>
          </w:tcPr>
          <w:p w14:paraId="03483A0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sz w:val="21"/>
                <w:szCs w:val="21"/>
                <w:vertAlign w:val="baseline"/>
                <w:lang w:val="en-US" w:eastAsia="zh-CN"/>
              </w:rPr>
              <w:t>4.7478</w:t>
            </w:r>
          </w:p>
        </w:tc>
        <w:tc>
          <w:tcPr>
            <w:tcW w:w="1479" w:type="dxa"/>
            <w:noWrap w:val="0"/>
            <w:vAlign w:val="center"/>
          </w:tcPr>
          <w:p w14:paraId="60965D8B">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kern w:val="0"/>
                <w:szCs w:val="21"/>
              </w:rPr>
            </w:pPr>
            <w:r>
              <w:rPr>
                <w:rFonts w:hint="eastAsia" w:cs="Times New Roman"/>
                <w:sz w:val="21"/>
                <w:szCs w:val="21"/>
                <w:lang w:val="en-US" w:eastAsia="zh-CN"/>
              </w:rPr>
              <w:t>2.2509</w:t>
            </w:r>
          </w:p>
        </w:tc>
        <w:tc>
          <w:tcPr>
            <w:tcW w:w="1757" w:type="dxa"/>
            <w:shd w:val="clear" w:color="auto" w:fill="auto"/>
            <w:noWrap w:val="0"/>
            <w:vAlign w:val="center"/>
          </w:tcPr>
          <w:p w14:paraId="388849F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sz w:val="21"/>
                <w:szCs w:val="21"/>
                <w:vertAlign w:val="baseline"/>
                <w:lang w:val="en-US" w:eastAsia="zh-CN"/>
              </w:rPr>
              <w:t>4.7478</w:t>
            </w:r>
          </w:p>
        </w:tc>
        <w:tc>
          <w:tcPr>
            <w:tcW w:w="1695" w:type="dxa"/>
            <w:shd w:val="clear" w:color="auto" w:fill="auto"/>
            <w:noWrap w:val="0"/>
            <w:vAlign w:val="center"/>
          </w:tcPr>
          <w:p w14:paraId="11BE9716">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eastAsia" w:cs="Times New Roman"/>
                <w:sz w:val="21"/>
                <w:szCs w:val="21"/>
                <w:lang w:val="en-US" w:eastAsia="zh-CN"/>
              </w:rPr>
              <w:t>+2.497</w:t>
            </w:r>
          </w:p>
        </w:tc>
      </w:tr>
      <w:tr w14:paraId="084DD4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77" w:type="dxa"/>
            <w:vMerge w:val="continue"/>
            <w:noWrap w:val="0"/>
            <w:vAlign w:val="center"/>
          </w:tcPr>
          <w:p w14:paraId="1F833EEA">
            <w:pPr>
              <w:widowControl/>
              <w:spacing w:line="240" w:lineRule="exact"/>
              <w:jc w:val="center"/>
              <w:rPr>
                <w:kern w:val="0"/>
                <w:szCs w:val="21"/>
              </w:rPr>
            </w:pPr>
          </w:p>
        </w:tc>
        <w:tc>
          <w:tcPr>
            <w:tcW w:w="2164" w:type="dxa"/>
            <w:noWrap w:val="0"/>
            <w:vAlign w:val="center"/>
          </w:tcPr>
          <w:p w14:paraId="6353A6D7">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SO</w:t>
            </w:r>
            <w:r>
              <w:rPr>
                <w:rFonts w:hint="eastAsia" w:cs="Times New Roman"/>
                <w:sz w:val="21"/>
                <w:szCs w:val="21"/>
                <w:vertAlign w:val="subscript"/>
                <w:lang w:val="en-US" w:eastAsia="zh-CN"/>
              </w:rPr>
              <w:t>2</w:t>
            </w:r>
            <w:r>
              <w:rPr>
                <w:kern w:val="0"/>
                <w:szCs w:val="21"/>
              </w:rPr>
              <w:t>（t/a）</w:t>
            </w:r>
          </w:p>
        </w:tc>
        <w:tc>
          <w:tcPr>
            <w:tcW w:w="1596" w:type="dxa"/>
            <w:noWrap w:val="0"/>
            <w:vAlign w:val="center"/>
          </w:tcPr>
          <w:p w14:paraId="52F5DBFB">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0.0496</w:t>
            </w:r>
          </w:p>
        </w:tc>
        <w:tc>
          <w:tcPr>
            <w:tcW w:w="1521" w:type="dxa"/>
            <w:noWrap w:val="0"/>
            <w:vAlign w:val="center"/>
          </w:tcPr>
          <w:p w14:paraId="3B2C394D">
            <w:pPr>
              <w:widowControl/>
              <w:spacing w:line="240" w:lineRule="exact"/>
              <w:jc w:val="center"/>
              <w:rPr>
                <w:rFonts w:hint="default"/>
                <w:kern w:val="0"/>
                <w:szCs w:val="21"/>
                <w:lang w:val="en-US" w:eastAsia="zh-CN"/>
              </w:rPr>
            </w:pPr>
            <w:r>
              <w:rPr>
                <w:rFonts w:hint="eastAsia"/>
                <w:kern w:val="0"/>
                <w:szCs w:val="21"/>
                <w:lang w:val="en-US" w:eastAsia="zh-CN"/>
              </w:rPr>
              <w:t>0</w:t>
            </w:r>
          </w:p>
        </w:tc>
        <w:tc>
          <w:tcPr>
            <w:tcW w:w="1522" w:type="dxa"/>
            <w:noWrap w:val="0"/>
            <w:vAlign w:val="center"/>
          </w:tcPr>
          <w:p w14:paraId="24905120">
            <w:pPr>
              <w:widowControl/>
              <w:spacing w:line="240" w:lineRule="exact"/>
              <w:jc w:val="center"/>
              <w:rPr>
                <w:rFonts w:hint="default"/>
                <w:kern w:val="0"/>
                <w:szCs w:val="21"/>
                <w:lang w:val="en-US" w:eastAsia="zh-CN"/>
              </w:rPr>
            </w:pPr>
            <w:r>
              <w:rPr>
                <w:rFonts w:hint="eastAsia"/>
                <w:kern w:val="0"/>
                <w:szCs w:val="21"/>
                <w:lang w:val="en-US" w:eastAsia="zh-CN"/>
              </w:rPr>
              <w:t>0</w:t>
            </w:r>
          </w:p>
        </w:tc>
        <w:tc>
          <w:tcPr>
            <w:tcW w:w="1553" w:type="dxa"/>
            <w:shd w:val="clear" w:color="auto" w:fill="auto"/>
            <w:noWrap w:val="0"/>
            <w:vAlign w:val="center"/>
          </w:tcPr>
          <w:p w14:paraId="7B6C04AB">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sz w:val="21"/>
                <w:szCs w:val="21"/>
                <w:vertAlign w:val="baseline"/>
                <w:lang w:val="en-US" w:eastAsia="zh-CN"/>
              </w:rPr>
              <w:t>0.1096</w:t>
            </w:r>
          </w:p>
        </w:tc>
        <w:tc>
          <w:tcPr>
            <w:tcW w:w="1479" w:type="dxa"/>
            <w:noWrap w:val="0"/>
            <w:vAlign w:val="center"/>
          </w:tcPr>
          <w:p w14:paraId="16798A71">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0.0496</w:t>
            </w:r>
          </w:p>
        </w:tc>
        <w:tc>
          <w:tcPr>
            <w:tcW w:w="1757" w:type="dxa"/>
            <w:shd w:val="clear" w:color="auto" w:fill="auto"/>
            <w:noWrap w:val="0"/>
            <w:vAlign w:val="center"/>
          </w:tcPr>
          <w:p w14:paraId="359781BC">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sz w:val="21"/>
                <w:szCs w:val="21"/>
                <w:vertAlign w:val="baseline"/>
                <w:lang w:val="en-US" w:eastAsia="zh-CN"/>
              </w:rPr>
              <w:t>0.1096</w:t>
            </w:r>
          </w:p>
        </w:tc>
        <w:tc>
          <w:tcPr>
            <w:tcW w:w="1695" w:type="dxa"/>
            <w:shd w:val="clear" w:color="auto" w:fill="auto"/>
            <w:noWrap w:val="0"/>
            <w:vAlign w:val="center"/>
          </w:tcPr>
          <w:p w14:paraId="7A4F4C56">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eastAsia" w:cs="Times New Roman"/>
                <w:sz w:val="21"/>
                <w:szCs w:val="21"/>
                <w:lang w:val="en-US" w:eastAsia="zh-CN"/>
              </w:rPr>
              <w:t>+0.06</w:t>
            </w:r>
          </w:p>
        </w:tc>
      </w:tr>
      <w:tr w14:paraId="3C8668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77" w:type="dxa"/>
            <w:vMerge w:val="continue"/>
            <w:noWrap w:val="0"/>
            <w:vAlign w:val="center"/>
          </w:tcPr>
          <w:p w14:paraId="5A9CD4ED">
            <w:pPr>
              <w:widowControl/>
              <w:spacing w:line="240" w:lineRule="exact"/>
              <w:jc w:val="center"/>
              <w:rPr>
                <w:kern w:val="0"/>
                <w:szCs w:val="21"/>
              </w:rPr>
            </w:pPr>
          </w:p>
        </w:tc>
        <w:tc>
          <w:tcPr>
            <w:tcW w:w="2164" w:type="dxa"/>
            <w:noWrap w:val="0"/>
            <w:vAlign w:val="center"/>
          </w:tcPr>
          <w:p w14:paraId="760768BD">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油烟</w:t>
            </w:r>
            <w:r>
              <w:rPr>
                <w:kern w:val="0"/>
                <w:szCs w:val="21"/>
              </w:rPr>
              <w:t>（t/a）</w:t>
            </w:r>
          </w:p>
        </w:tc>
        <w:tc>
          <w:tcPr>
            <w:tcW w:w="1596" w:type="dxa"/>
            <w:noWrap w:val="0"/>
            <w:vAlign w:val="center"/>
          </w:tcPr>
          <w:p w14:paraId="09B27855">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0</w:t>
            </w:r>
          </w:p>
        </w:tc>
        <w:tc>
          <w:tcPr>
            <w:tcW w:w="1521" w:type="dxa"/>
            <w:noWrap w:val="0"/>
            <w:vAlign w:val="center"/>
          </w:tcPr>
          <w:p w14:paraId="2F5CBAFA">
            <w:pPr>
              <w:widowControl/>
              <w:spacing w:line="240" w:lineRule="exact"/>
              <w:jc w:val="center"/>
              <w:rPr>
                <w:rFonts w:hint="default"/>
                <w:kern w:val="0"/>
                <w:szCs w:val="21"/>
                <w:lang w:val="en-US" w:eastAsia="zh-CN"/>
              </w:rPr>
            </w:pPr>
            <w:r>
              <w:rPr>
                <w:rFonts w:hint="eastAsia"/>
                <w:kern w:val="0"/>
                <w:szCs w:val="21"/>
                <w:lang w:val="en-US" w:eastAsia="zh-CN"/>
              </w:rPr>
              <w:t>0</w:t>
            </w:r>
          </w:p>
        </w:tc>
        <w:tc>
          <w:tcPr>
            <w:tcW w:w="1522" w:type="dxa"/>
            <w:noWrap w:val="0"/>
            <w:vAlign w:val="center"/>
          </w:tcPr>
          <w:p w14:paraId="6140ADAD">
            <w:pPr>
              <w:widowControl/>
              <w:spacing w:line="240" w:lineRule="exact"/>
              <w:jc w:val="center"/>
              <w:rPr>
                <w:rFonts w:hint="default"/>
                <w:kern w:val="0"/>
                <w:szCs w:val="21"/>
                <w:lang w:val="en-US" w:eastAsia="zh-CN"/>
              </w:rPr>
            </w:pPr>
            <w:r>
              <w:rPr>
                <w:rFonts w:hint="eastAsia"/>
                <w:kern w:val="0"/>
                <w:szCs w:val="21"/>
                <w:lang w:val="en-US" w:eastAsia="zh-CN"/>
              </w:rPr>
              <w:t>0</w:t>
            </w:r>
          </w:p>
        </w:tc>
        <w:tc>
          <w:tcPr>
            <w:tcW w:w="1553" w:type="dxa"/>
            <w:shd w:val="clear" w:color="auto" w:fill="auto"/>
            <w:noWrap w:val="0"/>
            <w:vAlign w:val="center"/>
          </w:tcPr>
          <w:p w14:paraId="5EAE3901">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sz w:val="21"/>
                <w:szCs w:val="21"/>
                <w:vertAlign w:val="baseline"/>
                <w:lang w:val="en-US" w:eastAsia="zh-CN"/>
              </w:rPr>
              <w:t>0.0043</w:t>
            </w:r>
          </w:p>
        </w:tc>
        <w:tc>
          <w:tcPr>
            <w:tcW w:w="1479" w:type="dxa"/>
            <w:noWrap w:val="0"/>
            <w:vAlign w:val="center"/>
          </w:tcPr>
          <w:p w14:paraId="5FC92F21">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0</w:t>
            </w:r>
          </w:p>
        </w:tc>
        <w:tc>
          <w:tcPr>
            <w:tcW w:w="1757" w:type="dxa"/>
            <w:shd w:val="clear" w:color="auto" w:fill="auto"/>
            <w:noWrap w:val="0"/>
            <w:vAlign w:val="center"/>
          </w:tcPr>
          <w:p w14:paraId="05D7FD5D">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sz w:val="21"/>
                <w:szCs w:val="21"/>
                <w:vertAlign w:val="baseline"/>
                <w:lang w:val="en-US" w:eastAsia="zh-CN"/>
              </w:rPr>
              <w:t>0.0043</w:t>
            </w:r>
          </w:p>
        </w:tc>
        <w:tc>
          <w:tcPr>
            <w:tcW w:w="1695" w:type="dxa"/>
            <w:shd w:val="clear" w:color="auto" w:fill="auto"/>
            <w:noWrap w:val="0"/>
            <w:vAlign w:val="center"/>
          </w:tcPr>
          <w:p w14:paraId="1ABAB0DC">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eastAsia" w:cs="Times New Roman"/>
                <w:sz w:val="21"/>
                <w:szCs w:val="21"/>
                <w:lang w:val="en-US" w:eastAsia="zh-CN"/>
              </w:rPr>
              <w:t>+0.0043</w:t>
            </w:r>
          </w:p>
        </w:tc>
      </w:tr>
      <w:tr w14:paraId="19D9D2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77" w:type="dxa"/>
            <w:vMerge w:val="restart"/>
            <w:noWrap w:val="0"/>
            <w:vAlign w:val="center"/>
          </w:tcPr>
          <w:p w14:paraId="18254F2E">
            <w:pPr>
              <w:widowControl/>
              <w:spacing w:line="240" w:lineRule="exact"/>
              <w:jc w:val="center"/>
              <w:rPr>
                <w:kern w:val="0"/>
                <w:szCs w:val="21"/>
              </w:rPr>
            </w:pPr>
            <w:r>
              <w:rPr>
                <w:kern w:val="0"/>
                <w:szCs w:val="21"/>
              </w:rPr>
              <w:t>废水</w:t>
            </w:r>
          </w:p>
        </w:tc>
        <w:tc>
          <w:tcPr>
            <w:tcW w:w="2164" w:type="dxa"/>
            <w:noWrap w:val="0"/>
            <w:vAlign w:val="center"/>
          </w:tcPr>
          <w:p w14:paraId="5FDA4821">
            <w:pPr>
              <w:widowControl/>
              <w:spacing w:line="240" w:lineRule="exact"/>
              <w:jc w:val="center"/>
              <w:rPr>
                <w:kern w:val="0"/>
                <w:szCs w:val="21"/>
              </w:rPr>
            </w:pPr>
            <w:r>
              <w:rPr>
                <w:kern w:val="0"/>
                <w:szCs w:val="21"/>
              </w:rPr>
              <w:t>废水量（m</w:t>
            </w:r>
            <w:r>
              <w:rPr>
                <w:kern w:val="0"/>
                <w:szCs w:val="21"/>
                <w:vertAlign w:val="superscript"/>
              </w:rPr>
              <w:t>3</w:t>
            </w:r>
            <w:r>
              <w:rPr>
                <w:kern w:val="0"/>
                <w:szCs w:val="21"/>
              </w:rPr>
              <w:t>/a）</w:t>
            </w:r>
          </w:p>
        </w:tc>
        <w:tc>
          <w:tcPr>
            <w:tcW w:w="1596" w:type="dxa"/>
            <w:noWrap w:val="0"/>
            <w:vAlign w:val="center"/>
          </w:tcPr>
          <w:p w14:paraId="6423AEFF">
            <w:pPr>
              <w:widowControl/>
              <w:spacing w:line="240" w:lineRule="exact"/>
              <w:jc w:val="center"/>
              <w:rPr>
                <w:rFonts w:hint="default" w:ascii="Times New Roman" w:hAnsi="Times New Roman" w:eastAsia="宋体" w:cs="Times New Roman"/>
                <w:kern w:val="2"/>
                <w:sz w:val="21"/>
                <w:szCs w:val="21"/>
                <w:lang w:val="en-US" w:eastAsia="zh-CN" w:bidi="bo-CN"/>
              </w:rPr>
            </w:pPr>
            <w:r>
              <w:rPr>
                <w:rFonts w:hint="eastAsia"/>
                <w:kern w:val="0"/>
                <w:szCs w:val="21"/>
              </w:rPr>
              <w:t>0</w:t>
            </w:r>
          </w:p>
        </w:tc>
        <w:tc>
          <w:tcPr>
            <w:tcW w:w="1521" w:type="dxa"/>
            <w:noWrap w:val="0"/>
            <w:vAlign w:val="center"/>
          </w:tcPr>
          <w:p w14:paraId="7F9FB759">
            <w:pPr>
              <w:widowControl/>
              <w:spacing w:line="240" w:lineRule="exact"/>
              <w:jc w:val="center"/>
              <w:rPr>
                <w:kern w:val="0"/>
                <w:szCs w:val="21"/>
              </w:rPr>
            </w:pPr>
            <w:r>
              <w:rPr>
                <w:rFonts w:hint="eastAsia"/>
                <w:kern w:val="0"/>
                <w:szCs w:val="21"/>
              </w:rPr>
              <w:t>0</w:t>
            </w:r>
          </w:p>
        </w:tc>
        <w:tc>
          <w:tcPr>
            <w:tcW w:w="1522" w:type="dxa"/>
            <w:noWrap w:val="0"/>
            <w:vAlign w:val="center"/>
          </w:tcPr>
          <w:p w14:paraId="7467EDD3">
            <w:pPr>
              <w:widowControl/>
              <w:spacing w:line="240" w:lineRule="exact"/>
              <w:jc w:val="center"/>
              <w:rPr>
                <w:kern w:val="0"/>
                <w:szCs w:val="21"/>
              </w:rPr>
            </w:pPr>
            <w:r>
              <w:rPr>
                <w:rFonts w:hint="eastAsia"/>
                <w:kern w:val="0"/>
                <w:szCs w:val="21"/>
              </w:rPr>
              <w:t>0</w:t>
            </w:r>
          </w:p>
        </w:tc>
        <w:tc>
          <w:tcPr>
            <w:tcW w:w="1553" w:type="dxa"/>
            <w:noWrap w:val="0"/>
            <w:vAlign w:val="center"/>
          </w:tcPr>
          <w:p w14:paraId="62A434FD">
            <w:pPr>
              <w:widowControl/>
              <w:spacing w:line="240" w:lineRule="exact"/>
              <w:jc w:val="center"/>
              <w:rPr>
                <w:rFonts w:hint="default" w:eastAsia="宋体"/>
                <w:kern w:val="0"/>
                <w:szCs w:val="21"/>
                <w:lang w:val="en-US" w:eastAsia="zh-CN"/>
              </w:rPr>
            </w:pPr>
            <w:r>
              <w:rPr>
                <w:rFonts w:hint="eastAsia"/>
                <w:kern w:val="0"/>
                <w:szCs w:val="21"/>
              </w:rPr>
              <w:t>0</w:t>
            </w:r>
          </w:p>
        </w:tc>
        <w:tc>
          <w:tcPr>
            <w:tcW w:w="1479" w:type="dxa"/>
            <w:noWrap w:val="0"/>
            <w:vAlign w:val="center"/>
          </w:tcPr>
          <w:p w14:paraId="35432654">
            <w:pPr>
              <w:widowControl/>
              <w:spacing w:line="240" w:lineRule="exact"/>
              <w:jc w:val="center"/>
              <w:rPr>
                <w:rFonts w:hint="eastAsia"/>
                <w:kern w:val="0"/>
                <w:szCs w:val="21"/>
              </w:rPr>
            </w:pPr>
            <w:r>
              <w:rPr>
                <w:rFonts w:hint="eastAsia"/>
                <w:kern w:val="0"/>
                <w:szCs w:val="21"/>
              </w:rPr>
              <w:t>0</w:t>
            </w:r>
          </w:p>
        </w:tc>
        <w:tc>
          <w:tcPr>
            <w:tcW w:w="1757" w:type="dxa"/>
            <w:noWrap w:val="0"/>
            <w:vAlign w:val="center"/>
          </w:tcPr>
          <w:p w14:paraId="0E24B4B1">
            <w:pPr>
              <w:widowControl/>
              <w:spacing w:line="240" w:lineRule="exact"/>
              <w:jc w:val="center"/>
              <w:rPr>
                <w:rFonts w:hint="default" w:eastAsia="宋体"/>
                <w:kern w:val="0"/>
                <w:szCs w:val="21"/>
                <w:lang w:val="en-US" w:eastAsia="zh-CN"/>
              </w:rPr>
            </w:pPr>
            <w:r>
              <w:rPr>
                <w:rFonts w:hint="eastAsia"/>
                <w:kern w:val="0"/>
                <w:szCs w:val="21"/>
              </w:rPr>
              <w:t>0</w:t>
            </w:r>
          </w:p>
        </w:tc>
        <w:tc>
          <w:tcPr>
            <w:tcW w:w="1695" w:type="dxa"/>
            <w:noWrap w:val="0"/>
            <w:vAlign w:val="center"/>
          </w:tcPr>
          <w:p w14:paraId="450D9F23">
            <w:pPr>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r>
              <w:rPr>
                <w:rFonts w:hint="eastAsia" w:cs="Times New Roman"/>
                <w:sz w:val="21"/>
                <w:szCs w:val="21"/>
                <w:lang w:val="en-US" w:eastAsia="zh-CN"/>
              </w:rPr>
              <w:t>0</w:t>
            </w:r>
          </w:p>
        </w:tc>
      </w:tr>
      <w:tr w14:paraId="48F4E6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77" w:type="dxa"/>
            <w:vMerge w:val="continue"/>
            <w:noWrap w:val="0"/>
            <w:vAlign w:val="center"/>
          </w:tcPr>
          <w:p w14:paraId="17DF7774">
            <w:pPr>
              <w:widowControl/>
              <w:spacing w:line="240" w:lineRule="exact"/>
              <w:jc w:val="center"/>
              <w:rPr>
                <w:kern w:val="0"/>
                <w:szCs w:val="21"/>
              </w:rPr>
            </w:pPr>
          </w:p>
        </w:tc>
        <w:tc>
          <w:tcPr>
            <w:tcW w:w="2164" w:type="dxa"/>
            <w:noWrap w:val="0"/>
            <w:vAlign w:val="center"/>
          </w:tcPr>
          <w:p w14:paraId="7F6FC137">
            <w:pPr>
              <w:widowControl/>
              <w:spacing w:line="240" w:lineRule="exact"/>
              <w:jc w:val="center"/>
              <w:rPr>
                <w:kern w:val="0"/>
                <w:szCs w:val="21"/>
              </w:rPr>
            </w:pPr>
            <w:r>
              <w:rPr>
                <w:kern w:val="0"/>
                <w:szCs w:val="21"/>
              </w:rPr>
              <w:t>COD（t/a）</w:t>
            </w:r>
          </w:p>
        </w:tc>
        <w:tc>
          <w:tcPr>
            <w:tcW w:w="1596" w:type="dxa"/>
            <w:noWrap w:val="0"/>
            <w:vAlign w:val="center"/>
          </w:tcPr>
          <w:p w14:paraId="5EF3A452">
            <w:pPr>
              <w:widowControl/>
              <w:spacing w:line="240" w:lineRule="exact"/>
              <w:jc w:val="center"/>
              <w:rPr>
                <w:rFonts w:hint="default" w:ascii="Times New Roman" w:hAnsi="Times New Roman" w:eastAsia="宋体" w:cs="Times New Roman"/>
                <w:kern w:val="2"/>
                <w:sz w:val="21"/>
                <w:szCs w:val="21"/>
                <w:lang w:val="en-US" w:eastAsia="zh-CN" w:bidi="bo-CN"/>
              </w:rPr>
            </w:pPr>
            <w:r>
              <w:rPr>
                <w:rFonts w:hint="eastAsia"/>
                <w:kern w:val="0"/>
                <w:szCs w:val="21"/>
              </w:rPr>
              <w:t>0</w:t>
            </w:r>
          </w:p>
        </w:tc>
        <w:tc>
          <w:tcPr>
            <w:tcW w:w="1521" w:type="dxa"/>
            <w:noWrap w:val="0"/>
            <w:vAlign w:val="center"/>
          </w:tcPr>
          <w:p w14:paraId="23745389">
            <w:pPr>
              <w:widowControl/>
              <w:spacing w:line="240" w:lineRule="exact"/>
              <w:jc w:val="center"/>
              <w:rPr>
                <w:kern w:val="0"/>
                <w:szCs w:val="21"/>
              </w:rPr>
            </w:pPr>
            <w:r>
              <w:rPr>
                <w:rFonts w:hint="eastAsia"/>
                <w:kern w:val="0"/>
                <w:szCs w:val="21"/>
              </w:rPr>
              <w:t>0</w:t>
            </w:r>
          </w:p>
        </w:tc>
        <w:tc>
          <w:tcPr>
            <w:tcW w:w="1522" w:type="dxa"/>
            <w:noWrap w:val="0"/>
            <w:vAlign w:val="center"/>
          </w:tcPr>
          <w:p w14:paraId="22E4FE82">
            <w:pPr>
              <w:widowControl/>
              <w:spacing w:line="240" w:lineRule="exact"/>
              <w:jc w:val="center"/>
              <w:rPr>
                <w:rFonts w:hint="eastAsia"/>
                <w:kern w:val="0"/>
                <w:szCs w:val="21"/>
              </w:rPr>
            </w:pPr>
            <w:r>
              <w:rPr>
                <w:rFonts w:hint="eastAsia"/>
                <w:kern w:val="0"/>
                <w:szCs w:val="21"/>
              </w:rPr>
              <w:t>0</w:t>
            </w:r>
          </w:p>
        </w:tc>
        <w:tc>
          <w:tcPr>
            <w:tcW w:w="1553" w:type="dxa"/>
            <w:noWrap w:val="0"/>
            <w:vAlign w:val="center"/>
          </w:tcPr>
          <w:p w14:paraId="2789D2F1">
            <w:pPr>
              <w:widowControl/>
              <w:spacing w:line="240" w:lineRule="exact"/>
              <w:jc w:val="center"/>
              <w:rPr>
                <w:rFonts w:hint="default"/>
                <w:lang w:val="en-US" w:eastAsia="zh-CN"/>
              </w:rPr>
            </w:pPr>
            <w:r>
              <w:rPr>
                <w:rFonts w:hint="eastAsia"/>
                <w:kern w:val="0"/>
                <w:szCs w:val="21"/>
              </w:rPr>
              <w:t>0</w:t>
            </w:r>
          </w:p>
        </w:tc>
        <w:tc>
          <w:tcPr>
            <w:tcW w:w="1479" w:type="dxa"/>
            <w:noWrap w:val="0"/>
            <w:vAlign w:val="center"/>
          </w:tcPr>
          <w:p w14:paraId="067E64F5">
            <w:pPr>
              <w:widowControl/>
              <w:spacing w:line="240" w:lineRule="exact"/>
              <w:jc w:val="center"/>
              <w:rPr>
                <w:rFonts w:hint="eastAsia"/>
                <w:kern w:val="0"/>
                <w:szCs w:val="21"/>
              </w:rPr>
            </w:pPr>
            <w:r>
              <w:rPr>
                <w:rFonts w:hint="eastAsia"/>
                <w:kern w:val="0"/>
                <w:szCs w:val="21"/>
              </w:rPr>
              <w:t>0</w:t>
            </w:r>
          </w:p>
        </w:tc>
        <w:tc>
          <w:tcPr>
            <w:tcW w:w="1757" w:type="dxa"/>
            <w:noWrap w:val="0"/>
            <w:vAlign w:val="center"/>
          </w:tcPr>
          <w:p w14:paraId="27D16EC8">
            <w:pPr>
              <w:widowControl/>
              <w:spacing w:line="240" w:lineRule="exact"/>
              <w:jc w:val="center"/>
              <w:rPr>
                <w:kern w:val="0"/>
                <w:szCs w:val="21"/>
              </w:rPr>
            </w:pPr>
            <w:r>
              <w:rPr>
                <w:rFonts w:hint="eastAsia"/>
                <w:kern w:val="0"/>
                <w:szCs w:val="21"/>
              </w:rPr>
              <w:t>0</w:t>
            </w:r>
          </w:p>
        </w:tc>
        <w:tc>
          <w:tcPr>
            <w:tcW w:w="1695" w:type="dxa"/>
            <w:noWrap w:val="0"/>
            <w:vAlign w:val="center"/>
          </w:tcPr>
          <w:p w14:paraId="1BB519EE">
            <w:pPr>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w:t>
            </w:r>
          </w:p>
        </w:tc>
      </w:tr>
      <w:tr w14:paraId="042709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77" w:type="dxa"/>
            <w:vMerge w:val="continue"/>
            <w:noWrap w:val="0"/>
            <w:vAlign w:val="center"/>
          </w:tcPr>
          <w:p w14:paraId="746FDEBA">
            <w:pPr>
              <w:widowControl/>
              <w:spacing w:line="240" w:lineRule="exact"/>
              <w:jc w:val="center"/>
              <w:rPr>
                <w:kern w:val="0"/>
                <w:szCs w:val="21"/>
              </w:rPr>
            </w:pPr>
          </w:p>
        </w:tc>
        <w:tc>
          <w:tcPr>
            <w:tcW w:w="2164" w:type="dxa"/>
            <w:noWrap w:val="0"/>
            <w:vAlign w:val="center"/>
          </w:tcPr>
          <w:p w14:paraId="55E6FDDB">
            <w:pPr>
              <w:widowControl/>
              <w:spacing w:line="240" w:lineRule="exact"/>
              <w:jc w:val="center"/>
              <w:rPr>
                <w:kern w:val="0"/>
                <w:szCs w:val="21"/>
              </w:rPr>
            </w:pPr>
            <w:r>
              <w:rPr>
                <w:kern w:val="0"/>
                <w:szCs w:val="21"/>
              </w:rPr>
              <w:t>氨氮（t/a）</w:t>
            </w:r>
          </w:p>
        </w:tc>
        <w:tc>
          <w:tcPr>
            <w:tcW w:w="1596" w:type="dxa"/>
            <w:noWrap w:val="0"/>
            <w:vAlign w:val="center"/>
          </w:tcPr>
          <w:p w14:paraId="3924C1CC">
            <w:pPr>
              <w:widowControl/>
              <w:spacing w:line="240" w:lineRule="exact"/>
              <w:jc w:val="center"/>
              <w:rPr>
                <w:rFonts w:hint="default" w:ascii="Times New Roman" w:hAnsi="Times New Roman" w:eastAsia="宋体" w:cs="Times New Roman"/>
                <w:kern w:val="2"/>
                <w:sz w:val="21"/>
                <w:szCs w:val="21"/>
                <w:lang w:val="en-US" w:eastAsia="zh-CN" w:bidi="bo-CN"/>
              </w:rPr>
            </w:pPr>
            <w:r>
              <w:rPr>
                <w:rFonts w:hint="eastAsia"/>
                <w:kern w:val="0"/>
                <w:szCs w:val="21"/>
              </w:rPr>
              <w:t>0</w:t>
            </w:r>
          </w:p>
        </w:tc>
        <w:tc>
          <w:tcPr>
            <w:tcW w:w="1521" w:type="dxa"/>
            <w:noWrap w:val="0"/>
            <w:vAlign w:val="center"/>
          </w:tcPr>
          <w:p w14:paraId="7A47932D">
            <w:pPr>
              <w:widowControl/>
              <w:spacing w:line="240" w:lineRule="exact"/>
              <w:jc w:val="center"/>
              <w:rPr>
                <w:kern w:val="0"/>
                <w:szCs w:val="21"/>
              </w:rPr>
            </w:pPr>
            <w:r>
              <w:rPr>
                <w:rFonts w:hint="eastAsia"/>
                <w:kern w:val="0"/>
                <w:szCs w:val="21"/>
              </w:rPr>
              <w:t>0</w:t>
            </w:r>
          </w:p>
        </w:tc>
        <w:tc>
          <w:tcPr>
            <w:tcW w:w="1522" w:type="dxa"/>
            <w:noWrap w:val="0"/>
            <w:vAlign w:val="center"/>
          </w:tcPr>
          <w:p w14:paraId="3E8D5EC5">
            <w:pPr>
              <w:widowControl/>
              <w:spacing w:line="240" w:lineRule="exact"/>
              <w:jc w:val="center"/>
              <w:rPr>
                <w:rFonts w:hint="eastAsia"/>
                <w:kern w:val="0"/>
                <w:szCs w:val="21"/>
              </w:rPr>
            </w:pPr>
            <w:r>
              <w:rPr>
                <w:rFonts w:hint="eastAsia"/>
                <w:kern w:val="0"/>
                <w:szCs w:val="21"/>
              </w:rPr>
              <w:t>0</w:t>
            </w:r>
          </w:p>
        </w:tc>
        <w:tc>
          <w:tcPr>
            <w:tcW w:w="1553" w:type="dxa"/>
            <w:noWrap w:val="0"/>
            <w:vAlign w:val="center"/>
          </w:tcPr>
          <w:p w14:paraId="04C45228">
            <w:pPr>
              <w:widowControl/>
              <w:spacing w:line="240" w:lineRule="exact"/>
              <w:jc w:val="center"/>
              <w:rPr>
                <w:rFonts w:hint="default" w:eastAsia="宋体"/>
                <w:kern w:val="0"/>
                <w:szCs w:val="21"/>
                <w:lang w:val="en-US" w:eastAsia="zh-CN"/>
              </w:rPr>
            </w:pPr>
            <w:r>
              <w:rPr>
                <w:rFonts w:hint="eastAsia"/>
                <w:kern w:val="0"/>
                <w:szCs w:val="21"/>
              </w:rPr>
              <w:t>0</w:t>
            </w:r>
          </w:p>
        </w:tc>
        <w:tc>
          <w:tcPr>
            <w:tcW w:w="1479" w:type="dxa"/>
            <w:noWrap w:val="0"/>
            <w:vAlign w:val="center"/>
          </w:tcPr>
          <w:p w14:paraId="5DF5CC66">
            <w:pPr>
              <w:widowControl/>
              <w:spacing w:line="240" w:lineRule="exact"/>
              <w:jc w:val="center"/>
              <w:rPr>
                <w:rFonts w:hint="eastAsia"/>
                <w:kern w:val="0"/>
                <w:szCs w:val="21"/>
              </w:rPr>
            </w:pPr>
            <w:r>
              <w:rPr>
                <w:rFonts w:hint="eastAsia"/>
                <w:kern w:val="0"/>
                <w:szCs w:val="21"/>
              </w:rPr>
              <w:t>0</w:t>
            </w:r>
          </w:p>
        </w:tc>
        <w:tc>
          <w:tcPr>
            <w:tcW w:w="1757" w:type="dxa"/>
            <w:noWrap w:val="0"/>
            <w:vAlign w:val="center"/>
          </w:tcPr>
          <w:p w14:paraId="3E06545A">
            <w:pPr>
              <w:widowControl/>
              <w:spacing w:line="240" w:lineRule="exact"/>
              <w:jc w:val="center"/>
              <w:rPr>
                <w:kern w:val="0"/>
                <w:szCs w:val="21"/>
              </w:rPr>
            </w:pPr>
            <w:r>
              <w:rPr>
                <w:rFonts w:hint="eastAsia"/>
                <w:kern w:val="0"/>
                <w:szCs w:val="21"/>
              </w:rPr>
              <w:t>0</w:t>
            </w:r>
          </w:p>
        </w:tc>
        <w:tc>
          <w:tcPr>
            <w:tcW w:w="1695" w:type="dxa"/>
            <w:noWrap w:val="0"/>
            <w:vAlign w:val="center"/>
          </w:tcPr>
          <w:p w14:paraId="54B168A0">
            <w:pPr>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w:t>
            </w:r>
          </w:p>
        </w:tc>
      </w:tr>
      <w:tr w14:paraId="0435E8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77" w:type="dxa"/>
            <w:vMerge w:val="continue"/>
            <w:noWrap w:val="0"/>
            <w:vAlign w:val="center"/>
          </w:tcPr>
          <w:p w14:paraId="3DDE5ACD">
            <w:pPr>
              <w:widowControl/>
              <w:spacing w:line="240" w:lineRule="exact"/>
              <w:jc w:val="center"/>
              <w:rPr>
                <w:kern w:val="0"/>
                <w:szCs w:val="21"/>
              </w:rPr>
            </w:pPr>
          </w:p>
        </w:tc>
        <w:tc>
          <w:tcPr>
            <w:tcW w:w="2164" w:type="dxa"/>
            <w:noWrap w:val="0"/>
            <w:vAlign w:val="center"/>
          </w:tcPr>
          <w:p w14:paraId="550A8D90">
            <w:pPr>
              <w:widowControl/>
              <w:spacing w:line="240" w:lineRule="exact"/>
              <w:jc w:val="center"/>
              <w:rPr>
                <w:kern w:val="0"/>
                <w:szCs w:val="21"/>
              </w:rPr>
            </w:pPr>
            <w:r>
              <w:rPr>
                <w:kern w:val="0"/>
                <w:szCs w:val="21"/>
              </w:rPr>
              <w:t>TP（t/a）</w:t>
            </w:r>
          </w:p>
        </w:tc>
        <w:tc>
          <w:tcPr>
            <w:tcW w:w="1596" w:type="dxa"/>
            <w:noWrap w:val="0"/>
            <w:vAlign w:val="center"/>
          </w:tcPr>
          <w:p w14:paraId="1C18B0D5">
            <w:pPr>
              <w:widowControl/>
              <w:spacing w:line="240" w:lineRule="exact"/>
              <w:jc w:val="center"/>
              <w:rPr>
                <w:rFonts w:hint="default" w:ascii="Times New Roman" w:hAnsi="Times New Roman" w:eastAsia="宋体" w:cs="Times New Roman"/>
                <w:kern w:val="2"/>
                <w:sz w:val="21"/>
                <w:szCs w:val="21"/>
                <w:lang w:val="en-US" w:eastAsia="zh-CN" w:bidi="bo-CN"/>
              </w:rPr>
            </w:pPr>
            <w:r>
              <w:rPr>
                <w:rFonts w:hint="eastAsia"/>
                <w:kern w:val="0"/>
                <w:szCs w:val="21"/>
              </w:rPr>
              <w:t>0</w:t>
            </w:r>
          </w:p>
        </w:tc>
        <w:tc>
          <w:tcPr>
            <w:tcW w:w="1521" w:type="dxa"/>
            <w:noWrap w:val="0"/>
            <w:vAlign w:val="center"/>
          </w:tcPr>
          <w:p w14:paraId="4810EA5F">
            <w:pPr>
              <w:widowControl/>
              <w:spacing w:line="240" w:lineRule="exact"/>
              <w:jc w:val="center"/>
              <w:rPr>
                <w:kern w:val="0"/>
                <w:szCs w:val="21"/>
              </w:rPr>
            </w:pPr>
            <w:r>
              <w:rPr>
                <w:rFonts w:hint="eastAsia"/>
                <w:kern w:val="0"/>
                <w:szCs w:val="21"/>
              </w:rPr>
              <w:t>0</w:t>
            </w:r>
          </w:p>
        </w:tc>
        <w:tc>
          <w:tcPr>
            <w:tcW w:w="1522" w:type="dxa"/>
            <w:noWrap w:val="0"/>
            <w:vAlign w:val="center"/>
          </w:tcPr>
          <w:p w14:paraId="5E600C9B">
            <w:pPr>
              <w:widowControl/>
              <w:spacing w:line="240" w:lineRule="exact"/>
              <w:jc w:val="center"/>
              <w:rPr>
                <w:rFonts w:hint="eastAsia"/>
                <w:kern w:val="0"/>
                <w:szCs w:val="21"/>
              </w:rPr>
            </w:pPr>
            <w:r>
              <w:rPr>
                <w:rFonts w:hint="eastAsia"/>
                <w:kern w:val="0"/>
                <w:szCs w:val="21"/>
              </w:rPr>
              <w:t>0</w:t>
            </w:r>
          </w:p>
        </w:tc>
        <w:tc>
          <w:tcPr>
            <w:tcW w:w="1553" w:type="dxa"/>
            <w:noWrap w:val="0"/>
            <w:vAlign w:val="center"/>
          </w:tcPr>
          <w:p w14:paraId="451ADC88">
            <w:pPr>
              <w:widowControl/>
              <w:spacing w:line="240" w:lineRule="exact"/>
              <w:jc w:val="center"/>
              <w:rPr>
                <w:rFonts w:hint="default" w:eastAsia="宋体"/>
                <w:kern w:val="0"/>
                <w:szCs w:val="21"/>
                <w:lang w:val="en-US" w:eastAsia="zh-CN"/>
              </w:rPr>
            </w:pPr>
            <w:r>
              <w:rPr>
                <w:rFonts w:hint="eastAsia"/>
                <w:kern w:val="0"/>
                <w:szCs w:val="21"/>
              </w:rPr>
              <w:t>0</w:t>
            </w:r>
          </w:p>
        </w:tc>
        <w:tc>
          <w:tcPr>
            <w:tcW w:w="1479" w:type="dxa"/>
            <w:noWrap w:val="0"/>
            <w:vAlign w:val="center"/>
          </w:tcPr>
          <w:p w14:paraId="71519B4A">
            <w:pPr>
              <w:widowControl/>
              <w:spacing w:line="240" w:lineRule="exact"/>
              <w:jc w:val="center"/>
              <w:rPr>
                <w:kern w:val="0"/>
                <w:szCs w:val="21"/>
              </w:rPr>
            </w:pPr>
            <w:r>
              <w:rPr>
                <w:rFonts w:hint="eastAsia"/>
                <w:kern w:val="0"/>
                <w:szCs w:val="21"/>
              </w:rPr>
              <w:t>0</w:t>
            </w:r>
          </w:p>
        </w:tc>
        <w:tc>
          <w:tcPr>
            <w:tcW w:w="1757" w:type="dxa"/>
            <w:noWrap w:val="0"/>
            <w:vAlign w:val="center"/>
          </w:tcPr>
          <w:p w14:paraId="67A1E65B">
            <w:pPr>
              <w:widowControl/>
              <w:spacing w:line="240" w:lineRule="exact"/>
              <w:jc w:val="center"/>
              <w:rPr>
                <w:kern w:val="0"/>
                <w:szCs w:val="21"/>
              </w:rPr>
            </w:pPr>
            <w:r>
              <w:rPr>
                <w:rFonts w:hint="eastAsia"/>
                <w:kern w:val="0"/>
                <w:szCs w:val="21"/>
              </w:rPr>
              <w:t>0</w:t>
            </w:r>
          </w:p>
        </w:tc>
        <w:tc>
          <w:tcPr>
            <w:tcW w:w="1695" w:type="dxa"/>
            <w:noWrap w:val="0"/>
            <w:vAlign w:val="center"/>
          </w:tcPr>
          <w:p w14:paraId="1555CBC1">
            <w:pPr>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w:t>
            </w:r>
          </w:p>
        </w:tc>
      </w:tr>
      <w:tr w14:paraId="2C8BD0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77" w:type="dxa"/>
            <w:vMerge w:val="restart"/>
            <w:noWrap w:val="0"/>
            <w:vAlign w:val="center"/>
          </w:tcPr>
          <w:p w14:paraId="3F090DDD">
            <w:pPr>
              <w:widowControl/>
              <w:spacing w:line="240" w:lineRule="exact"/>
              <w:jc w:val="center"/>
              <w:rPr>
                <w:kern w:val="0"/>
                <w:szCs w:val="21"/>
              </w:rPr>
            </w:pPr>
            <w:r>
              <w:rPr>
                <w:kern w:val="0"/>
                <w:szCs w:val="21"/>
              </w:rPr>
              <w:t>一般工业固体废物</w:t>
            </w:r>
          </w:p>
        </w:tc>
        <w:tc>
          <w:tcPr>
            <w:tcW w:w="2164" w:type="dxa"/>
            <w:noWrap w:val="0"/>
            <w:vAlign w:val="center"/>
          </w:tcPr>
          <w:p w14:paraId="4456C05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highlight w:val="none"/>
                <w:vertAlign w:val="baseline"/>
                <w:lang w:eastAsia="zh-CN"/>
              </w:rPr>
              <w:t>生活垃圾</w:t>
            </w:r>
            <w:r>
              <w:rPr>
                <w:kern w:val="0"/>
                <w:szCs w:val="21"/>
              </w:rPr>
              <w:t>（t/a）</w:t>
            </w:r>
          </w:p>
        </w:tc>
        <w:tc>
          <w:tcPr>
            <w:tcW w:w="1596" w:type="dxa"/>
            <w:noWrap w:val="0"/>
            <w:vAlign w:val="center"/>
          </w:tcPr>
          <w:p w14:paraId="5FD5BACF">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3.96</w:t>
            </w:r>
          </w:p>
        </w:tc>
        <w:tc>
          <w:tcPr>
            <w:tcW w:w="1521" w:type="dxa"/>
            <w:noWrap w:val="0"/>
            <w:vAlign w:val="center"/>
          </w:tcPr>
          <w:p w14:paraId="7CF56B6C">
            <w:pPr>
              <w:widowControl/>
              <w:spacing w:line="240" w:lineRule="exact"/>
              <w:jc w:val="center"/>
              <w:rPr>
                <w:kern w:val="0"/>
                <w:szCs w:val="21"/>
              </w:rPr>
            </w:pPr>
            <w:r>
              <w:rPr>
                <w:rFonts w:hint="eastAsia"/>
                <w:kern w:val="0"/>
                <w:szCs w:val="21"/>
              </w:rPr>
              <w:t>0</w:t>
            </w:r>
          </w:p>
        </w:tc>
        <w:tc>
          <w:tcPr>
            <w:tcW w:w="1522" w:type="dxa"/>
            <w:noWrap w:val="0"/>
            <w:vAlign w:val="center"/>
          </w:tcPr>
          <w:p w14:paraId="28B1D578">
            <w:pPr>
              <w:widowControl/>
              <w:spacing w:line="240" w:lineRule="exact"/>
              <w:jc w:val="center"/>
              <w:rPr>
                <w:kern w:val="0"/>
                <w:szCs w:val="21"/>
              </w:rPr>
            </w:pPr>
            <w:r>
              <w:rPr>
                <w:rFonts w:hint="eastAsia"/>
                <w:kern w:val="0"/>
                <w:szCs w:val="21"/>
              </w:rPr>
              <w:t>0</w:t>
            </w:r>
          </w:p>
        </w:tc>
        <w:tc>
          <w:tcPr>
            <w:tcW w:w="1553" w:type="dxa"/>
            <w:noWrap/>
            <w:vAlign w:val="center"/>
          </w:tcPr>
          <w:p w14:paraId="576D441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highlight w:val="none"/>
                <w:vertAlign w:val="baseline"/>
                <w:lang w:eastAsia="zh-CN"/>
              </w:rPr>
              <w:t>5.28</w:t>
            </w:r>
          </w:p>
        </w:tc>
        <w:tc>
          <w:tcPr>
            <w:tcW w:w="1479" w:type="dxa"/>
            <w:noWrap w:val="0"/>
            <w:vAlign w:val="center"/>
          </w:tcPr>
          <w:p w14:paraId="08959B67">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kern w:val="0"/>
                <w:szCs w:val="21"/>
              </w:rPr>
            </w:pPr>
            <w:r>
              <w:rPr>
                <w:rFonts w:hint="eastAsia" w:cs="Times New Roman"/>
                <w:kern w:val="2"/>
                <w:sz w:val="21"/>
                <w:szCs w:val="21"/>
                <w:lang w:val="en-US" w:eastAsia="zh-CN" w:bidi="bo-CN"/>
              </w:rPr>
              <w:t>3.96</w:t>
            </w:r>
          </w:p>
        </w:tc>
        <w:tc>
          <w:tcPr>
            <w:tcW w:w="1757" w:type="dxa"/>
            <w:noWrap w:val="0"/>
            <w:vAlign w:val="center"/>
          </w:tcPr>
          <w:p w14:paraId="4BD543A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highlight w:val="none"/>
                <w:vertAlign w:val="baseline"/>
                <w:lang w:eastAsia="zh-CN"/>
              </w:rPr>
              <w:t>5.28</w:t>
            </w:r>
          </w:p>
        </w:tc>
        <w:tc>
          <w:tcPr>
            <w:tcW w:w="1695" w:type="dxa"/>
            <w:noWrap w:val="0"/>
            <w:vAlign w:val="center"/>
          </w:tcPr>
          <w:p w14:paraId="6CD67B28">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sz w:val="21"/>
                <w:szCs w:val="21"/>
                <w:lang w:val="en-US" w:eastAsia="zh-CN"/>
              </w:rPr>
              <w:t>+1.32</w:t>
            </w:r>
          </w:p>
        </w:tc>
      </w:tr>
      <w:tr w14:paraId="1F62C3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77" w:type="dxa"/>
            <w:vMerge w:val="continue"/>
            <w:noWrap w:val="0"/>
            <w:vAlign w:val="center"/>
          </w:tcPr>
          <w:p w14:paraId="595B70A9">
            <w:pPr>
              <w:widowControl/>
              <w:spacing w:line="240" w:lineRule="exact"/>
              <w:jc w:val="center"/>
              <w:rPr>
                <w:kern w:val="0"/>
                <w:szCs w:val="21"/>
              </w:rPr>
            </w:pPr>
          </w:p>
        </w:tc>
        <w:tc>
          <w:tcPr>
            <w:tcW w:w="2164" w:type="dxa"/>
            <w:noWrap w:val="0"/>
            <w:vAlign w:val="center"/>
          </w:tcPr>
          <w:p w14:paraId="431E2C3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highlight w:val="none"/>
                <w:vertAlign w:val="baseline"/>
                <w:lang w:eastAsia="zh-CN"/>
              </w:rPr>
              <w:t>餐厨垃圾及废油脂</w:t>
            </w:r>
            <w:r>
              <w:rPr>
                <w:kern w:val="0"/>
                <w:szCs w:val="21"/>
              </w:rPr>
              <w:t>（t/a）</w:t>
            </w:r>
          </w:p>
        </w:tc>
        <w:tc>
          <w:tcPr>
            <w:tcW w:w="1596" w:type="dxa"/>
            <w:noWrap w:val="0"/>
            <w:vAlign w:val="center"/>
          </w:tcPr>
          <w:p w14:paraId="2B8E875D">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0</w:t>
            </w:r>
          </w:p>
        </w:tc>
        <w:tc>
          <w:tcPr>
            <w:tcW w:w="1521" w:type="dxa"/>
            <w:noWrap w:val="0"/>
            <w:vAlign w:val="center"/>
          </w:tcPr>
          <w:p w14:paraId="03A9BE55">
            <w:pPr>
              <w:widowControl/>
              <w:spacing w:line="240" w:lineRule="exact"/>
              <w:jc w:val="center"/>
              <w:rPr>
                <w:kern w:val="0"/>
                <w:szCs w:val="21"/>
              </w:rPr>
            </w:pPr>
            <w:r>
              <w:rPr>
                <w:rFonts w:hint="eastAsia"/>
                <w:kern w:val="0"/>
                <w:szCs w:val="21"/>
              </w:rPr>
              <w:t>0</w:t>
            </w:r>
          </w:p>
        </w:tc>
        <w:tc>
          <w:tcPr>
            <w:tcW w:w="1522" w:type="dxa"/>
            <w:noWrap w:val="0"/>
            <w:vAlign w:val="center"/>
          </w:tcPr>
          <w:p w14:paraId="0D93E531">
            <w:pPr>
              <w:widowControl/>
              <w:spacing w:line="240" w:lineRule="exact"/>
              <w:jc w:val="center"/>
              <w:rPr>
                <w:kern w:val="0"/>
                <w:szCs w:val="21"/>
              </w:rPr>
            </w:pPr>
            <w:r>
              <w:rPr>
                <w:rFonts w:hint="eastAsia"/>
                <w:kern w:val="0"/>
                <w:szCs w:val="21"/>
              </w:rPr>
              <w:t>0</w:t>
            </w:r>
          </w:p>
        </w:tc>
        <w:tc>
          <w:tcPr>
            <w:tcW w:w="1553" w:type="dxa"/>
            <w:noWrap w:val="0"/>
            <w:vAlign w:val="center"/>
          </w:tcPr>
          <w:p w14:paraId="462C9E3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highlight w:val="none"/>
                <w:vertAlign w:val="baseline"/>
                <w:lang w:eastAsia="zh-CN"/>
              </w:rPr>
              <w:t>1.32</w:t>
            </w:r>
          </w:p>
        </w:tc>
        <w:tc>
          <w:tcPr>
            <w:tcW w:w="1479" w:type="dxa"/>
            <w:noWrap w:val="0"/>
            <w:vAlign w:val="center"/>
          </w:tcPr>
          <w:p w14:paraId="57F554EC">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kern w:val="0"/>
                <w:szCs w:val="21"/>
              </w:rPr>
            </w:pPr>
            <w:r>
              <w:rPr>
                <w:rFonts w:hint="eastAsia" w:cs="Times New Roman"/>
                <w:kern w:val="2"/>
                <w:sz w:val="21"/>
                <w:szCs w:val="21"/>
                <w:lang w:val="en-US" w:eastAsia="zh-CN" w:bidi="bo-CN"/>
              </w:rPr>
              <w:t>0</w:t>
            </w:r>
          </w:p>
        </w:tc>
        <w:tc>
          <w:tcPr>
            <w:tcW w:w="1757" w:type="dxa"/>
            <w:noWrap w:val="0"/>
            <w:vAlign w:val="center"/>
          </w:tcPr>
          <w:p w14:paraId="2B655DF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highlight w:val="none"/>
                <w:vertAlign w:val="baseline"/>
                <w:lang w:eastAsia="zh-CN"/>
              </w:rPr>
              <w:t>1.32</w:t>
            </w:r>
          </w:p>
        </w:tc>
        <w:tc>
          <w:tcPr>
            <w:tcW w:w="1695" w:type="dxa"/>
            <w:noWrap w:val="0"/>
            <w:vAlign w:val="center"/>
          </w:tcPr>
          <w:p w14:paraId="0227A3F5">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sz w:val="21"/>
                <w:szCs w:val="21"/>
                <w:lang w:val="en-US" w:eastAsia="zh-CN"/>
              </w:rPr>
              <w:t>+1.32</w:t>
            </w:r>
          </w:p>
        </w:tc>
      </w:tr>
      <w:tr w14:paraId="149362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77" w:type="dxa"/>
            <w:vMerge w:val="continue"/>
            <w:noWrap w:val="0"/>
            <w:vAlign w:val="center"/>
          </w:tcPr>
          <w:p w14:paraId="0746B9A6">
            <w:pPr>
              <w:widowControl/>
              <w:spacing w:line="240" w:lineRule="exact"/>
              <w:jc w:val="center"/>
              <w:rPr>
                <w:kern w:val="0"/>
                <w:szCs w:val="21"/>
              </w:rPr>
            </w:pPr>
          </w:p>
        </w:tc>
        <w:tc>
          <w:tcPr>
            <w:tcW w:w="2164" w:type="dxa"/>
            <w:noWrap w:val="0"/>
            <w:vAlign w:val="center"/>
          </w:tcPr>
          <w:p w14:paraId="4BBE9BA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highlight w:val="none"/>
                <w:vertAlign w:val="baseline"/>
                <w:lang w:eastAsia="zh-CN"/>
              </w:rPr>
              <w:t>沉淀池沉渣</w:t>
            </w:r>
            <w:r>
              <w:rPr>
                <w:kern w:val="0"/>
                <w:szCs w:val="21"/>
              </w:rPr>
              <w:t>（t/a）</w:t>
            </w:r>
          </w:p>
        </w:tc>
        <w:tc>
          <w:tcPr>
            <w:tcW w:w="1596" w:type="dxa"/>
            <w:noWrap w:val="0"/>
            <w:vAlign w:val="center"/>
          </w:tcPr>
          <w:p w14:paraId="09A3D797">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sz w:val="21"/>
                <w:szCs w:val="21"/>
                <w:lang w:val="en-US" w:eastAsia="zh-CN"/>
              </w:rPr>
              <w:t>0.8</w:t>
            </w:r>
          </w:p>
        </w:tc>
        <w:tc>
          <w:tcPr>
            <w:tcW w:w="1521" w:type="dxa"/>
            <w:noWrap w:val="0"/>
            <w:vAlign w:val="center"/>
          </w:tcPr>
          <w:p w14:paraId="381ECBF3">
            <w:pPr>
              <w:widowControl/>
              <w:spacing w:line="240" w:lineRule="exact"/>
              <w:jc w:val="center"/>
              <w:rPr>
                <w:kern w:val="0"/>
                <w:szCs w:val="21"/>
              </w:rPr>
            </w:pPr>
            <w:r>
              <w:rPr>
                <w:rFonts w:hint="eastAsia"/>
                <w:kern w:val="0"/>
                <w:szCs w:val="21"/>
              </w:rPr>
              <w:t>0</w:t>
            </w:r>
          </w:p>
        </w:tc>
        <w:tc>
          <w:tcPr>
            <w:tcW w:w="1522" w:type="dxa"/>
            <w:noWrap w:val="0"/>
            <w:vAlign w:val="center"/>
          </w:tcPr>
          <w:p w14:paraId="2EBA9017">
            <w:pPr>
              <w:widowControl/>
              <w:spacing w:line="240" w:lineRule="exact"/>
              <w:jc w:val="center"/>
              <w:rPr>
                <w:kern w:val="0"/>
                <w:szCs w:val="21"/>
              </w:rPr>
            </w:pPr>
            <w:r>
              <w:rPr>
                <w:rFonts w:hint="eastAsia"/>
                <w:kern w:val="0"/>
                <w:szCs w:val="21"/>
              </w:rPr>
              <w:t>0</w:t>
            </w:r>
          </w:p>
        </w:tc>
        <w:tc>
          <w:tcPr>
            <w:tcW w:w="1553" w:type="dxa"/>
            <w:noWrap w:val="0"/>
            <w:vAlign w:val="center"/>
          </w:tcPr>
          <w:p w14:paraId="5919760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2</w:t>
            </w:r>
          </w:p>
        </w:tc>
        <w:tc>
          <w:tcPr>
            <w:tcW w:w="1479" w:type="dxa"/>
            <w:noWrap w:val="0"/>
            <w:vAlign w:val="center"/>
          </w:tcPr>
          <w:p w14:paraId="2B11B94A">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kern w:val="0"/>
                <w:szCs w:val="21"/>
              </w:rPr>
            </w:pPr>
            <w:r>
              <w:rPr>
                <w:rFonts w:hint="eastAsia" w:cs="Times New Roman"/>
                <w:sz w:val="21"/>
                <w:szCs w:val="21"/>
                <w:lang w:val="en-US" w:eastAsia="zh-CN"/>
              </w:rPr>
              <w:t>0.8</w:t>
            </w:r>
          </w:p>
        </w:tc>
        <w:tc>
          <w:tcPr>
            <w:tcW w:w="1757" w:type="dxa"/>
            <w:noWrap w:val="0"/>
            <w:vAlign w:val="center"/>
          </w:tcPr>
          <w:p w14:paraId="4ACBE88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2</w:t>
            </w:r>
          </w:p>
        </w:tc>
        <w:tc>
          <w:tcPr>
            <w:tcW w:w="1695" w:type="dxa"/>
            <w:noWrap w:val="0"/>
            <w:vAlign w:val="center"/>
          </w:tcPr>
          <w:p w14:paraId="3ACD6C09">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sz w:val="21"/>
                <w:szCs w:val="21"/>
                <w:lang w:val="en-US" w:eastAsia="zh-CN"/>
              </w:rPr>
              <w:t>+1.2</w:t>
            </w:r>
          </w:p>
        </w:tc>
      </w:tr>
      <w:tr w14:paraId="0FD5A9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77" w:type="dxa"/>
            <w:vMerge w:val="continue"/>
            <w:noWrap w:val="0"/>
            <w:vAlign w:val="center"/>
          </w:tcPr>
          <w:p w14:paraId="3C9A8B0D">
            <w:pPr>
              <w:widowControl/>
              <w:spacing w:line="240" w:lineRule="exact"/>
              <w:jc w:val="center"/>
              <w:rPr>
                <w:kern w:val="0"/>
                <w:szCs w:val="21"/>
              </w:rPr>
            </w:pPr>
          </w:p>
        </w:tc>
        <w:tc>
          <w:tcPr>
            <w:tcW w:w="2164" w:type="dxa"/>
            <w:noWrap w:val="0"/>
            <w:vAlign w:val="center"/>
          </w:tcPr>
          <w:p w14:paraId="3A1A542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喷淋塔沉渣</w:t>
            </w:r>
            <w:r>
              <w:rPr>
                <w:kern w:val="0"/>
                <w:szCs w:val="21"/>
              </w:rPr>
              <w:t>（t/a）</w:t>
            </w:r>
          </w:p>
        </w:tc>
        <w:tc>
          <w:tcPr>
            <w:tcW w:w="1596" w:type="dxa"/>
            <w:noWrap w:val="0"/>
            <w:vAlign w:val="center"/>
          </w:tcPr>
          <w:p w14:paraId="7DD78F95">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cs="Times New Roman"/>
                <w:sz w:val="21"/>
                <w:szCs w:val="21"/>
                <w:lang w:val="en-US" w:eastAsia="zh-CN"/>
              </w:rPr>
            </w:pPr>
            <w:r>
              <w:rPr>
                <w:rFonts w:hint="eastAsia" w:cs="Times New Roman"/>
                <w:sz w:val="21"/>
                <w:szCs w:val="21"/>
                <w:lang w:val="en-US" w:eastAsia="zh-CN"/>
              </w:rPr>
              <w:t>0</w:t>
            </w:r>
          </w:p>
        </w:tc>
        <w:tc>
          <w:tcPr>
            <w:tcW w:w="1521" w:type="dxa"/>
            <w:noWrap w:val="0"/>
            <w:vAlign w:val="center"/>
          </w:tcPr>
          <w:p w14:paraId="2F81A01A">
            <w:pPr>
              <w:widowControl/>
              <w:spacing w:line="240" w:lineRule="exact"/>
              <w:jc w:val="center"/>
              <w:rPr>
                <w:rFonts w:hint="default" w:eastAsia="宋体"/>
                <w:kern w:val="0"/>
                <w:szCs w:val="21"/>
                <w:lang w:val="en-US" w:eastAsia="zh-CN"/>
              </w:rPr>
            </w:pPr>
            <w:r>
              <w:rPr>
                <w:rFonts w:hint="eastAsia"/>
                <w:kern w:val="0"/>
                <w:szCs w:val="21"/>
                <w:lang w:val="en-US" w:eastAsia="zh-CN"/>
              </w:rPr>
              <w:t>0</w:t>
            </w:r>
          </w:p>
        </w:tc>
        <w:tc>
          <w:tcPr>
            <w:tcW w:w="1522" w:type="dxa"/>
            <w:noWrap w:val="0"/>
            <w:vAlign w:val="center"/>
          </w:tcPr>
          <w:p w14:paraId="58A56D29">
            <w:pPr>
              <w:widowControl/>
              <w:spacing w:line="240" w:lineRule="exact"/>
              <w:jc w:val="center"/>
              <w:rPr>
                <w:rFonts w:hint="eastAsia" w:eastAsia="宋体"/>
                <w:kern w:val="0"/>
                <w:szCs w:val="21"/>
                <w:lang w:val="en-US" w:eastAsia="zh-CN"/>
              </w:rPr>
            </w:pPr>
            <w:r>
              <w:rPr>
                <w:rFonts w:hint="eastAsia"/>
                <w:kern w:val="0"/>
                <w:szCs w:val="21"/>
                <w:lang w:val="en-US" w:eastAsia="zh-CN"/>
              </w:rPr>
              <w:t>0</w:t>
            </w:r>
          </w:p>
        </w:tc>
        <w:tc>
          <w:tcPr>
            <w:tcW w:w="1553" w:type="dxa"/>
            <w:noWrap w:val="0"/>
            <w:vAlign w:val="center"/>
          </w:tcPr>
          <w:p w14:paraId="68FB4988">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0.02</w:t>
            </w:r>
          </w:p>
        </w:tc>
        <w:tc>
          <w:tcPr>
            <w:tcW w:w="1479" w:type="dxa"/>
            <w:noWrap w:val="0"/>
            <w:vAlign w:val="center"/>
          </w:tcPr>
          <w:p w14:paraId="30E894BB">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cs="Times New Roman"/>
                <w:sz w:val="21"/>
                <w:szCs w:val="21"/>
                <w:lang w:val="en-US" w:eastAsia="zh-CN"/>
              </w:rPr>
            </w:pPr>
            <w:r>
              <w:rPr>
                <w:rFonts w:hint="eastAsia" w:cs="Times New Roman"/>
                <w:sz w:val="21"/>
                <w:szCs w:val="21"/>
                <w:lang w:val="en-US" w:eastAsia="zh-CN"/>
              </w:rPr>
              <w:t>0</w:t>
            </w:r>
          </w:p>
        </w:tc>
        <w:tc>
          <w:tcPr>
            <w:tcW w:w="1757" w:type="dxa"/>
            <w:noWrap w:val="0"/>
            <w:vAlign w:val="center"/>
          </w:tcPr>
          <w:p w14:paraId="7AD9FEC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0.02</w:t>
            </w:r>
          </w:p>
        </w:tc>
        <w:tc>
          <w:tcPr>
            <w:tcW w:w="1695" w:type="dxa"/>
            <w:noWrap w:val="0"/>
            <w:vAlign w:val="center"/>
          </w:tcPr>
          <w:p w14:paraId="048AE66D">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cs="Times New Roman"/>
                <w:sz w:val="21"/>
                <w:szCs w:val="21"/>
                <w:lang w:val="en-US" w:eastAsia="zh-CN"/>
              </w:rPr>
            </w:pPr>
            <w:r>
              <w:rPr>
                <w:rFonts w:hint="eastAsia" w:cs="Times New Roman"/>
                <w:sz w:val="21"/>
                <w:szCs w:val="21"/>
                <w:lang w:val="en-US" w:eastAsia="zh-CN"/>
              </w:rPr>
              <w:t>+0.02</w:t>
            </w:r>
          </w:p>
        </w:tc>
      </w:tr>
      <w:tr w14:paraId="3EF6E9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77" w:type="dxa"/>
            <w:vMerge w:val="continue"/>
            <w:noWrap w:val="0"/>
            <w:vAlign w:val="center"/>
          </w:tcPr>
          <w:p w14:paraId="14478992">
            <w:pPr>
              <w:widowControl/>
              <w:spacing w:line="240" w:lineRule="exact"/>
              <w:jc w:val="center"/>
              <w:rPr>
                <w:kern w:val="0"/>
                <w:szCs w:val="21"/>
              </w:rPr>
            </w:pPr>
          </w:p>
        </w:tc>
        <w:tc>
          <w:tcPr>
            <w:tcW w:w="2164" w:type="dxa"/>
            <w:noWrap w:val="0"/>
            <w:vAlign w:val="center"/>
          </w:tcPr>
          <w:p w14:paraId="74C7A21A">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highlight w:val="none"/>
                <w:vertAlign w:val="baseline"/>
                <w:lang w:eastAsia="zh-CN"/>
              </w:rPr>
              <w:t>筛分废料</w:t>
            </w:r>
            <w:r>
              <w:rPr>
                <w:kern w:val="0"/>
                <w:szCs w:val="21"/>
              </w:rPr>
              <w:t>（t/a）</w:t>
            </w:r>
          </w:p>
        </w:tc>
        <w:tc>
          <w:tcPr>
            <w:tcW w:w="1596" w:type="dxa"/>
            <w:noWrap w:val="0"/>
            <w:vAlign w:val="center"/>
          </w:tcPr>
          <w:p w14:paraId="67B9C852">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eastAsia" w:cs="Times New Roman"/>
                <w:sz w:val="21"/>
                <w:szCs w:val="21"/>
                <w:lang w:val="en-US" w:eastAsia="zh-CN"/>
              </w:rPr>
              <w:t>18.4</w:t>
            </w:r>
          </w:p>
        </w:tc>
        <w:tc>
          <w:tcPr>
            <w:tcW w:w="1521" w:type="dxa"/>
            <w:noWrap w:val="0"/>
            <w:vAlign w:val="center"/>
          </w:tcPr>
          <w:p w14:paraId="4EBD2722">
            <w:pPr>
              <w:widowControl/>
              <w:spacing w:line="240" w:lineRule="exact"/>
              <w:jc w:val="center"/>
              <w:rPr>
                <w:rFonts w:hint="eastAsia"/>
                <w:kern w:val="0"/>
                <w:szCs w:val="21"/>
              </w:rPr>
            </w:pPr>
            <w:r>
              <w:rPr>
                <w:rFonts w:hint="eastAsia"/>
                <w:kern w:val="0"/>
                <w:szCs w:val="21"/>
              </w:rPr>
              <w:t>0</w:t>
            </w:r>
          </w:p>
        </w:tc>
        <w:tc>
          <w:tcPr>
            <w:tcW w:w="1522" w:type="dxa"/>
            <w:noWrap w:val="0"/>
            <w:vAlign w:val="center"/>
          </w:tcPr>
          <w:p w14:paraId="47C30CBD">
            <w:pPr>
              <w:widowControl/>
              <w:spacing w:line="240" w:lineRule="exact"/>
              <w:jc w:val="center"/>
              <w:rPr>
                <w:rFonts w:hint="eastAsia"/>
                <w:kern w:val="0"/>
                <w:szCs w:val="21"/>
              </w:rPr>
            </w:pPr>
            <w:r>
              <w:rPr>
                <w:rFonts w:hint="eastAsia"/>
                <w:kern w:val="0"/>
                <w:szCs w:val="21"/>
              </w:rPr>
              <w:t>0</w:t>
            </w:r>
          </w:p>
        </w:tc>
        <w:tc>
          <w:tcPr>
            <w:tcW w:w="1553" w:type="dxa"/>
            <w:noWrap w:val="0"/>
            <w:vAlign w:val="center"/>
          </w:tcPr>
          <w:p w14:paraId="3E88980D">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highlight w:val="none"/>
                <w:vertAlign w:val="baseline"/>
                <w:lang w:eastAsia="zh-CN"/>
              </w:rPr>
              <w:t>239.35</w:t>
            </w:r>
          </w:p>
        </w:tc>
        <w:tc>
          <w:tcPr>
            <w:tcW w:w="1479" w:type="dxa"/>
            <w:noWrap w:val="0"/>
            <w:vAlign w:val="center"/>
          </w:tcPr>
          <w:p w14:paraId="6EDCDDBE">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kern w:val="0"/>
                <w:szCs w:val="21"/>
              </w:rPr>
            </w:pPr>
            <w:r>
              <w:rPr>
                <w:rFonts w:hint="eastAsia" w:cs="Times New Roman"/>
                <w:sz w:val="21"/>
                <w:szCs w:val="21"/>
                <w:lang w:val="en-US" w:eastAsia="zh-CN"/>
              </w:rPr>
              <w:t>18.4</w:t>
            </w:r>
          </w:p>
        </w:tc>
        <w:tc>
          <w:tcPr>
            <w:tcW w:w="1757" w:type="dxa"/>
            <w:noWrap w:val="0"/>
            <w:vAlign w:val="center"/>
          </w:tcPr>
          <w:p w14:paraId="3AAAC1E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highlight w:val="none"/>
                <w:vertAlign w:val="baseline"/>
                <w:lang w:eastAsia="zh-CN"/>
              </w:rPr>
              <w:t>239.35</w:t>
            </w:r>
          </w:p>
        </w:tc>
        <w:tc>
          <w:tcPr>
            <w:tcW w:w="1695" w:type="dxa"/>
            <w:noWrap w:val="0"/>
            <w:vAlign w:val="center"/>
          </w:tcPr>
          <w:p w14:paraId="70FAC33F">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eastAsia" w:cs="Times New Roman"/>
                <w:sz w:val="21"/>
                <w:szCs w:val="21"/>
                <w:lang w:val="en-US" w:eastAsia="zh-CN"/>
              </w:rPr>
              <w:t>+220.95</w:t>
            </w:r>
          </w:p>
        </w:tc>
      </w:tr>
      <w:tr w14:paraId="0BAF88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77" w:type="dxa"/>
            <w:vMerge w:val="continue"/>
            <w:noWrap w:val="0"/>
            <w:vAlign w:val="center"/>
          </w:tcPr>
          <w:p w14:paraId="627A55CD">
            <w:pPr>
              <w:widowControl/>
              <w:spacing w:line="240" w:lineRule="exact"/>
              <w:jc w:val="center"/>
              <w:rPr>
                <w:kern w:val="0"/>
                <w:szCs w:val="21"/>
              </w:rPr>
            </w:pPr>
          </w:p>
        </w:tc>
        <w:tc>
          <w:tcPr>
            <w:tcW w:w="2164" w:type="dxa"/>
            <w:noWrap w:val="0"/>
            <w:vAlign w:val="center"/>
          </w:tcPr>
          <w:p w14:paraId="5544B6F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highlight w:val="none"/>
                <w:vertAlign w:val="baseline"/>
                <w:lang w:eastAsia="zh-CN"/>
              </w:rPr>
              <w:t>拌合残渣、废沥青、沥青混凝土</w:t>
            </w:r>
            <w:r>
              <w:rPr>
                <w:kern w:val="0"/>
                <w:szCs w:val="21"/>
              </w:rPr>
              <w:t>（t/a）</w:t>
            </w:r>
          </w:p>
        </w:tc>
        <w:tc>
          <w:tcPr>
            <w:tcW w:w="1596" w:type="dxa"/>
            <w:noWrap w:val="0"/>
            <w:vAlign w:val="center"/>
          </w:tcPr>
          <w:p w14:paraId="594D2C9E">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default" w:ascii="Times New Roman" w:hAnsi="Times New Roman" w:eastAsia="宋体" w:cs="Times New Roman"/>
                <w:sz w:val="21"/>
                <w:szCs w:val="21"/>
                <w:lang w:val="en-US" w:eastAsia="zh-CN"/>
              </w:rPr>
              <w:t>10</w:t>
            </w:r>
          </w:p>
        </w:tc>
        <w:tc>
          <w:tcPr>
            <w:tcW w:w="1521" w:type="dxa"/>
            <w:noWrap w:val="0"/>
            <w:vAlign w:val="center"/>
          </w:tcPr>
          <w:p w14:paraId="2A17E373">
            <w:pPr>
              <w:widowControl/>
              <w:spacing w:line="240" w:lineRule="exact"/>
              <w:jc w:val="center"/>
              <w:rPr>
                <w:rFonts w:hint="eastAsia"/>
                <w:kern w:val="0"/>
                <w:szCs w:val="21"/>
              </w:rPr>
            </w:pPr>
            <w:r>
              <w:rPr>
                <w:rFonts w:hint="eastAsia"/>
                <w:kern w:val="0"/>
                <w:szCs w:val="21"/>
              </w:rPr>
              <w:t>0</w:t>
            </w:r>
          </w:p>
        </w:tc>
        <w:tc>
          <w:tcPr>
            <w:tcW w:w="1522" w:type="dxa"/>
            <w:noWrap w:val="0"/>
            <w:vAlign w:val="center"/>
          </w:tcPr>
          <w:p w14:paraId="288C237C">
            <w:pPr>
              <w:widowControl/>
              <w:spacing w:line="240" w:lineRule="exact"/>
              <w:jc w:val="center"/>
              <w:rPr>
                <w:rFonts w:hint="eastAsia" w:eastAsia="宋体"/>
                <w:kern w:val="0"/>
                <w:szCs w:val="21"/>
                <w:lang w:val="en-US" w:eastAsia="zh-CN"/>
              </w:rPr>
            </w:pPr>
            <w:r>
              <w:rPr>
                <w:rFonts w:hint="eastAsia"/>
                <w:kern w:val="0"/>
                <w:szCs w:val="21"/>
                <w:lang w:val="en-US" w:eastAsia="zh-CN"/>
              </w:rPr>
              <w:t>0</w:t>
            </w:r>
          </w:p>
        </w:tc>
        <w:tc>
          <w:tcPr>
            <w:tcW w:w="1553" w:type="dxa"/>
            <w:noWrap w:val="0"/>
            <w:vAlign w:val="center"/>
          </w:tcPr>
          <w:p w14:paraId="2658D77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19.8498</w:t>
            </w:r>
          </w:p>
        </w:tc>
        <w:tc>
          <w:tcPr>
            <w:tcW w:w="1479" w:type="dxa"/>
            <w:noWrap w:val="0"/>
            <w:vAlign w:val="center"/>
          </w:tcPr>
          <w:p w14:paraId="29DD53CF">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kern w:val="0"/>
                <w:szCs w:val="21"/>
              </w:rPr>
            </w:pPr>
            <w:r>
              <w:rPr>
                <w:rFonts w:hint="default" w:ascii="Times New Roman" w:hAnsi="Times New Roman" w:eastAsia="宋体" w:cs="Times New Roman"/>
                <w:sz w:val="21"/>
                <w:szCs w:val="21"/>
                <w:lang w:val="en-US" w:eastAsia="zh-CN"/>
              </w:rPr>
              <w:t>10</w:t>
            </w:r>
          </w:p>
        </w:tc>
        <w:tc>
          <w:tcPr>
            <w:tcW w:w="1757" w:type="dxa"/>
            <w:noWrap w:val="0"/>
            <w:vAlign w:val="center"/>
          </w:tcPr>
          <w:p w14:paraId="122E2E5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t>19.8498</w:t>
            </w:r>
          </w:p>
        </w:tc>
        <w:tc>
          <w:tcPr>
            <w:tcW w:w="1695" w:type="dxa"/>
            <w:noWrap w:val="0"/>
            <w:vAlign w:val="center"/>
          </w:tcPr>
          <w:p w14:paraId="10F77157">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eastAsia" w:cs="Times New Roman"/>
                <w:sz w:val="21"/>
                <w:szCs w:val="21"/>
                <w:lang w:val="en-US" w:eastAsia="zh-CN"/>
              </w:rPr>
              <w:t>+9.8498</w:t>
            </w:r>
          </w:p>
        </w:tc>
      </w:tr>
      <w:tr w14:paraId="0C4BCF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77" w:type="dxa"/>
            <w:vMerge w:val="continue"/>
            <w:noWrap w:val="0"/>
            <w:vAlign w:val="center"/>
          </w:tcPr>
          <w:p w14:paraId="4CF7973F">
            <w:pPr>
              <w:widowControl/>
              <w:spacing w:line="240" w:lineRule="exact"/>
              <w:jc w:val="center"/>
              <w:rPr>
                <w:kern w:val="0"/>
                <w:szCs w:val="21"/>
              </w:rPr>
            </w:pPr>
          </w:p>
        </w:tc>
        <w:tc>
          <w:tcPr>
            <w:tcW w:w="2164" w:type="dxa"/>
            <w:noWrap w:val="0"/>
            <w:vAlign w:val="center"/>
          </w:tcPr>
          <w:p w14:paraId="7B0F402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highlight w:val="none"/>
                <w:vertAlign w:val="baseline"/>
                <w:lang w:eastAsia="zh-CN"/>
              </w:rPr>
              <w:t>除尘器收尘</w:t>
            </w:r>
            <w:r>
              <w:rPr>
                <w:kern w:val="0"/>
                <w:szCs w:val="21"/>
              </w:rPr>
              <w:t>（t/a）</w:t>
            </w:r>
          </w:p>
        </w:tc>
        <w:tc>
          <w:tcPr>
            <w:tcW w:w="1596" w:type="dxa"/>
            <w:noWrap w:val="0"/>
            <w:vAlign w:val="center"/>
          </w:tcPr>
          <w:p w14:paraId="6264EE27">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default" w:ascii="Times New Roman" w:hAnsi="Times New Roman" w:eastAsia="宋体" w:cs="Times New Roman"/>
                <w:sz w:val="21"/>
                <w:szCs w:val="21"/>
                <w:lang w:val="en-US" w:eastAsia="zh-CN"/>
              </w:rPr>
              <w:t>261.6843</w:t>
            </w:r>
          </w:p>
        </w:tc>
        <w:tc>
          <w:tcPr>
            <w:tcW w:w="1521" w:type="dxa"/>
            <w:noWrap w:val="0"/>
            <w:vAlign w:val="center"/>
          </w:tcPr>
          <w:p w14:paraId="1D694989">
            <w:pPr>
              <w:widowControl/>
              <w:spacing w:line="240" w:lineRule="exact"/>
              <w:jc w:val="center"/>
              <w:rPr>
                <w:rFonts w:hint="eastAsia"/>
                <w:kern w:val="0"/>
                <w:szCs w:val="21"/>
              </w:rPr>
            </w:pPr>
            <w:r>
              <w:rPr>
                <w:rFonts w:hint="eastAsia"/>
                <w:kern w:val="0"/>
                <w:szCs w:val="21"/>
              </w:rPr>
              <w:t>0</w:t>
            </w:r>
          </w:p>
        </w:tc>
        <w:tc>
          <w:tcPr>
            <w:tcW w:w="1522" w:type="dxa"/>
            <w:noWrap w:val="0"/>
            <w:vAlign w:val="center"/>
          </w:tcPr>
          <w:p w14:paraId="6868914D">
            <w:pPr>
              <w:widowControl/>
              <w:spacing w:line="240" w:lineRule="exact"/>
              <w:jc w:val="center"/>
              <w:rPr>
                <w:rFonts w:hint="eastAsia" w:eastAsia="宋体"/>
                <w:kern w:val="0"/>
                <w:szCs w:val="21"/>
                <w:lang w:val="en-US" w:eastAsia="zh-CN"/>
              </w:rPr>
            </w:pPr>
            <w:r>
              <w:rPr>
                <w:rFonts w:hint="eastAsia"/>
                <w:kern w:val="0"/>
                <w:szCs w:val="21"/>
                <w:lang w:val="en-US" w:eastAsia="zh-CN"/>
              </w:rPr>
              <w:t>0</w:t>
            </w:r>
          </w:p>
        </w:tc>
        <w:tc>
          <w:tcPr>
            <w:tcW w:w="1553" w:type="dxa"/>
            <w:noWrap w:val="0"/>
            <w:vAlign w:val="center"/>
          </w:tcPr>
          <w:p w14:paraId="7AA60EA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highlight w:val="none"/>
                <w:vertAlign w:val="baseline"/>
                <w:lang w:eastAsia="zh-CN"/>
              </w:rPr>
              <w:t>528.2398</w:t>
            </w:r>
          </w:p>
        </w:tc>
        <w:tc>
          <w:tcPr>
            <w:tcW w:w="1479" w:type="dxa"/>
            <w:noWrap w:val="0"/>
            <w:vAlign w:val="center"/>
          </w:tcPr>
          <w:p w14:paraId="5A1A998F">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kern w:val="0"/>
                <w:szCs w:val="21"/>
              </w:rPr>
            </w:pPr>
            <w:r>
              <w:rPr>
                <w:rFonts w:hint="default" w:ascii="Times New Roman" w:hAnsi="Times New Roman" w:eastAsia="宋体" w:cs="Times New Roman"/>
                <w:sz w:val="21"/>
                <w:szCs w:val="21"/>
                <w:lang w:val="en-US" w:eastAsia="zh-CN"/>
              </w:rPr>
              <w:t>261.6843</w:t>
            </w:r>
          </w:p>
        </w:tc>
        <w:tc>
          <w:tcPr>
            <w:tcW w:w="1757" w:type="dxa"/>
            <w:noWrap w:val="0"/>
            <w:vAlign w:val="center"/>
          </w:tcPr>
          <w:p w14:paraId="60B981D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highlight w:val="none"/>
                <w:vertAlign w:val="baseline"/>
                <w:lang w:eastAsia="zh-CN"/>
              </w:rPr>
              <w:t>528.2398</w:t>
            </w:r>
          </w:p>
        </w:tc>
        <w:tc>
          <w:tcPr>
            <w:tcW w:w="1695" w:type="dxa"/>
            <w:noWrap w:val="0"/>
            <w:vAlign w:val="center"/>
          </w:tcPr>
          <w:p w14:paraId="4603757C">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w:t>
            </w:r>
            <w:r>
              <w:rPr>
                <w:rFonts w:hint="eastAsia" w:ascii="Times New Roman" w:hAnsi="Times New Roman" w:eastAsia="宋体" w:cs="Times New Roman"/>
                <w:kern w:val="2"/>
                <w:sz w:val="21"/>
                <w:szCs w:val="21"/>
                <w:lang w:val="en-US" w:eastAsia="zh-CN" w:bidi="bo-CN"/>
              </w:rPr>
              <w:t>267.5555</w:t>
            </w:r>
          </w:p>
        </w:tc>
      </w:tr>
      <w:tr w14:paraId="41C747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77" w:type="dxa"/>
            <w:vMerge w:val="continue"/>
            <w:noWrap w:val="0"/>
            <w:vAlign w:val="center"/>
          </w:tcPr>
          <w:p w14:paraId="0E56F66D">
            <w:pPr>
              <w:widowControl/>
              <w:spacing w:line="240" w:lineRule="exact"/>
              <w:jc w:val="center"/>
              <w:rPr>
                <w:kern w:val="0"/>
                <w:szCs w:val="21"/>
              </w:rPr>
            </w:pPr>
          </w:p>
        </w:tc>
        <w:tc>
          <w:tcPr>
            <w:tcW w:w="2164" w:type="dxa"/>
            <w:noWrap w:val="0"/>
            <w:vAlign w:val="center"/>
          </w:tcPr>
          <w:p w14:paraId="589F35F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highlight w:val="none"/>
                <w:vertAlign w:val="baseline"/>
                <w:lang w:eastAsia="zh-CN"/>
              </w:rPr>
              <w:t>车间内沉降粉尘</w:t>
            </w:r>
            <w:r>
              <w:rPr>
                <w:kern w:val="0"/>
                <w:szCs w:val="21"/>
              </w:rPr>
              <w:t>（t/a）</w:t>
            </w:r>
          </w:p>
        </w:tc>
        <w:tc>
          <w:tcPr>
            <w:tcW w:w="1596" w:type="dxa"/>
            <w:noWrap w:val="0"/>
            <w:vAlign w:val="center"/>
          </w:tcPr>
          <w:p w14:paraId="16B472BA">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default" w:ascii="Times New Roman" w:hAnsi="Times New Roman" w:eastAsia="宋体" w:cs="Times New Roman"/>
                <w:sz w:val="21"/>
                <w:szCs w:val="21"/>
                <w:lang w:val="en-US" w:eastAsia="zh-CN"/>
              </w:rPr>
              <w:t>13.6762</w:t>
            </w:r>
          </w:p>
        </w:tc>
        <w:tc>
          <w:tcPr>
            <w:tcW w:w="1521" w:type="dxa"/>
            <w:noWrap w:val="0"/>
            <w:vAlign w:val="center"/>
          </w:tcPr>
          <w:p w14:paraId="57038C62">
            <w:pPr>
              <w:widowControl/>
              <w:spacing w:line="240" w:lineRule="exact"/>
              <w:jc w:val="center"/>
              <w:rPr>
                <w:rFonts w:hint="eastAsia"/>
                <w:kern w:val="0"/>
                <w:szCs w:val="21"/>
              </w:rPr>
            </w:pPr>
            <w:r>
              <w:rPr>
                <w:rFonts w:hint="eastAsia"/>
                <w:kern w:val="0"/>
                <w:szCs w:val="21"/>
              </w:rPr>
              <w:t>0</w:t>
            </w:r>
          </w:p>
        </w:tc>
        <w:tc>
          <w:tcPr>
            <w:tcW w:w="1522" w:type="dxa"/>
            <w:noWrap w:val="0"/>
            <w:vAlign w:val="center"/>
          </w:tcPr>
          <w:p w14:paraId="074A3EA6">
            <w:pPr>
              <w:widowControl/>
              <w:spacing w:line="240" w:lineRule="exact"/>
              <w:jc w:val="center"/>
              <w:rPr>
                <w:rFonts w:hint="eastAsia" w:eastAsia="宋体"/>
                <w:kern w:val="0"/>
                <w:szCs w:val="21"/>
                <w:lang w:val="en-US" w:eastAsia="zh-CN"/>
              </w:rPr>
            </w:pPr>
            <w:r>
              <w:rPr>
                <w:rFonts w:hint="eastAsia"/>
                <w:kern w:val="0"/>
                <w:szCs w:val="21"/>
                <w:lang w:val="en-US" w:eastAsia="zh-CN"/>
              </w:rPr>
              <w:t>0</w:t>
            </w:r>
          </w:p>
        </w:tc>
        <w:tc>
          <w:tcPr>
            <w:tcW w:w="1553" w:type="dxa"/>
            <w:noWrap w:val="0"/>
            <w:vAlign w:val="center"/>
          </w:tcPr>
          <w:p w14:paraId="2D7F80AE">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highlight w:val="none"/>
                <w:vertAlign w:val="baseline"/>
                <w:lang w:eastAsia="zh-CN"/>
              </w:rPr>
              <w:t>35.1151</w:t>
            </w:r>
          </w:p>
        </w:tc>
        <w:tc>
          <w:tcPr>
            <w:tcW w:w="1479" w:type="dxa"/>
            <w:noWrap w:val="0"/>
            <w:vAlign w:val="center"/>
          </w:tcPr>
          <w:p w14:paraId="6B659767">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kern w:val="0"/>
                <w:szCs w:val="21"/>
              </w:rPr>
            </w:pPr>
            <w:r>
              <w:rPr>
                <w:rFonts w:hint="default" w:ascii="Times New Roman" w:hAnsi="Times New Roman" w:eastAsia="宋体" w:cs="Times New Roman"/>
                <w:sz w:val="21"/>
                <w:szCs w:val="21"/>
                <w:lang w:val="en-US" w:eastAsia="zh-CN"/>
              </w:rPr>
              <w:t>13.6762</w:t>
            </w:r>
          </w:p>
        </w:tc>
        <w:tc>
          <w:tcPr>
            <w:tcW w:w="1757" w:type="dxa"/>
            <w:noWrap w:val="0"/>
            <w:vAlign w:val="center"/>
          </w:tcPr>
          <w:p w14:paraId="1BFE9B3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highlight w:val="none"/>
                <w:vertAlign w:val="baseline"/>
                <w:lang w:eastAsia="zh-CN"/>
              </w:rPr>
              <w:t>35.1151</w:t>
            </w:r>
          </w:p>
        </w:tc>
        <w:tc>
          <w:tcPr>
            <w:tcW w:w="1695" w:type="dxa"/>
            <w:noWrap w:val="0"/>
            <w:vAlign w:val="center"/>
          </w:tcPr>
          <w:p w14:paraId="03C5E262">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+21.4389</w:t>
            </w:r>
          </w:p>
        </w:tc>
      </w:tr>
      <w:tr w14:paraId="49F50F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77" w:type="dxa"/>
            <w:vMerge w:val="continue"/>
            <w:noWrap w:val="0"/>
            <w:vAlign w:val="center"/>
          </w:tcPr>
          <w:p w14:paraId="715D69A6">
            <w:pPr>
              <w:widowControl/>
              <w:spacing w:line="240" w:lineRule="exact"/>
              <w:jc w:val="center"/>
              <w:rPr>
                <w:kern w:val="0"/>
                <w:szCs w:val="21"/>
              </w:rPr>
            </w:pPr>
          </w:p>
        </w:tc>
        <w:tc>
          <w:tcPr>
            <w:tcW w:w="2164" w:type="dxa"/>
            <w:noWrap w:val="0"/>
            <w:vAlign w:val="center"/>
          </w:tcPr>
          <w:p w14:paraId="7171268D">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highlight w:val="none"/>
                <w:vertAlign w:val="baseline"/>
                <w:lang w:eastAsia="zh-CN"/>
              </w:rPr>
              <w:t>废布袋</w:t>
            </w:r>
            <w:r>
              <w:rPr>
                <w:kern w:val="0"/>
                <w:szCs w:val="21"/>
              </w:rPr>
              <w:t>（t/a）</w:t>
            </w:r>
          </w:p>
        </w:tc>
        <w:tc>
          <w:tcPr>
            <w:tcW w:w="1596" w:type="dxa"/>
            <w:noWrap w:val="0"/>
            <w:vAlign w:val="center"/>
          </w:tcPr>
          <w:p w14:paraId="3927B1F3">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eastAsia" w:cs="Times New Roman"/>
                <w:sz w:val="21"/>
                <w:szCs w:val="21"/>
                <w:lang w:val="en-US" w:eastAsia="zh-CN"/>
              </w:rPr>
              <w:t>0.2</w:t>
            </w:r>
          </w:p>
        </w:tc>
        <w:tc>
          <w:tcPr>
            <w:tcW w:w="1521" w:type="dxa"/>
            <w:noWrap w:val="0"/>
            <w:vAlign w:val="center"/>
          </w:tcPr>
          <w:p w14:paraId="237C19B2">
            <w:pPr>
              <w:widowControl/>
              <w:spacing w:line="240" w:lineRule="exact"/>
              <w:jc w:val="center"/>
              <w:rPr>
                <w:rFonts w:hint="eastAsia"/>
                <w:kern w:val="0"/>
                <w:szCs w:val="21"/>
              </w:rPr>
            </w:pPr>
            <w:r>
              <w:rPr>
                <w:rFonts w:hint="eastAsia"/>
                <w:kern w:val="0"/>
                <w:szCs w:val="21"/>
              </w:rPr>
              <w:t>0</w:t>
            </w:r>
          </w:p>
        </w:tc>
        <w:tc>
          <w:tcPr>
            <w:tcW w:w="1522" w:type="dxa"/>
            <w:noWrap w:val="0"/>
            <w:vAlign w:val="center"/>
          </w:tcPr>
          <w:p w14:paraId="65E98CE4">
            <w:pPr>
              <w:widowControl/>
              <w:spacing w:line="240" w:lineRule="exact"/>
              <w:jc w:val="center"/>
              <w:rPr>
                <w:rFonts w:hint="eastAsia" w:eastAsia="宋体"/>
                <w:kern w:val="0"/>
                <w:szCs w:val="21"/>
                <w:lang w:val="en-US" w:eastAsia="zh-CN"/>
              </w:rPr>
            </w:pPr>
            <w:r>
              <w:rPr>
                <w:rFonts w:hint="eastAsia"/>
                <w:kern w:val="0"/>
                <w:szCs w:val="21"/>
                <w:lang w:val="en-US" w:eastAsia="zh-CN"/>
              </w:rPr>
              <w:t>0</w:t>
            </w:r>
          </w:p>
        </w:tc>
        <w:tc>
          <w:tcPr>
            <w:tcW w:w="1553" w:type="dxa"/>
            <w:noWrap w:val="0"/>
            <w:vAlign w:val="center"/>
          </w:tcPr>
          <w:p w14:paraId="2A010D99">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0.8</w:t>
            </w:r>
          </w:p>
        </w:tc>
        <w:tc>
          <w:tcPr>
            <w:tcW w:w="1479" w:type="dxa"/>
            <w:noWrap w:val="0"/>
            <w:vAlign w:val="center"/>
          </w:tcPr>
          <w:p w14:paraId="44CAAF6D">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kern w:val="0"/>
                <w:szCs w:val="21"/>
              </w:rPr>
            </w:pPr>
            <w:r>
              <w:rPr>
                <w:rFonts w:hint="eastAsia" w:cs="Times New Roman"/>
                <w:sz w:val="21"/>
                <w:szCs w:val="21"/>
                <w:lang w:val="en-US" w:eastAsia="zh-CN"/>
              </w:rPr>
              <w:t>0.2</w:t>
            </w:r>
          </w:p>
        </w:tc>
        <w:tc>
          <w:tcPr>
            <w:tcW w:w="1757" w:type="dxa"/>
            <w:noWrap w:val="0"/>
            <w:vAlign w:val="center"/>
          </w:tcPr>
          <w:p w14:paraId="023E8DB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0.8</w:t>
            </w:r>
          </w:p>
        </w:tc>
        <w:tc>
          <w:tcPr>
            <w:tcW w:w="1695" w:type="dxa"/>
            <w:noWrap w:val="0"/>
            <w:vAlign w:val="center"/>
          </w:tcPr>
          <w:p w14:paraId="02A80011">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+0.6</w:t>
            </w:r>
          </w:p>
        </w:tc>
      </w:tr>
      <w:tr w14:paraId="014025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77" w:type="dxa"/>
            <w:vMerge w:val="restart"/>
            <w:noWrap w:val="0"/>
            <w:vAlign w:val="center"/>
          </w:tcPr>
          <w:p w14:paraId="5E61F79F">
            <w:pPr>
              <w:widowControl/>
              <w:spacing w:line="240" w:lineRule="exact"/>
              <w:jc w:val="center"/>
              <w:rPr>
                <w:kern w:val="0"/>
                <w:szCs w:val="21"/>
              </w:rPr>
            </w:pPr>
            <w:r>
              <w:rPr>
                <w:kern w:val="0"/>
                <w:szCs w:val="21"/>
              </w:rPr>
              <w:t>危险废物</w:t>
            </w:r>
          </w:p>
        </w:tc>
        <w:tc>
          <w:tcPr>
            <w:tcW w:w="2164" w:type="dxa"/>
            <w:shd w:val="clear" w:color="auto" w:fill="auto"/>
            <w:noWrap w:val="0"/>
            <w:vAlign w:val="center"/>
          </w:tcPr>
          <w:p w14:paraId="21A3F6C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废导热油</w:t>
            </w:r>
            <w:r>
              <w:rPr>
                <w:kern w:val="0"/>
                <w:szCs w:val="21"/>
              </w:rPr>
              <w:t>（t/a）</w:t>
            </w:r>
          </w:p>
        </w:tc>
        <w:tc>
          <w:tcPr>
            <w:tcW w:w="1596" w:type="dxa"/>
            <w:noWrap w:val="0"/>
            <w:vAlign w:val="center"/>
          </w:tcPr>
          <w:p w14:paraId="772862BD">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default" w:ascii="Times New Roman" w:hAnsi="Times New Roman" w:eastAsia="宋体" w:cs="Times New Roman"/>
                <w:sz w:val="21"/>
                <w:szCs w:val="21"/>
                <w:highlight w:val="none"/>
                <w:vertAlign w:val="baseline"/>
                <w:lang w:eastAsia="zh-CN"/>
              </w:rPr>
              <w:t>5t/</w:t>
            </w:r>
            <w:r>
              <w:rPr>
                <w:rFonts w:hint="eastAsia" w:ascii="Times New Roman" w:hAnsi="Times New Roman" w:eastAsia="宋体" w:cs="Times New Roman"/>
                <w:sz w:val="21"/>
                <w:szCs w:val="21"/>
                <w:highlight w:val="none"/>
                <w:vertAlign w:val="baseline"/>
                <w:lang w:val="en-US" w:eastAsia="zh-CN"/>
              </w:rPr>
              <w:t>3</w:t>
            </w:r>
            <w:r>
              <w:rPr>
                <w:rFonts w:hint="default" w:ascii="Times New Roman" w:hAnsi="Times New Roman" w:eastAsia="宋体" w:cs="Times New Roman"/>
                <w:sz w:val="21"/>
                <w:szCs w:val="21"/>
                <w:highlight w:val="none"/>
                <w:vertAlign w:val="baseline"/>
                <w:lang w:eastAsia="zh-CN"/>
              </w:rPr>
              <w:t>a</w:t>
            </w:r>
          </w:p>
        </w:tc>
        <w:tc>
          <w:tcPr>
            <w:tcW w:w="1521" w:type="dxa"/>
            <w:noWrap w:val="0"/>
            <w:vAlign w:val="center"/>
          </w:tcPr>
          <w:p w14:paraId="79585340">
            <w:pPr>
              <w:widowControl/>
              <w:spacing w:line="240" w:lineRule="exact"/>
              <w:jc w:val="center"/>
              <w:rPr>
                <w:kern w:val="0"/>
                <w:szCs w:val="21"/>
              </w:rPr>
            </w:pPr>
            <w:r>
              <w:rPr>
                <w:rFonts w:hint="eastAsia"/>
                <w:kern w:val="0"/>
                <w:szCs w:val="21"/>
              </w:rPr>
              <w:t>0</w:t>
            </w:r>
          </w:p>
        </w:tc>
        <w:tc>
          <w:tcPr>
            <w:tcW w:w="1522" w:type="dxa"/>
            <w:noWrap w:val="0"/>
            <w:vAlign w:val="center"/>
          </w:tcPr>
          <w:p w14:paraId="33D3D5BF">
            <w:pPr>
              <w:widowControl/>
              <w:spacing w:line="240" w:lineRule="exact"/>
              <w:jc w:val="center"/>
              <w:rPr>
                <w:kern w:val="0"/>
                <w:szCs w:val="21"/>
              </w:rPr>
            </w:pPr>
            <w:r>
              <w:rPr>
                <w:rFonts w:hint="eastAsia"/>
                <w:kern w:val="0"/>
                <w:szCs w:val="21"/>
              </w:rPr>
              <w:t>0</w:t>
            </w:r>
          </w:p>
        </w:tc>
        <w:tc>
          <w:tcPr>
            <w:tcW w:w="1553" w:type="dxa"/>
            <w:noWrap w:val="0"/>
            <w:vAlign w:val="center"/>
          </w:tcPr>
          <w:p w14:paraId="03E8FDE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highlight w:val="none"/>
                <w:vertAlign w:val="baseline"/>
                <w:lang w:eastAsia="zh-CN"/>
              </w:rPr>
              <w:t>5t/</w:t>
            </w:r>
            <w:r>
              <w:rPr>
                <w:rFonts w:hint="eastAsia" w:ascii="Times New Roman" w:hAnsi="Times New Roman" w:eastAsia="宋体" w:cs="Times New Roman"/>
                <w:sz w:val="21"/>
                <w:szCs w:val="21"/>
                <w:highlight w:val="none"/>
                <w:vertAlign w:val="baseline"/>
                <w:lang w:val="en-US" w:eastAsia="zh-CN"/>
              </w:rPr>
              <w:t>3</w:t>
            </w:r>
            <w:r>
              <w:rPr>
                <w:rFonts w:hint="default" w:ascii="Times New Roman" w:hAnsi="Times New Roman" w:eastAsia="宋体" w:cs="Times New Roman"/>
                <w:sz w:val="21"/>
                <w:szCs w:val="21"/>
                <w:highlight w:val="none"/>
                <w:vertAlign w:val="baseline"/>
                <w:lang w:eastAsia="zh-CN"/>
              </w:rPr>
              <w:t>a</w:t>
            </w:r>
          </w:p>
        </w:tc>
        <w:tc>
          <w:tcPr>
            <w:tcW w:w="1479" w:type="dxa"/>
            <w:noWrap w:val="0"/>
            <w:vAlign w:val="center"/>
          </w:tcPr>
          <w:p w14:paraId="53853C0E">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kern w:val="0"/>
                <w:szCs w:val="21"/>
              </w:rPr>
            </w:pPr>
            <w:r>
              <w:rPr>
                <w:rFonts w:hint="default" w:ascii="Times New Roman" w:hAnsi="Times New Roman" w:eastAsia="宋体" w:cs="Times New Roman"/>
                <w:sz w:val="21"/>
                <w:szCs w:val="21"/>
                <w:highlight w:val="none"/>
                <w:vertAlign w:val="baseline"/>
                <w:lang w:eastAsia="zh-CN"/>
              </w:rPr>
              <w:t>5t/</w:t>
            </w:r>
            <w:r>
              <w:rPr>
                <w:rFonts w:hint="eastAsia" w:ascii="Times New Roman" w:hAnsi="Times New Roman" w:eastAsia="宋体" w:cs="Times New Roman"/>
                <w:sz w:val="21"/>
                <w:szCs w:val="21"/>
                <w:highlight w:val="none"/>
                <w:vertAlign w:val="baseline"/>
                <w:lang w:val="en-US" w:eastAsia="zh-CN"/>
              </w:rPr>
              <w:t>3</w:t>
            </w:r>
            <w:r>
              <w:rPr>
                <w:rFonts w:hint="default" w:ascii="Times New Roman" w:hAnsi="Times New Roman" w:eastAsia="宋体" w:cs="Times New Roman"/>
                <w:sz w:val="21"/>
                <w:szCs w:val="21"/>
                <w:highlight w:val="none"/>
                <w:vertAlign w:val="baseline"/>
                <w:lang w:eastAsia="zh-CN"/>
              </w:rPr>
              <w:t>a</w:t>
            </w:r>
          </w:p>
        </w:tc>
        <w:tc>
          <w:tcPr>
            <w:tcW w:w="1757" w:type="dxa"/>
            <w:noWrap w:val="0"/>
            <w:vAlign w:val="center"/>
          </w:tcPr>
          <w:p w14:paraId="00CBEF65">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highlight w:val="none"/>
                <w:vertAlign w:val="baseline"/>
                <w:lang w:eastAsia="zh-CN"/>
              </w:rPr>
              <w:t>5t/</w:t>
            </w:r>
            <w:r>
              <w:rPr>
                <w:rFonts w:hint="eastAsia" w:ascii="Times New Roman" w:hAnsi="Times New Roman" w:eastAsia="宋体" w:cs="Times New Roman"/>
                <w:sz w:val="21"/>
                <w:szCs w:val="21"/>
                <w:highlight w:val="none"/>
                <w:vertAlign w:val="baseline"/>
                <w:lang w:val="en-US" w:eastAsia="zh-CN"/>
              </w:rPr>
              <w:t>3</w:t>
            </w:r>
            <w:r>
              <w:rPr>
                <w:rFonts w:hint="default" w:ascii="Times New Roman" w:hAnsi="Times New Roman" w:eastAsia="宋体" w:cs="Times New Roman"/>
                <w:sz w:val="21"/>
                <w:szCs w:val="21"/>
                <w:highlight w:val="none"/>
                <w:vertAlign w:val="baseline"/>
                <w:lang w:eastAsia="zh-CN"/>
              </w:rPr>
              <w:t>a</w:t>
            </w:r>
          </w:p>
        </w:tc>
        <w:tc>
          <w:tcPr>
            <w:tcW w:w="1695" w:type="dxa"/>
            <w:noWrap w:val="0"/>
            <w:vAlign w:val="center"/>
          </w:tcPr>
          <w:p w14:paraId="4FBB1519">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bo-CN"/>
              </w:rPr>
              <w:t>+0</w:t>
            </w:r>
          </w:p>
        </w:tc>
      </w:tr>
      <w:tr w14:paraId="22C448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77" w:type="dxa"/>
            <w:vMerge w:val="continue"/>
            <w:noWrap w:val="0"/>
            <w:vAlign w:val="center"/>
          </w:tcPr>
          <w:p w14:paraId="769DB847">
            <w:pPr>
              <w:widowControl/>
              <w:spacing w:line="240" w:lineRule="exact"/>
              <w:jc w:val="center"/>
              <w:rPr>
                <w:kern w:val="0"/>
                <w:szCs w:val="21"/>
              </w:rPr>
            </w:pPr>
          </w:p>
        </w:tc>
        <w:tc>
          <w:tcPr>
            <w:tcW w:w="2164" w:type="dxa"/>
            <w:shd w:val="clear" w:color="auto" w:fill="auto"/>
            <w:noWrap w:val="0"/>
            <w:vAlign w:val="center"/>
          </w:tcPr>
          <w:p w14:paraId="2B2CA2D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废活性炭</w:t>
            </w:r>
            <w:r>
              <w:rPr>
                <w:kern w:val="0"/>
                <w:szCs w:val="21"/>
              </w:rPr>
              <w:t>（t/a）</w:t>
            </w:r>
          </w:p>
        </w:tc>
        <w:tc>
          <w:tcPr>
            <w:tcW w:w="1596" w:type="dxa"/>
            <w:noWrap w:val="0"/>
            <w:vAlign w:val="center"/>
          </w:tcPr>
          <w:p w14:paraId="7D8DF640">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eastAsia" w:cs="Times New Roman"/>
                <w:sz w:val="21"/>
                <w:szCs w:val="21"/>
                <w:lang w:val="en-US" w:eastAsia="zh-CN"/>
              </w:rPr>
              <w:t>0</w:t>
            </w:r>
          </w:p>
        </w:tc>
        <w:tc>
          <w:tcPr>
            <w:tcW w:w="1521" w:type="dxa"/>
            <w:noWrap w:val="0"/>
            <w:vAlign w:val="center"/>
          </w:tcPr>
          <w:p w14:paraId="1508626D">
            <w:pPr>
              <w:widowControl/>
              <w:spacing w:line="240" w:lineRule="exact"/>
              <w:jc w:val="center"/>
              <w:rPr>
                <w:rFonts w:hint="eastAsia"/>
                <w:kern w:val="0"/>
                <w:szCs w:val="21"/>
              </w:rPr>
            </w:pPr>
            <w:r>
              <w:rPr>
                <w:rFonts w:hint="eastAsia"/>
                <w:kern w:val="0"/>
                <w:szCs w:val="21"/>
              </w:rPr>
              <w:t>0</w:t>
            </w:r>
          </w:p>
        </w:tc>
        <w:tc>
          <w:tcPr>
            <w:tcW w:w="1522" w:type="dxa"/>
            <w:noWrap w:val="0"/>
            <w:vAlign w:val="center"/>
          </w:tcPr>
          <w:p w14:paraId="2CB67019">
            <w:pPr>
              <w:widowControl/>
              <w:spacing w:line="240" w:lineRule="exact"/>
              <w:jc w:val="center"/>
              <w:rPr>
                <w:rFonts w:hint="eastAsia" w:eastAsia="宋体"/>
                <w:kern w:val="0"/>
                <w:szCs w:val="21"/>
                <w:lang w:val="en-US" w:eastAsia="zh-CN"/>
              </w:rPr>
            </w:pPr>
            <w:r>
              <w:rPr>
                <w:rFonts w:hint="eastAsia"/>
                <w:kern w:val="0"/>
                <w:szCs w:val="21"/>
                <w:lang w:val="en-US" w:eastAsia="zh-CN"/>
              </w:rPr>
              <w:t>0</w:t>
            </w:r>
          </w:p>
        </w:tc>
        <w:tc>
          <w:tcPr>
            <w:tcW w:w="1553" w:type="dxa"/>
            <w:noWrap w:val="0"/>
            <w:vAlign w:val="center"/>
          </w:tcPr>
          <w:p w14:paraId="56321D9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2</w:t>
            </w:r>
          </w:p>
        </w:tc>
        <w:tc>
          <w:tcPr>
            <w:tcW w:w="1479" w:type="dxa"/>
            <w:noWrap w:val="0"/>
            <w:vAlign w:val="center"/>
          </w:tcPr>
          <w:p w14:paraId="4C672C6A">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kern w:val="0"/>
                <w:szCs w:val="21"/>
              </w:rPr>
            </w:pPr>
            <w:r>
              <w:rPr>
                <w:rFonts w:hint="eastAsia" w:cs="Times New Roman"/>
                <w:sz w:val="21"/>
                <w:szCs w:val="21"/>
                <w:lang w:val="en-US" w:eastAsia="zh-CN"/>
              </w:rPr>
              <w:t>0</w:t>
            </w:r>
          </w:p>
        </w:tc>
        <w:tc>
          <w:tcPr>
            <w:tcW w:w="1757" w:type="dxa"/>
            <w:noWrap w:val="0"/>
            <w:vAlign w:val="center"/>
          </w:tcPr>
          <w:p w14:paraId="123B8FC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2</w:t>
            </w:r>
          </w:p>
        </w:tc>
        <w:tc>
          <w:tcPr>
            <w:tcW w:w="1695" w:type="dxa"/>
            <w:noWrap w:val="0"/>
            <w:vAlign w:val="center"/>
          </w:tcPr>
          <w:p w14:paraId="44A4CF33">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bo-CN"/>
              </w:rPr>
              <w:t>+2</w:t>
            </w:r>
          </w:p>
        </w:tc>
      </w:tr>
      <w:tr w14:paraId="2190D2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77" w:type="dxa"/>
            <w:vMerge w:val="continue"/>
            <w:noWrap w:val="0"/>
            <w:vAlign w:val="center"/>
          </w:tcPr>
          <w:p w14:paraId="7716100E">
            <w:pPr>
              <w:widowControl/>
              <w:spacing w:line="240" w:lineRule="exact"/>
              <w:jc w:val="center"/>
              <w:rPr>
                <w:kern w:val="0"/>
                <w:szCs w:val="21"/>
              </w:rPr>
            </w:pPr>
          </w:p>
        </w:tc>
        <w:tc>
          <w:tcPr>
            <w:tcW w:w="2164" w:type="dxa"/>
            <w:shd w:val="clear" w:color="auto" w:fill="auto"/>
            <w:noWrap w:val="0"/>
            <w:vAlign w:val="center"/>
          </w:tcPr>
          <w:p w14:paraId="43E6D21B">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废过滤棉</w:t>
            </w:r>
            <w:r>
              <w:rPr>
                <w:kern w:val="0"/>
                <w:szCs w:val="21"/>
              </w:rPr>
              <w:t>（t/a）</w:t>
            </w:r>
          </w:p>
        </w:tc>
        <w:tc>
          <w:tcPr>
            <w:tcW w:w="1596" w:type="dxa"/>
            <w:noWrap w:val="0"/>
            <w:vAlign w:val="center"/>
          </w:tcPr>
          <w:p w14:paraId="0DB7B657">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0</w:t>
            </w:r>
          </w:p>
        </w:tc>
        <w:tc>
          <w:tcPr>
            <w:tcW w:w="1521" w:type="dxa"/>
            <w:noWrap w:val="0"/>
            <w:vAlign w:val="center"/>
          </w:tcPr>
          <w:p w14:paraId="24A00426">
            <w:pPr>
              <w:widowControl/>
              <w:spacing w:line="240" w:lineRule="exact"/>
              <w:jc w:val="center"/>
              <w:rPr>
                <w:kern w:val="0"/>
                <w:szCs w:val="21"/>
              </w:rPr>
            </w:pPr>
            <w:r>
              <w:rPr>
                <w:rFonts w:hint="eastAsia"/>
                <w:kern w:val="0"/>
                <w:szCs w:val="21"/>
              </w:rPr>
              <w:t>0</w:t>
            </w:r>
          </w:p>
        </w:tc>
        <w:tc>
          <w:tcPr>
            <w:tcW w:w="1522" w:type="dxa"/>
            <w:noWrap w:val="0"/>
            <w:vAlign w:val="center"/>
          </w:tcPr>
          <w:p w14:paraId="49EA9C23">
            <w:pPr>
              <w:widowControl/>
              <w:spacing w:line="240" w:lineRule="exact"/>
              <w:jc w:val="center"/>
              <w:rPr>
                <w:kern w:val="0"/>
                <w:szCs w:val="21"/>
              </w:rPr>
            </w:pPr>
            <w:r>
              <w:rPr>
                <w:rFonts w:hint="eastAsia"/>
                <w:kern w:val="0"/>
                <w:szCs w:val="21"/>
              </w:rPr>
              <w:t>0</w:t>
            </w:r>
          </w:p>
        </w:tc>
        <w:tc>
          <w:tcPr>
            <w:tcW w:w="1553" w:type="dxa"/>
            <w:noWrap w:val="0"/>
            <w:vAlign w:val="center"/>
          </w:tcPr>
          <w:p w14:paraId="38C627B1">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highlight w:val="none"/>
                <w:vertAlign w:val="baseline"/>
                <w:lang w:eastAsia="zh-CN"/>
              </w:rPr>
              <w:t>0.01</w:t>
            </w:r>
          </w:p>
        </w:tc>
        <w:tc>
          <w:tcPr>
            <w:tcW w:w="1479" w:type="dxa"/>
            <w:noWrap w:val="0"/>
            <w:vAlign w:val="center"/>
          </w:tcPr>
          <w:p w14:paraId="7AAE4E13">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kern w:val="0"/>
                <w:szCs w:val="21"/>
              </w:rPr>
            </w:pPr>
            <w:r>
              <w:rPr>
                <w:rFonts w:hint="eastAsia" w:cs="Times New Roman"/>
                <w:kern w:val="2"/>
                <w:sz w:val="21"/>
                <w:szCs w:val="21"/>
                <w:lang w:val="en-US" w:eastAsia="zh-CN" w:bidi="bo-CN"/>
              </w:rPr>
              <w:t>0</w:t>
            </w:r>
          </w:p>
        </w:tc>
        <w:tc>
          <w:tcPr>
            <w:tcW w:w="1757" w:type="dxa"/>
            <w:noWrap w:val="0"/>
            <w:vAlign w:val="center"/>
          </w:tcPr>
          <w:p w14:paraId="3F73744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highlight w:val="none"/>
                <w:vertAlign w:val="baseline"/>
                <w:lang w:eastAsia="zh-CN"/>
              </w:rPr>
              <w:t>0.01</w:t>
            </w:r>
          </w:p>
        </w:tc>
        <w:tc>
          <w:tcPr>
            <w:tcW w:w="1695" w:type="dxa"/>
            <w:noWrap w:val="0"/>
            <w:vAlign w:val="center"/>
          </w:tcPr>
          <w:p w14:paraId="01365C55">
            <w:pPr>
              <w:keepNext/>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+0.01</w:t>
            </w:r>
          </w:p>
        </w:tc>
      </w:tr>
      <w:tr w14:paraId="0EE914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77" w:type="dxa"/>
            <w:vMerge w:val="continue"/>
            <w:noWrap w:val="0"/>
            <w:vAlign w:val="center"/>
          </w:tcPr>
          <w:p w14:paraId="128DB5D8">
            <w:pPr>
              <w:widowControl/>
              <w:spacing w:line="240" w:lineRule="exact"/>
              <w:jc w:val="center"/>
              <w:rPr>
                <w:kern w:val="0"/>
                <w:szCs w:val="21"/>
              </w:rPr>
            </w:pPr>
          </w:p>
        </w:tc>
        <w:tc>
          <w:tcPr>
            <w:tcW w:w="2164" w:type="dxa"/>
            <w:shd w:val="clear" w:color="auto" w:fill="auto"/>
            <w:noWrap w:val="0"/>
            <w:vAlign w:val="center"/>
          </w:tcPr>
          <w:p w14:paraId="22AC1E2A">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废润滑油</w:t>
            </w:r>
            <w:r>
              <w:rPr>
                <w:kern w:val="0"/>
                <w:szCs w:val="21"/>
              </w:rPr>
              <w:t>（t/a）</w:t>
            </w:r>
          </w:p>
        </w:tc>
        <w:tc>
          <w:tcPr>
            <w:tcW w:w="1596" w:type="dxa"/>
            <w:noWrap w:val="0"/>
            <w:vAlign w:val="center"/>
          </w:tcPr>
          <w:p w14:paraId="52B4516A">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0.25</w:t>
            </w:r>
          </w:p>
        </w:tc>
        <w:tc>
          <w:tcPr>
            <w:tcW w:w="1521" w:type="dxa"/>
            <w:noWrap w:val="0"/>
            <w:vAlign w:val="center"/>
          </w:tcPr>
          <w:p w14:paraId="3A4D87EF">
            <w:pPr>
              <w:widowControl/>
              <w:spacing w:line="240" w:lineRule="exact"/>
              <w:jc w:val="center"/>
              <w:rPr>
                <w:rFonts w:hint="eastAsia"/>
                <w:kern w:val="0"/>
                <w:szCs w:val="21"/>
              </w:rPr>
            </w:pPr>
            <w:r>
              <w:rPr>
                <w:rFonts w:hint="eastAsia"/>
                <w:kern w:val="0"/>
                <w:szCs w:val="21"/>
              </w:rPr>
              <w:t>0</w:t>
            </w:r>
          </w:p>
        </w:tc>
        <w:tc>
          <w:tcPr>
            <w:tcW w:w="1522" w:type="dxa"/>
            <w:noWrap w:val="0"/>
            <w:vAlign w:val="center"/>
          </w:tcPr>
          <w:p w14:paraId="6900C7C6">
            <w:pPr>
              <w:widowControl/>
              <w:spacing w:line="240" w:lineRule="exact"/>
              <w:jc w:val="center"/>
              <w:rPr>
                <w:rFonts w:hint="eastAsia"/>
                <w:kern w:val="0"/>
                <w:szCs w:val="21"/>
              </w:rPr>
            </w:pPr>
            <w:r>
              <w:rPr>
                <w:rFonts w:hint="eastAsia"/>
                <w:kern w:val="0"/>
                <w:szCs w:val="21"/>
              </w:rPr>
              <w:t>0</w:t>
            </w:r>
          </w:p>
        </w:tc>
        <w:tc>
          <w:tcPr>
            <w:tcW w:w="1553" w:type="dxa"/>
            <w:noWrap w:val="0"/>
            <w:vAlign w:val="center"/>
          </w:tcPr>
          <w:p w14:paraId="407EA83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0.5</w:t>
            </w:r>
          </w:p>
        </w:tc>
        <w:tc>
          <w:tcPr>
            <w:tcW w:w="1479" w:type="dxa"/>
            <w:noWrap w:val="0"/>
            <w:vAlign w:val="center"/>
          </w:tcPr>
          <w:p w14:paraId="1DD19388">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kern w:val="0"/>
                <w:szCs w:val="21"/>
              </w:rPr>
            </w:pPr>
            <w:r>
              <w:rPr>
                <w:rFonts w:hint="eastAsia" w:cs="Times New Roman"/>
                <w:kern w:val="2"/>
                <w:sz w:val="21"/>
                <w:szCs w:val="21"/>
                <w:lang w:val="en-US" w:eastAsia="zh-CN" w:bidi="bo-CN"/>
              </w:rPr>
              <w:t>0.25</w:t>
            </w:r>
          </w:p>
        </w:tc>
        <w:tc>
          <w:tcPr>
            <w:tcW w:w="1757" w:type="dxa"/>
            <w:noWrap w:val="0"/>
            <w:vAlign w:val="center"/>
          </w:tcPr>
          <w:p w14:paraId="262B997C">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0.5</w:t>
            </w:r>
          </w:p>
        </w:tc>
        <w:tc>
          <w:tcPr>
            <w:tcW w:w="1695" w:type="dxa"/>
            <w:noWrap w:val="0"/>
            <w:vAlign w:val="center"/>
          </w:tcPr>
          <w:p w14:paraId="50FED693">
            <w:pPr>
              <w:keepNext/>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ar-SA"/>
              </w:rPr>
              <w:t>+0.25</w:t>
            </w:r>
          </w:p>
        </w:tc>
      </w:tr>
      <w:tr w14:paraId="7FFCAC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77" w:type="dxa"/>
            <w:vMerge w:val="continue"/>
            <w:noWrap w:val="0"/>
            <w:vAlign w:val="center"/>
          </w:tcPr>
          <w:p w14:paraId="1E5A041C">
            <w:pPr>
              <w:widowControl/>
              <w:spacing w:line="240" w:lineRule="exact"/>
              <w:jc w:val="center"/>
              <w:rPr>
                <w:kern w:val="0"/>
                <w:szCs w:val="21"/>
              </w:rPr>
            </w:pPr>
          </w:p>
        </w:tc>
        <w:tc>
          <w:tcPr>
            <w:tcW w:w="2164" w:type="dxa"/>
            <w:shd w:val="clear" w:color="auto" w:fill="auto"/>
            <w:noWrap w:val="0"/>
            <w:vAlign w:val="center"/>
          </w:tcPr>
          <w:p w14:paraId="05260663">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含油抹布手套</w:t>
            </w:r>
            <w:r>
              <w:rPr>
                <w:kern w:val="0"/>
                <w:szCs w:val="21"/>
              </w:rPr>
              <w:t>（t/a）</w:t>
            </w:r>
          </w:p>
        </w:tc>
        <w:tc>
          <w:tcPr>
            <w:tcW w:w="1596" w:type="dxa"/>
            <w:noWrap w:val="0"/>
            <w:vAlign w:val="center"/>
          </w:tcPr>
          <w:p w14:paraId="5709361E">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0.005</w:t>
            </w:r>
          </w:p>
        </w:tc>
        <w:tc>
          <w:tcPr>
            <w:tcW w:w="1521" w:type="dxa"/>
            <w:noWrap w:val="0"/>
            <w:vAlign w:val="center"/>
          </w:tcPr>
          <w:p w14:paraId="3EEAE9E0">
            <w:pPr>
              <w:widowControl/>
              <w:spacing w:line="240" w:lineRule="exact"/>
              <w:jc w:val="center"/>
              <w:rPr>
                <w:rFonts w:hint="eastAsia"/>
                <w:kern w:val="0"/>
                <w:szCs w:val="21"/>
              </w:rPr>
            </w:pPr>
            <w:r>
              <w:rPr>
                <w:rFonts w:hint="eastAsia"/>
                <w:kern w:val="0"/>
                <w:szCs w:val="21"/>
              </w:rPr>
              <w:t>0</w:t>
            </w:r>
          </w:p>
        </w:tc>
        <w:tc>
          <w:tcPr>
            <w:tcW w:w="1522" w:type="dxa"/>
            <w:noWrap w:val="0"/>
            <w:vAlign w:val="center"/>
          </w:tcPr>
          <w:p w14:paraId="1FD7FEAD">
            <w:pPr>
              <w:widowControl/>
              <w:spacing w:line="240" w:lineRule="exact"/>
              <w:jc w:val="center"/>
              <w:rPr>
                <w:rFonts w:hint="eastAsia"/>
                <w:kern w:val="0"/>
                <w:szCs w:val="21"/>
              </w:rPr>
            </w:pPr>
            <w:r>
              <w:rPr>
                <w:rFonts w:hint="eastAsia"/>
                <w:kern w:val="0"/>
                <w:szCs w:val="21"/>
              </w:rPr>
              <w:t>0</w:t>
            </w:r>
          </w:p>
        </w:tc>
        <w:tc>
          <w:tcPr>
            <w:tcW w:w="1553" w:type="dxa"/>
            <w:noWrap w:val="0"/>
            <w:vAlign w:val="center"/>
          </w:tcPr>
          <w:p w14:paraId="1C438BB7">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0.01</w:t>
            </w:r>
          </w:p>
        </w:tc>
        <w:tc>
          <w:tcPr>
            <w:tcW w:w="1479" w:type="dxa"/>
            <w:noWrap w:val="0"/>
            <w:vAlign w:val="center"/>
          </w:tcPr>
          <w:p w14:paraId="55E10005">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kern w:val="0"/>
                <w:szCs w:val="21"/>
              </w:rPr>
            </w:pPr>
            <w:r>
              <w:rPr>
                <w:rFonts w:hint="eastAsia" w:cs="Times New Roman"/>
                <w:kern w:val="2"/>
                <w:sz w:val="21"/>
                <w:szCs w:val="21"/>
                <w:lang w:val="en-US" w:eastAsia="zh-CN" w:bidi="bo-CN"/>
              </w:rPr>
              <w:t>0.005</w:t>
            </w:r>
          </w:p>
        </w:tc>
        <w:tc>
          <w:tcPr>
            <w:tcW w:w="1757" w:type="dxa"/>
            <w:noWrap w:val="0"/>
            <w:vAlign w:val="center"/>
          </w:tcPr>
          <w:p w14:paraId="5EBF2CA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0.01</w:t>
            </w:r>
          </w:p>
        </w:tc>
        <w:tc>
          <w:tcPr>
            <w:tcW w:w="1695" w:type="dxa"/>
            <w:noWrap w:val="0"/>
            <w:vAlign w:val="center"/>
          </w:tcPr>
          <w:p w14:paraId="5ED44A2C">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+0.005</w:t>
            </w:r>
          </w:p>
        </w:tc>
      </w:tr>
      <w:tr w14:paraId="6D53D9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77" w:type="dxa"/>
            <w:vMerge w:val="continue"/>
            <w:noWrap w:val="0"/>
            <w:vAlign w:val="center"/>
          </w:tcPr>
          <w:p w14:paraId="5CE9CF8A">
            <w:pPr>
              <w:widowControl/>
              <w:spacing w:line="240" w:lineRule="exact"/>
              <w:jc w:val="center"/>
              <w:rPr>
                <w:kern w:val="0"/>
                <w:szCs w:val="21"/>
              </w:rPr>
            </w:pPr>
          </w:p>
        </w:tc>
        <w:tc>
          <w:tcPr>
            <w:tcW w:w="2164" w:type="dxa"/>
            <w:shd w:val="clear" w:color="auto" w:fill="auto"/>
            <w:noWrap w:val="0"/>
            <w:vAlign w:val="center"/>
          </w:tcPr>
          <w:p w14:paraId="51E1F54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废润滑油桶</w:t>
            </w:r>
            <w:r>
              <w:rPr>
                <w:kern w:val="0"/>
                <w:szCs w:val="21"/>
              </w:rPr>
              <w:t>（t/a）</w:t>
            </w:r>
          </w:p>
        </w:tc>
        <w:tc>
          <w:tcPr>
            <w:tcW w:w="1596" w:type="dxa"/>
            <w:noWrap w:val="0"/>
            <w:vAlign w:val="center"/>
          </w:tcPr>
          <w:p w14:paraId="57C23EA9">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0.025</w:t>
            </w:r>
          </w:p>
        </w:tc>
        <w:tc>
          <w:tcPr>
            <w:tcW w:w="1521" w:type="dxa"/>
            <w:noWrap w:val="0"/>
            <w:vAlign w:val="center"/>
          </w:tcPr>
          <w:p w14:paraId="465C495F">
            <w:pPr>
              <w:widowControl/>
              <w:spacing w:line="240" w:lineRule="exact"/>
              <w:jc w:val="center"/>
              <w:rPr>
                <w:rFonts w:hint="eastAsia"/>
                <w:kern w:val="0"/>
                <w:szCs w:val="21"/>
              </w:rPr>
            </w:pPr>
            <w:r>
              <w:rPr>
                <w:rFonts w:hint="eastAsia"/>
                <w:kern w:val="0"/>
                <w:szCs w:val="21"/>
              </w:rPr>
              <w:t>0</w:t>
            </w:r>
          </w:p>
        </w:tc>
        <w:tc>
          <w:tcPr>
            <w:tcW w:w="1522" w:type="dxa"/>
            <w:noWrap w:val="0"/>
            <w:vAlign w:val="center"/>
          </w:tcPr>
          <w:p w14:paraId="01B409F8">
            <w:pPr>
              <w:widowControl/>
              <w:spacing w:line="240" w:lineRule="exact"/>
              <w:jc w:val="center"/>
              <w:rPr>
                <w:rFonts w:hint="eastAsia"/>
                <w:kern w:val="0"/>
                <w:szCs w:val="21"/>
              </w:rPr>
            </w:pPr>
            <w:r>
              <w:rPr>
                <w:rFonts w:hint="eastAsia"/>
                <w:kern w:val="0"/>
                <w:szCs w:val="21"/>
              </w:rPr>
              <w:t>0</w:t>
            </w:r>
          </w:p>
        </w:tc>
        <w:tc>
          <w:tcPr>
            <w:tcW w:w="1553" w:type="dxa"/>
            <w:noWrap w:val="0"/>
            <w:vAlign w:val="center"/>
          </w:tcPr>
          <w:p w14:paraId="18A3B376">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0.05</w:t>
            </w:r>
          </w:p>
        </w:tc>
        <w:tc>
          <w:tcPr>
            <w:tcW w:w="1479" w:type="dxa"/>
            <w:noWrap w:val="0"/>
            <w:vAlign w:val="center"/>
          </w:tcPr>
          <w:p w14:paraId="110C889D">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kern w:val="0"/>
                <w:szCs w:val="21"/>
              </w:rPr>
            </w:pPr>
            <w:r>
              <w:rPr>
                <w:rFonts w:hint="eastAsia" w:cs="Times New Roman"/>
                <w:kern w:val="2"/>
                <w:sz w:val="21"/>
                <w:szCs w:val="21"/>
                <w:lang w:val="en-US" w:eastAsia="zh-CN" w:bidi="bo-CN"/>
              </w:rPr>
              <w:t>0.025</w:t>
            </w:r>
          </w:p>
        </w:tc>
        <w:tc>
          <w:tcPr>
            <w:tcW w:w="1757" w:type="dxa"/>
            <w:noWrap w:val="0"/>
            <w:vAlign w:val="center"/>
          </w:tcPr>
          <w:p w14:paraId="4DFCE54E">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0.05</w:t>
            </w:r>
          </w:p>
        </w:tc>
        <w:tc>
          <w:tcPr>
            <w:tcW w:w="1695" w:type="dxa"/>
            <w:noWrap w:val="0"/>
            <w:vAlign w:val="center"/>
          </w:tcPr>
          <w:p w14:paraId="13E4121D">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+0.025</w:t>
            </w:r>
          </w:p>
        </w:tc>
      </w:tr>
      <w:tr w14:paraId="046CB2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77" w:type="dxa"/>
            <w:vMerge w:val="continue"/>
            <w:noWrap w:val="0"/>
            <w:vAlign w:val="center"/>
          </w:tcPr>
          <w:p w14:paraId="03026D51">
            <w:pPr>
              <w:widowControl/>
              <w:spacing w:line="240" w:lineRule="exact"/>
              <w:jc w:val="center"/>
              <w:rPr>
                <w:kern w:val="0"/>
                <w:szCs w:val="21"/>
              </w:rPr>
            </w:pPr>
          </w:p>
        </w:tc>
        <w:tc>
          <w:tcPr>
            <w:tcW w:w="2164" w:type="dxa"/>
            <w:shd w:val="clear" w:color="auto" w:fill="auto"/>
            <w:noWrap w:val="0"/>
            <w:vAlign w:val="center"/>
          </w:tcPr>
          <w:p w14:paraId="0F80665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废包装桶</w:t>
            </w:r>
            <w:r>
              <w:rPr>
                <w:kern w:val="0"/>
                <w:szCs w:val="21"/>
              </w:rPr>
              <w:t>（t/a）</w:t>
            </w:r>
          </w:p>
        </w:tc>
        <w:tc>
          <w:tcPr>
            <w:tcW w:w="1596" w:type="dxa"/>
            <w:noWrap w:val="0"/>
            <w:vAlign w:val="center"/>
          </w:tcPr>
          <w:p w14:paraId="20EDE757">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eastAsia" w:cs="Times New Roman"/>
                <w:sz w:val="21"/>
                <w:szCs w:val="21"/>
                <w:lang w:val="en-US" w:eastAsia="zh-CN"/>
              </w:rPr>
              <w:t>0</w:t>
            </w:r>
          </w:p>
        </w:tc>
        <w:tc>
          <w:tcPr>
            <w:tcW w:w="1521" w:type="dxa"/>
            <w:noWrap w:val="0"/>
            <w:vAlign w:val="center"/>
          </w:tcPr>
          <w:p w14:paraId="1B0787C9">
            <w:pPr>
              <w:widowControl/>
              <w:spacing w:line="240" w:lineRule="exact"/>
              <w:jc w:val="center"/>
              <w:rPr>
                <w:rFonts w:hint="eastAsia"/>
                <w:kern w:val="0"/>
                <w:szCs w:val="21"/>
              </w:rPr>
            </w:pPr>
            <w:r>
              <w:rPr>
                <w:rFonts w:hint="eastAsia"/>
                <w:kern w:val="0"/>
                <w:szCs w:val="21"/>
              </w:rPr>
              <w:t>0</w:t>
            </w:r>
          </w:p>
        </w:tc>
        <w:tc>
          <w:tcPr>
            <w:tcW w:w="1522" w:type="dxa"/>
            <w:noWrap w:val="0"/>
            <w:vAlign w:val="center"/>
          </w:tcPr>
          <w:p w14:paraId="21A5EE03">
            <w:pPr>
              <w:widowControl/>
              <w:spacing w:line="240" w:lineRule="exact"/>
              <w:jc w:val="center"/>
              <w:rPr>
                <w:rFonts w:hint="eastAsia" w:eastAsia="宋体"/>
                <w:kern w:val="0"/>
                <w:szCs w:val="21"/>
                <w:lang w:val="en-US" w:eastAsia="zh-CN"/>
              </w:rPr>
            </w:pPr>
            <w:r>
              <w:rPr>
                <w:rFonts w:hint="eastAsia"/>
                <w:kern w:val="0"/>
                <w:szCs w:val="21"/>
                <w:lang w:val="en-US" w:eastAsia="zh-CN"/>
              </w:rPr>
              <w:t>0</w:t>
            </w:r>
          </w:p>
        </w:tc>
        <w:tc>
          <w:tcPr>
            <w:tcW w:w="1553" w:type="dxa"/>
            <w:noWrap w:val="0"/>
            <w:vAlign w:val="center"/>
          </w:tcPr>
          <w:p w14:paraId="17807422">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7.5</w:t>
            </w:r>
          </w:p>
        </w:tc>
        <w:tc>
          <w:tcPr>
            <w:tcW w:w="1479" w:type="dxa"/>
            <w:noWrap w:val="0"/>
            <w:vAlign w:val="center"/>
          </w:tcPr>
          <w:p w14:paraId="0651092B">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kern w:val="0"/>
                <w:szCs w:val="21"/>
              </w:rPr>
            </w:pPr>
            <w:r>
              <w:rPr>
                <w:rFonts w:hint="eastAsia" w:cs="Times New Roman"/>
                <w:sz w:val="21"/>
                <w:szCs w:val="21"/>
                <w:lang w:val="en-US" w:eastAsia="zh-CN"/>
              </w:rPr>
              <w:t>0</w:t>
            </w:r>
          </w:p>
        </w:tc>
        <w:tc>
          <w:tcPr>
            <w:tcW w:w="1757" w:type="dxa"/>
            <w:noWrap w:val="0"/>
            <w:vAlign w:val="center"/>
          </w:tcPr>
          <w:p w14:paraId="5CED2BEF">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7.5</w:t>
            </w:r>
          </w:p>
        </w:tc>
        <w:tc>
          <w:tcPr>
            <w:tcW w:w="1695" w:type="dxa"/>
            <w:noWrap w:val="0"/>
            <w:vAlign w:val="center"/>
          </w:tcPr>
          <w:p w14:paraId="74474A3A">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+7.5</w:t>
            </w:r>
          </w:p>
        </w:tc>
      </w:tr>
      <w:tr w14:paraId="74B794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77" w:type="dxa"/>
            <w:vMerge w:val="continue"/>
            <w:noWrap w:val="0"/>
            <w:vAlign w:val="center"/>
          </w:tcPr>
          <w:p w14:paraId="7944662F">
            <w:pPr>
              <w:widowControl/>
              <w:spacing w:line="240" w:lineRule="exact"/>
              <w:jc w:val="center"/>
              <w:rPr>
                <w:kern w:val="0"/>
                <w:szCs w:val="21"/>
              </w:rPr>
            </w:pPr>
          </w:p>
        </w:tc>
        <w:tc>
          <w:tcPr>
            <w:tcW w:w="2164" w:type="dxa"/>
            <w:shd w:val="clear" w:color="auto" w:fill="auto"/>
            <w:noWrap w:val="0"/>
            <w:vAlign w:val="center"/>
          </w:tcPr>
          <w:p w14:paraId="00B757C9">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eastAsia="zh-CN"/>
              </w:rPr>
              <w:t>隔油池油污</w:t>
            </w:r>
            <w:r>
              <w:rPr>
                <w:kern w:val="0"/>
                <w:szCs w:val="21"/>
              </w:rPr>
              <w:t>（t/a）</w:t>
            </w:r>
          </w:p>
        </w:tc>
        <w:tc>
          <w:tcPr>
            <w:tcW w:w="1596" w:type="dxa"/>
            <w:noWrap w:val="0"/>
            <w:vAlign w:val="center"/>
          </w:tcPr>
          <w:p w14:paraId="7C6DAD8F">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0</w:t>
            </w:r>
          </w:p>
        </w:tc>
        <w:tc>
          <w:tcPr>
            <w:tcW w:w="1521" w:type="dxa"/>
            <w:noWrap w:val="0"/>
            <w:vAlign w:val="center"/>
          </w:tcPr>
          <w:p w14:paraId="3B8CD5C1">
            <w:pPr>
              <w:widowControl/>
              <w:spacing w:line="240" w:lineRule="exact"/>
              <w:jc w:val="center"/>
              <w:rPr>
                <w:rFonts w:hint="eastAsia"/>
                <w:kern w:val="0"/>
                <w:szCs w:val="21"/>
              </w:rPr>
            </w:pPr>
            <w:r>
              <w:rPr>
                <w:rFonts w:hint="eastAsia"/>
                <w:kern w:val="0"/>
                <w:szCs w:val="21"/>
              </w:rPr>
              <w:t>0</w:t>
            </w:r>
          </w:p>
        </w:tc>
        <w:tc>
          <w:tcPr>
            <w:tcW w:w="1522" w:type="dxa"/>
            <w:noWrap w:val="0"/>
            <w:vAlign w:val="center"/>
          </w:tcPr>
          <w:p w14:paraId="6D0B8CEE">
            <w:pPr>
              <w:widowControl/>
              <w:spacing w:line="240" w:lineRule="exact"/>
              <w:jc w:val="center"/>
              <w:rPr>
                <w:rFonts w:hint="eastAsia" w:eastAsia="宋体"/>
                <w:kern w:val="0"/>
                <w:szCs w:val="21"/>
                <w:lang w:val="en-US" w:eastAsia="zh-CN"/>
              </w:rPr>
            </w:pPr>
            <w:r>
              <w:rPr>
                <w:rFonts w:hint="eastAsia"/>
                <w:kern w:val="0"/>
                <w:szCs w:val="21"/>
                <w:lang w:val="en-US" w:eastAsia="zh-CN"/>
              </w:rPr>
              <w:t>0</w:t>
            </w:r>
          </w:p>
        </w:tc>
        <w:tc>
          <w:tcPr>
            <w:tcW w:w="1553" w:type="dxa"/>
            <w:noWrap w:val="0"/>
            <w:vAlign w:val="center"/>
          </w:tcPr>
          <w:p w14:paraId="771EC620">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0.05</w:t>
            </w:r>
          </w:p>
        </w:tc>
        <w:tc>
          <w:tcPr>
            <w:tcW w:w="1479" w:type="dxa"/>
            <w:noWrap w:val="0"/>
            <w:vAlign w:val="center"/>
          </w:tcPr>
          <w:p w14:paraId="477DA8A0">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eastAsia"/>
                <w:kern w:val="0"/>
                <w:szCs w:val="21"/>
              </w:rPr>
            </w:pPr>
            <w:r>
              <w:rPr>
                <w:rFonts w:hint="eastAsia" w:cs="Times New Roman"/>
                <w:kern w:val="2"/>
                <w:sz w:val="21"/>
                <w:szCs w:val="21"/>
                <w:lang w:val="en-US" w:eastAsia="zh-CN" w:bidi="bo-CN"/>
              </w:rPr>
              <w:t>0</w:t>
            </w:r>
          </w:p>
        </w:tc>
        <w:tc>
          <w:tcPr>
            <w:tcW w:w="1757" w:type="dxa"/>
            <w:noWrap w:val="0"/>
            <w:vAlign w:val="center"/>
          </w:tcPr>
          <w:p w14:paraId="186F4A79">
            <w:pPr>
              <w:keepNext w:val="0"/>
              <w:keepLines w:val="0"/>
              <w:pageBreakBefore w:val="0"/>
              <w:widowControl w:val="0"/>
              <w:kinsoku/>
              <w:wordWrap w:val="0"/>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0.05</w:t>
            </w:r>
          </w:p>
        </w:tc>
        <w:tc>
          <w:tcPr>
            <w:tcW w:w="1695" w:type="dxa"/>
            <w:noWrap w:val="0"/>
            <w:vAlign w:val="center"/>
          </w:tcPr>
          <w:p w14:paraId="6F89EF05">
            <w:pPr>
              <w:pStyle w:val="17"/>
              <w:keepLines w:val="0"/>
              <w:pageBreakBefore w:val="0"/>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kern w:val="2"/>
                <w:sz w:val="21"/>
                <w:szCs w:val="21"/>
                <w:lang w:val="en-US" w:eastAsia="zh-CN" w:bidi="bo-CN"/>
              </w:rPr>
            </w:pPr>
            <w:r>
              <w:rPr>
                <w:rFonts w:hint="eastAsia" w:cs="Times New Roman"/>
                <w:kern w:val="2"/>
                <w:sz w:val="21"/>
                <w:szCs w:val="21"/>
                <w:lang w:val="en-US" w:eastAsia="zh-CN" w:bidi="bo-CN"/>
              </w:rPr>
              <w:t>+0.05</w:t>
            </w:r>
          </w:p>
        </w:tc>
      </w:tr>
    </w:tbl>
    <w:p w14:paraId="2366935B">
      <w:pPr>
        <w:pStyle w:val="22"/>
        <w:wordWrap w:val="0"/>
        <w:adjustRightInd w:val="0"/>
        <w:snapToGrid w:val="0"/>
        <w:spacing w:before="0" w:beforeAutospacing="0" w:after="0" w:afterAutospacing="0"/>
        <w:outlineLvl w:val="0"/>
        <w:rPr>
          <w:rFonts w:ascii="Times New Roman" w:hAnsi="Times New Roman" w:eastAsia="黑体"/>
        </w:rPr>
      </w:pPr>
      <w:r>
        <w:rPr>
          <w:rFonts w:ascii="Times New Roman" w:hAnsi="Times New Roman"/>
          <w:snapToGrid w:val="0"/>
          <w:kern w:val="21"/>
          <w:szCs w:val="21"/>
        </w:rPr>
        <w:t>注：</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6 \* GB3 \* MERGEFORMAT </w:instrText>
      </w:r>
      <w:r>
        <w:rPr>
          <w:rFonts w:ascii="Times New Roman" w:hAnsi="Times New Roman"/>
          <w:snapToGrid w:val="0"/>
          <w:spacing w:val="-16"/>
          <w:kern w:val="21"/>
          <w:szCs w:val="21"/>
        </w:rPr>
        <w:fldChar w:fldCharType="separate"/>
      </w:r>
      <w:r>
        <w:rPr>
          <w:rFonts w:ascii="Times New Roman" w:hAnsi="Times New Roman"/>
          <w:szCs w:val="21"/>
        </w:rPr>
        <w:t>⑥</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1 \* GB3 \* MERGEFORMAT </w:instrText>
      </w:r>
      <w:r>
        <w:rPr>
          <w:rFonts w:ascii="Times New Roman" w:hAnsi="Times New Roman"/>
          <w:snapToGrid w:val="0"/>
          <w:spacing w:val="-6"/>
          <w:kern w:val="21"/>
          <w:szCs w:val="21"/>
        </w:rPr>
        <w:fldChar w:fldCharType="separate"/>
      </w:r>
      <w:r>
        <w:rPr>
          <w:rFonts w:ascii="Times New Roman" w:hAnsi="Times New Roman"/>
          <w:szCs w:val="21"/>
        </w:rPr>
        <w:t>①</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3 \* GB3 \* MERGEFORMAT </w:instrText>
      </w:r>
      <w:r>
        <w:rPr>
          <w:rFonts w:ascii="Times New Roman" w:hAnsi="Times New Roman"/>
          <w:snapToGrid w:val="0"/>
          <w:spacing w:val="-6"/>
          <w:kern w:val="21"/>
          <w:szCs w:val="21"/>
        </w:rPr>
        <w:fldChar w:fldCharType="separate"/>
      </w:r>
      <w:r>
        <w:rPr>
          <w:rFonts w:ascii="Times New Roman" w:hAnsi="Times New Roman"/>
          <w:szCs w:val="21"/>
        </w:rPr>
        <w:t>③</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4 \* GB3 \* MERGEFORMAT </w:instrText>
      </w:r>
      <w:r>
        <w:rPr>
          <w:rFonts w:ascii="Times New Roman" w:hAnsi="Times New Roman"/>
          <w:snapToGrid w:val="0"/>
          <w:spacing w:val="-6"/>
          <w:kern w:val="21"/>
          <w:szCs w:val="21"/>
        </w:rPr>
        <w:fldChar w:fldCharType="separate"/>
      </w:r>
      <w:r>
        <w:rPr>
          <w:rFonts w:ascii="Times New Roman" w:hAnsi="Times New Roman"/>
          <w:szCs w:val="21"/>
        </w:rPr>
        <w:t>④</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5 \* GB3 \* MERGEFORMAT </w:instrText>
      </w:r>
      <w:r>
        <w:rPr>
          <w:rFonts w:ascii="Times New Roman" w:hAnsi="Times New Roman"/>
          <w:snapToGrid w:val="0"/>
          <w:spacing w:val="-16"/>
          <w:kern w:val="21"/>
          <w:szCs w:val="21"/>
        </w:rPr>
        <w:fldChar w:fldCharType="separate"/>
      </w:r>
      <w:r>
        <w:rPr>
          <w:rFonts w:ascii="Times New Roman" w:hAnsi="Times New Roman"/>
          <w:szCs w:val="21"/>
        </w:rPr>
        <w:t>⑤</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7 \* GB3 \* MERGEFORMAT </w:instrText>
      </w:r>
      <w:r>
        <w:rPr>
          <w:rFonts w:ascii="Times New Roman" w:hAnsi="Times New Roman"/>
          <w:snapToGrid w:val="0"/>
          <w:spacing w:val="-6"/>
          <w:kern w:val="21"/>
          <w:szCs w:val="21"/>
        </w:rPr>
        <w:fldChar w:fldCharType="separate"/>
      </w:r>
      <w:r>
        <w:rPr>
          <w:rFonts w:ascii="Times New Roman" w:hAnsi="Times New Roman"/>
          <w:szCs w:val="21"/>
        </w:rPr>
        <w:t>⑦</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6 \* GB3 \* MERGEFORMAT </w:instrText>
      </w:r>
      <w:r>
        <w:rPr>
          <w:rFonts w:ascii="Times New Roman" w:hAnsi="Times New Roman"/>
          <w:snapToGrid w:val="0"/>
          <w:spacing w:val="-16"/>
          <w:kern w:val="21"/>
          <w:szCs w:val="21"/>
        </w:rPr>
        <w:fldChar w:fldCharType="separate"/>
      </w:r>
      <w:r>
        <w:rPr>
          <w:rFonts w:ascii="Times New Roman" w:hAnsi="Times New Roman"/>
          <w:szCs w:val="21"/>
        </w:rPr>
        <w:t>⑥</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1 \* GB3 \* MERGEFORMAT </w:instrText>
      </w:r>
      <w:r>
        <w:rPr>
          <w:rFonts w:ascii="Times New Roman" w:hAnsi="Times New Roman"/>
          <w:snapToGrid w:val="0"/>
          <w:spacing w:val="-6"/>
          <w:kern w:val="21"/>
          <w:szCs w:val="21"/>
        </w:rPr>
        <w:fldChar w:fldCharType="separate"/>
      </w:r>
      <w:r>
        <w:rPr>
          <w:rFonts w:ascii="Times New Roman" w:hAnsi="Times New Roman"/>
          <w:szCs w:val="21"/>
        </w:rPr>
        <w:t>①</w:t>
      </w:r>
      <w:r>
        <w:rPr>
          <w:rFonts w:ascii="Times New Roman" w:hAnsi="Times New Roman"/>
          <w:snapToGrid w:val="0"/>
          <w:spacing w:val="-6"/>
          <w:kern w:val="21"/>
          <w:szCs w:val="21"/>
        </w:rPr>
        <w:fldChar w:fldCharType="end"/>
      </w:r>
    </w:p>
    <w:p w14:paraId="1CF220C6"/>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roman"/>
    <w:pitch w:val="default"/>
    <w:sig w:usb0="00000000" w:usb1="00000000" w:usb2="0000003F" w:usb3="00000000" w:csb0="603F01FF" w:csb1="FFFF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Helvetica">
    <w:altName w:val="Arial"/>
    <w:panose1 w:val="00000000000000000000"/>
    <w:charset w:val="00"/>
    <w:family w:val="roman"/>
    <w:pitch w:val="default"/>
    <w:sig w:usb0="00000000" w:usb1="00000000" w:usb2="00000000" w:usb3="00000000" w:csb0="00000001"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56986">
    <w:pPr>
      <w:pStyle w:val="1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4BD75">
    <w:pPr>
      <w:pStyle w:val="19"/>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4"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5E69FD">
                          <w:pPr>
                            <w:pStyle w:val="19"/>
                          </w:pPr>
                          <w:r>
                            <w:fldChar w:fldCharType="begin"/>
                          </w:r>
                          <w:r>
                            <w:instrText xml:space="preserve"> PAGE  \* MERGEFORMAT </w:instrText>
                          </w:r>
                          <w:r>
                            <w:fldChar w:fldCharType="separate"/>
                          </w:r>
                          <w:r>
                            <w:t>61</w:t>
                          </w:r>
                          <w:r>
                            <w:fldChar w:fldCharType="end"/>
                          </w:r>
                        </w:p>
                      </w:txbxContent>
                    </wps:txbx>
                    <wps:bodyPr vert="horz" wrap="none" lIns="0" tIns="0" rIns="0" bIns="0" anchor="t" anchorCtr="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GmmjOIBAADDAwAADgAAAGRycy9lMm9Eb2MueG1srVPNjtMwEL4j8Q6W&#10;7zRptIIqqrsCqkVICJAWHsB1nMaS/+Rxm5QHgDfgxIU7z9XnYOwkXXb3sgcuyXhm/M1834zX14PR&#10;5CgDKGcZXS5KSqQVrlF2z+jXLzcvVpRA5Lbh2lnJ6EkCvd48f7bufS0r1zndyEAQxELde0a7GH1d&#10;FCA6aTgsnJcWg60Lhkc8hn3RBN4jutFFVZYvi96FxgcnJAB6t2OQTojhKYCubZWQWycORto4ogap&#10;eURK0CkPdJO7bVsp4qe2BRmJZhSZxvzFImjv0rfYrHm9D9x3Skwt8Ke08ICT4cpi0QvUlkdODkE9&#10;gjJKBAeujQvhTDESyYogi2X5QJvbjnuZuaDU4C+iw/+DFR+PnwNRDaPV1RUllhsc+fnnj/OvP+ff&#10;38myrF4ljXoPNabeekyOwxs34ObMfkBnoj60waQ/kiIYR4VPF4XlEIlIl1bValViSGBsPiB+cXfd&#10;B4jvpDMkGYwGHGFWlh8/QBxT55RUzbobpXUeo7b3HIiZPEXqfewxWXHYDROhnWtOyAffAtbpXPhG&#10;SY+bwKjFxadEv7codFqa2QizsZsNbgVeZDRSMppv47hcBx/UvsvrlpoC//oQsdNMILUx1p66w9lm&#10;CaY9TMvz7zln3b29z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iGmmjOIBAADDAwAADgAA&#10;AAAAAAABACAAAAAeAQAAZHJzL2Uyb0RvYy54bWxQSwUGAAAAAAYABgBZAQAAcgUAAAAA&#10;">
              <v:fill on="f" focussize="0,0"/>
              <v:stroke on="f"/>
              <v:imagedata o:title=""/>
              <o:lock v:ext="edit" aspectratio="f"/>
              <v:textbox inset="0mm,0mm,0mm,0mm" style="mso-fit-shape-to-text:t;">
                <w:txbxContent>
                  <w:p w14:paraId="455E69FD">
                    <w:pPr>
                      <w:pStyle w:val="19"/>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9171F">
    <w:pPr>
      <w:pStyle w:val="19"/>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3"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6D1D33">
                          <w:pPr>
                            <w:pStyle w:val="19"/>
                          </w:pPr>
                          <w:r>
                            <w:fldChar w:fldCharType="begin"/>
                          </w:r>
                          <w:r>
                            <w:instrText xml:space="preserve"> PAGE  \* MERGEFORMAT </w:instrText>
                          </w:r>
                          <w:r>
                            <w:fldChar w:fldCharType="separate"/>
                          </w:r>
                          <w:r>
                            <w:t>104</w:t>
                          </w:r>
                          <w:r>
                            <w:fldChar w:fldCharType="end"/>
                          </w:r>
                        </w:p>
                      </w:txbxContent>
                    </wps:txbx>
                    <wps:bodyPr vert="horz" wrap="none" lIns="0" tIns="0" rIns="0" bIns="0" anchor="t" anchorCtr="0" upright="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ft/kuMBAADDAwAADgAAAGRycy9lMm9Eb2MueG1srVNLbtswEN0X6B0I&#10;7mvJalEIguWgrZGiQJEUSHsAmqIsAvyBHFtyD5DeoKtsuu+5fI4MKclpk00W2UjDmeGbeW+Gq4tB&#10;K3IQPkhrarpc5JQIw20jza6mP75fvikpCcBMw5Q1oqZHEejF+vWrVe8qUdjOqkZ4giAmVL2raQfg&#10;qiwLvBOahYV1wmCwtV4zwKPfZY1nPaJrlRV5/j7rrW+ct1yEgN7NGKQTon8OoG1bycXG8r0WBkZU&#10;LxQDpBQ66QJdp27bVnC4btsggKiaIlNIXyyC9jZ+s/WKVTvPXCf51AJ7TguPOGkmDRY9Q20YMLL3&#10;8gmUltzbYFtYcKuzkUhSBFks80fa3HTMicQFpQ7uLHp4OVh+dfjmiWxqWrx7S4lhGkd++v3rdPf3&#10;9OeWLPOijBr1LlSYeuMwGYaPdsDNmf0BnZH60Hod/0iKYBwVPp4VFgMQHi+VRVnmGOIYmw+Inz1c&#10;dz7AZ2E1iUZNPY4wKcsOXwOMqXNKrGbspVQqjVGZ/xyIGT1Z7H3sMVowbIeJ0NY2R+SDbwHrdNb/&#10;pKTHTaipwcWnRH0xKHRcmtnws7GdDWY4XqwpUDKan2Bcrr3zcteldYtNBfdhD9hpIhDbGGtP3eFs&#10;kwTTHsbl+fecsh7e3vo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A37f5LjAQAAwwMAAA4A&#10;AAAAAAAAAQAgAAAAHgEAAGRycy9lMm9Eb2MueG1sUEsFBgAAAAAGAAYAWQEAAHMFAAAAAA==&#10;">
              <v:fill on="f" focussize="0,0"/>
              <v:stroke on="f"/>
              <v:imagedata o:title=""/>
              <o:lock v:ext="edit" aspectratio="f"/>
              <v:textbox inset="0mm,0mm,0mm,0mm" style="mso-fit-shape-to-text:t;">
                <w:txbxContent>
                  <w:p w14:paraId="246D1D33">
                    <w:pPr>
                      <w:pStyle w:val="19"/>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BD7AF"/>
    <w:multiLevelType w:val="multilevel"/>
    <w:tmpl w:val="8DBBD7AF"/>
    <w:lvl w:ilvl="0" w:tentative="0">
      <w:start w:val="1"/>
      <w:numFmt w:val="decimal"/>
      <w:lvlText w:val="表3-%1"/>
      <w:lvlJc w:val="left"/>
      <w:pPr>
        <w:tabs>
          <w:tab w:val="left" w:pos="400"/>
        </w:tabs>
        <w:ind w:left="400" w:hanging="420"/>
      </w:pPr>
      <w:rPr>
        <w:rFonts w:hint="default" w:ascii="宋体" w:hAnsi="宋体" w:eastAsia="宋体" w:cs="宋体"/>
      </w:rPr>
    </w:lvl>
    <w:lvl w:ilvl="1" w:tentative="0">
      <w:start w:val="1"/>
      <w:numFmt w:val="lowerLetter"/>
      <w:lvlText w:val="%2)"/>
      <w:lvlJc w:val="left"/>
      <w:pPr>
        <w:tabs>
          <w:tab w:val="left" w:pos="830"/>
        </w:tabs>
        <w:ind w:left="830" w:hanging="420"/>
      </w:pPr>
      <w:rPr>
        <w:rFonts w:hint="eastAsia"/>
      </w:rPr>
    </w:lvl>
    <w:lvl w:ilvl="2" w:tentative="0">
      <w:start w:val="1"/>
      <w:numFmt w:val="lowerRoman"/>
      <w:lvlText w:val="%3."/>
      <w:lvlJc w:val="right"/>
      <w:pPr>
        <w:tabs>
          <w:tab w:val="left" w:pos="1250"/>
        </w:tabs>
        <w:ind w:left="1250" w:hanging="420"/>
      </w:pPr>
      <w:rPr>
        <w:rFonts w:hint="eastAsia"/>
      </w:rPr>
    </w:lvl>
    <w:lvl w:ilvl="3" w:tentative="0">
      <w:start w:val="1"/>
      <w:numFmt w:val="decimal"/>
      <w:lvlText w:val="%4."/>
      <w:lvlJc w:val="left"/>
      <w:pPr>
        <w:tabs>
          <w:tab w:val="left" w:pos="1670"/>
        </w:tabs>
        <w:ind w:left="1670" w:hanging="420"/>
      </w:pPr>
      <w:rPr>
        <w:rFonts w:hint="eastAsia"/>
      </w:rPr>
    </w:lvl>
    <w:lvl w:ilvl="4" w:tentative="0">
      <w:start w:val="1"/>
      <w:numFmt w:val="lowerLetter"/>
      <w:lvlText w:val="%5)"/>
      <w:lvlJc w:val="left"/>
      <w:pPr>
        <w:tabs>
          <w:tab w:val="left" w:pos="2090"/>
        </w:tabs>
        <w:ind w:left="2090" w:hanging="420"/>
      </w:pPr>
      <w:rPr>
        <w:rFonts w:hint="eastAsia"/>
      </w:rPr>
    </w:lvl>
    <w:lvl w:ilvl="5" w:tentative="0">
      <w:start w:val="1"/>
      <w:numFmt w:val="lowerRoman"/>
      <w:lvlText w:val="%6."/>
      <w:lvlJc w:val="right"/>
      <w:pPr>
        <w:tabs>
          <w:tab w:val="left" w:pos="2510"/>
        </w:tabs>
        <w:ind w:left="2510" w:hanging="420"/>
      </w:pPr>
      <w:rPr>
        <w:rFonts w:hint="eastAsia"/>
      </w:rPr>
    </w:lvl>
    <w:lvl w:ilvl="6" w:tentative="0">
      <w:start w:val="1"/>
      <w:numFmt w:val="decimal"/>
      <w:lvlText w:val="%7."/>
      <w:lvlJc w:val="left"/>
      <w:pPr>
        <w:tabs>
          <w:tab w:val="left" w:pos="2930"/>
        </w:tabs>
        <w:ind w:left="2930" w:hanging="420"/>
      </w:pPr>
      <w:rPr>
        <w:rFonts w:hint="eastAsia"/>
      </w:rPr>
    </w:lvl>
    <w:lvl w:ilvl="7" w:tentative="0">
      <w:start w:val="1"/>
      <w:numFmt w:val="lowerLetter"/>
      <w:lvlText w:val="%8)"/>
      <w:lvlJc w:val="left"/>
      <w:pPr>
        <w:tabs>
          <w:tab w:val="left" w:pos="3350"/>
        </w:tabs>
        <w:ind w:left="3350" w:hanging="420"/>
      </w:pPr>
      <w:rPr>
        <w:rFonts w:hint="eastAsia"/>
      </w:rPr>
    </w:lvl>
    <w:lvl w:ilvl="8" w:tentative="0">
      <w:start w:val="1"/>
      <w:numFmt w:val="lowerRoman"/>
      <w:lvlText w:val="%9."/>
      <w:lvlJc w:val="right"/>
      <w:pPr>
        <w:tabs>
          <w:tab w:val="left" w:pos="3770"/>
        </w:tabs>
        <w:ind w:left="3770" w:hanging="420"/>
      </w:pPr>
      <w:rPr>
        <w:rFonts w:hint="eastAsia"/>
      </w:rPr>
    </w:lvl>
  </w:abstractNum>
  <w:abstractNum w:abstractNumId="1">
    <w:nsid w:val="ABDCA9B4"/>
    <w:multiLevelType w:val="singleLevel"/>
    <w:tmpl w:val="ABDCA9B4"/>
    <w:lvl w:ilvl="0" w:tentative="0">
      <w:start w:val="1"/>
      <w:numFmt w:val="decimal"/>
      <w:pStyle w:val="14"/>
      <w:lvlText w:val="%1."/>
      <w:lvlJc w:val="left"/>
      <w:pPr>
        <w:tabs>
          <w:tab w:val="left" w:pos="2040"/>
        </w:tabs>
        <w:ind w:left="2040" w:hanging="360"/>
      </w:pPr>
    </w:lvl>
  </w:abstractNum>
  <w:abstractNum w:abstractNumId="2">
    <w:nsid w:val="BDC1537C"/>
    <w:multiLevelType w:val="singleLevel"/>
    <w:tmpl w:val="BDC1537C"/>
    <w:lvl w:ilvl="0" w:tentative="0">
      <w:start w:val="1"/>
      <w:numFmt w:val="decimal"/>
      <w:lvlText w:val="表1-%1"/>
      <w:lvlJc w:val="left"/>
      <w:pPr>
        <w:tabs>
          <w:tab w:val="left" w:pos="420"/>
        </w:tabs>
        <w:ind w:left="425" w:hanging="425"/>
      </w:pPr>
      <w:rPr>
        <w:rFonts w:hint="default"/>
      </w:rPr>
    </w:lvl>
  </w:abstractNum>
  <w:abstractNum w:abstractNumId="3">
    <w:nsid w:val="FC6AA682"/>
    <w:multiLevelType w:val="multilevel"/>
    <w:tmpl w:val="FC6AA682"/>
    <w:lvl w:ilvl="0" w:tentative="0">
      <w:start w:val="1"/>
      <w:numFmt w:val="decimal"/>
      <w:lvlText w:val="表2-%1"/>
      <w:lvlJc w:val="left"/>
      <w:pPr>
        <w:tabs>
          <w:tab w:val="left" w:pos="419"/>
        </w:tabs>
        <w:ind w:left="419" w:hanging="420"/>
      </w:pPr>
      <w:rPr>
        <w:rFonts w:hint="default" w:ascii="宋体" w:hAnsi="宋体" w:eastAsia="宋体" w:cs="宋体"/>
        <w:b/>
        <w:bCs/>
      </w:rPr>
    </w:lvl>
    <w:lvl w:ilvl="1" w:tentative="0">
      <w:start w:val="1"/>
      <w:numFmt w:val="lowerLetter"/>
      <w:lvlText w:val="%2)"/>
      <w:lvlJc w:val="left"/>
      <w:pPr>
        <w:tabs>
          <w:tab w:val="left" w:pos="839"/>
        </w:tabs>
        <w:ind w:left="839" w:hanging="420"/>
      </w:pPr>
    </w:lvl>
    <w:lvl w:ilvl="2" w:tentative="0">
      <w:start w:val="1"/>
      <w:numFmt w:val="lowerRoman"/>
      <w:lvlText w:val="%3."/>
      <w:lvlJc w:val="right"/>
      <w:pPr>
        <w:tabs>
          <w:tab w:val="left" w:pos="1259"/>
        </w:tabs>
        <w:ind w:left="1259" w:hanging="420"/>
      </w:pPr>
    </w:lvl>
    <w:lvl w:ilvl="3" w:tentative="0">
      <w:start w:val="1"/>
      <w:numFmt w:val="decimal"/>
      <w:lvlText w:val="%4."/>
      <w:lvlJc w:val="left"/>
      <w:pPr>
        <w:tabs>
          <w:tab w:val="left" w:pos="1679"/>
        </w:tabs>
        <w:ind w:left="1679" w:hanging="420"/>
      </w:pPr>
    </w:lvl>
    <w:lvl w:ilvl="4" w:tentative="0">
      <w:start w:val="1"/>
      <w:numFmt w:val="lowerLetter"/>
      <w:lvlText w:val="%5)"/>
      <w:lvlJc w:val="left"/>
      <w:pPr>
        <w:tabs>
          <w:tab w:val="left" w:pos="2099"/>
        </w:tabs>
        <w:ind w:left="2099" w:hanging="420"/>
      </w:pPr>
    </w:lvl>
    <w:lvl w:ilvl="5" w:tentative="0">
      <w:start w:val="1"/>
      <w:numFmt w:val="lowerRoman"/>
      <w:lvlText w:val="%6."/>
      <w:lvlJc w:val="right"/>
      <w:pPr>
        <w:tabs>
          <w:tab w:val="left" w:pos="2519"/>
        </w:tabs>
        <w:ind w:left="2519" w:hanging="420"/>
      </w:pPr>
    </w:lvl>
    <w:lvl w:ilvl="6" w:tentative="0">
      <w:start w:val="1"/>
      <w:numFmt w:val="decimal"/>
      <w:lvlText w:val="%7."/>
      <w:lvlJc w:val="left"/>
      <w:pPr>
        <w:tabs>
          <w:tab w:val="left" w:pos="2939"/>
        </w:tabs>
        <w:ind w:left="2939" w:hanging="420"/>
      </w:pPr>
    </w:lvl>
    <w:lvl w:ilvl="7" w:tentative="0">
      <w:start w:val="1"/>
      <w:numFmt w:val="lowerLetter"/>
      <w:lvlText w:val="%8)"/>
      <w:lvlJc w:val="left"/>
      <w:pPr>
        <w:tabs>
          <w:tab w:val="left" w:pos="3359"/>
        </w:tabs>
        <w:ind w:left="3359" w:hanging="420"/>
      </w:pPr>
    </w:lvl>
    <w:lvl w:ilvl="8" w:tentative="0">
      <w:start w:val="1"/>
      <w:numFmt w:val="lowerRoman"/>
      <w:lvlText w:val="%9."/>
      <w:lvlJc w:val="right"/>
      <w:pPr>
        <w:tabs>
          <w:tab w:val="left" w:pos="3779"/>
        </w:tabs>
        <w:ind w:left="3779" w:hanging="420"/>
      </w:pPr>
    </w:lvl>
  </w:abstractNum>
  <w:abstractNum w:abstractNumId="4">
    <w:nsid w:val="0AFD629E"/>
    <w:multiLevelType w:val="multilevel"/>
    <w:tmpl w:val="0AFD629E"/>
    <w:lvl w:ilvl="0" w:tentative="0">
      <w:start w:val="1"/>
      <w:numFmt w:val="decimal"/>
      <w:lvlText w:val="表5-%1  "/>
      <w:lvlJc w:val="left"/>
      <w:pPr>
        <w:ind w:left="720" w:hanging="360"/>
      </w:pPr>
      <w:rPr>
        <w:rFonts w:hint="default" w:ascii="宋体" w:hAnsi="宋体" w:eastAsia="宋体" w:cs="宋体"/>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3635AE01"/>
    <w:multiLevelType w:val="multilevel"/>
    <w:tmpl w:val="3635AE01"/>
    <w:lvl w:ilvl="0" w:tentative="0">
      <w:start w:val="1"/>
      <w:numFmt w:val="decimal"/>
      <w:lvlText w:val="表4-%1"/>
      <w:lvlJc w:val="left"/>
      <w:pPr>
        <w:ind w:left="420" w:hanging="420"/>
      </w:pPr>
      <w:rPr>
        <w:rFonts w:hint="default" w:ascii="宋体" w:hAnsi="宋体" w:eastAsia="宋体" w:cs="宋体"/>
        <w:b/>
        <w:bCs/>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2927791"/>
    <w:multiLevelType w:val="singleLevel"/>
    <w:tmpl w:val="52927791"/>
    <w:lvl w:ilvl="0" w:tentative="0">
      <w:start w:val="1"/>
      <w:numFmt w:val="bullet"/>
      <w:pStyle w:val="15"/>
      <w:lvlText w:val=""/>
      <w:lvlJc w:val="left"/>
      <w:pPr>
        <w:tabs>
          <w:tab w:val="left" w:pos="2040"/>
        </w:tabs>
        <w:ind w:left="2040" w:hanging="360"/>
      </w:pPr>
      <w:rPr>
        <w:rFonts w:hint="default" w:ascii="Wingdings" w:hAnsi="Wingdings"/>
      </w:rPr>
    </w:lvl>
  </w:abstractNum>
  <w:num w:numId="1">
    <w:abstractNumId w:val="1"/>
  </w:num>
  <w:num w:numId="2">
    <w:abstractNumId w:val="6"/>
  </w:num>
  <w:num w:numId="3">
    <w:abstractNumId w:val="2"/>
  </w:num>
  <w:num w:numId="4">
    <w:abstractNumId w:val="3"/>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6"/>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FmY2FlMWMyNjk0NTRjYzU1MmM4NDE2MzJkMjBkOGYifQ=="/>
  </w:docVars>
  <w:rsids>
    <w:rsidRoot w:val="00172A27"/>
    <w:rsid w:val="000039E1"/>
    <w:rsid w:val="00003FCC"/>
    <w:rsid w:val="000060B3"/>
    <w:rsid w:val="0000798B"/>
    <w:rsid w:val="000105FF"/>
    <w:rsid w:val="0001274A"/>
    <w:rsid w:val="00012C19"/>
    <w:rsid w:val="00021CC7"/>
    <w:rsid w:val="000272AD"/>
    <w:rsid w:val="00031E56"/>
    <w:rsid w:val="00036F0A"/>
    <w:rsid w:val="000400B7"/>
    <w:rsid w:val="0004343B"/>
    <w:rsid w:val="0004364B"/>
    <w:rsid w:val="00044CC1"/>
    <w:rsid w:val="00046AD5"/>
    <w:rsid w:val="00052803"/>
    <w:rsid w:val="00054630"/>
    <w:rsid w:val="00055CBC"/>
    <w:rsid w:val="000607D1"/>
    <w:rsid w:val="00061B1F"/>
    <w:rsid w:val="00073000"/>
    <w:rsid w:val="000733C4"/>
    <w:rsid w:val="00074783"/>
    <w:rsid w:val="00077FA8"/>
    <w:rsid w:val="0008070B"/>
    <w:rsid w:val="000810AC"/>
    <w:rsid w:val="00081A02"/>
    <w:rsid w:val="00082231"/>
    <w:rsid w:val="00085BEE"/>
    <w:rsid w:val="00091C50"/>
    <w:rsid w:val="00092D38"/>
    <w:rsid w:val="0009377B"/>
    <w:rsid w:val="00093E8D"/>
    <w:rsid w:val="00094233"/>
    <w:rsid w:val="0009789B"/>
    <w:rsid w:val="000A20C9"/>
    <w:rsid w:val="000B058F"/>
    <w:rsid w:val="000B0D5C"/>
    <w:rsid w:val="000B311F"/>
    <w:rsid w:val="000B4467"/>
    <w:rsid w:val="000B4DB9"/>
    <w:rsid w:val="000B4E8D"/>
    <w:rsid w:val="000B5D7E"/>
    <w:rsid w:val="000C03FE"/>
    <w:rsid w:val="000C09AC"/>
    <w:rsid w:val="000C0F73"/>
    <w:rsid w:val="000C68B1"/>
    <w:rsid w:val="000C767F"/>
    <w:rsid w:val="000D1303"/>
    <w:rsid w:val="000D29E1"/>
    <w:rsid w:val="000D3F37"/>
    <w:rsid w:val="000D4080"/>
    <w:rsid w:val="000D5A44"/>
    <w:rsid w:val="000E03CC"/>
    <w:rsid w:val="000E3ED2"/>
    <w:rsid w:val="000E4708"/>
    <w:rsid w:val="000E55E0"/>
    <w:rsid w:val="000F147D"/>
    <w:rsid w:val="000F1FAD"/>
    <w:rsid w:val="00105862"/>
    <w:rsid w:val="00107236"/>
    <w:rsid w:val="00111B61"/>
    <w:rsid w:val="001139C8"/>
    <w:rsid w:val="00115E80"/>
    <w:rsid w:val="00116194"/>
    <w:rsid w:val="001214FB"/>
    <w:rsid w:val="00121CAD"/>
    <w:rsid w:val="0012415C"/>
    <w:rsid w:val="00131AC3"/>
    <w:rsid w:val="00131F42"/>
    <w:rsid w:val="001337FB"/>
    <w:rsid w:val="001357F1"/>
    <w:rsid w:val="00140E2B"/>
    <w:rsid w:val="00140FA8"/>
    <w:rsid w:val="00142FEB"/>
    <w:rsid w:val="00143A2D"/>
    <w:rsid w:val="00144D43"/>
    <w:rsid w:val="00145A41"/>
    <w:rsid w:val="00151675"/>
    <w:rsid w:val="00152BAD"/>
    <w:rsid w:val="00153C3A"/>
    <w:rsid w:val="00153CE1"/>
    <w:rsid w:val="00157435"/>
    <w:rsid w:val="00162822"/>
    <w:rsid w:val="00165DCC"/>
    <w:rsid w:val="00173E61"/>
    <w:rsid w:val="00174F1D"/>
    <w:rsid w:val="0017504D"/>
    <w:rsid w:val="00175E55"/>
    <w:rsid w:val="0017671A"/>
    <w:rsid w:val="00177422"/>
    <w:rsid w:val="00180B55"/>
    <w:rsid w:val="00182F17"/>
    <w:rsid w:val="00184590"/>
    <w:rsid w:val="00186B12"/>
    <w:rsid w:val="001870D1"/>
    <w:rsid w:val="0018781E"/>
    <w:rsid w:val="00187BCC"/>
    <w:rsid w:val="00187CE2"/>
    <w:rsid w:val="00187F30"/>
    <w:rsid w:val="0019262D"/>
    <w:rsid w:val="001A1B35"/>
    <w:rsid w:val="001A4622"/>
    <w:rsid w:val="001A48A2"/>
    <w:rsid w:val="001A6F61"/>
    <w:rsid w:val="001A7A54"/>
    <w:rsid w:val="001B08F5"/>
    <w:rsid w:val="001B1296"/>
    <w:rsid w:val="001B4334"/>
    <w:rsid w:val="001B587B"/>
    <w:rsid w:val="001B72B8"/>
    <w:rsid w:val="001B7DB0"/>
    <w:rsid w:val="001C05EA"/>
    <w:rsid w:val="001C69B3"/>
    <w:rsid w:val="001D5595"/>
    <w:rsid w:val="001D7874"/>
    <w:rsid w:val="001D7F22"/>
    <w:rsid w:val="001E03CA"/>
    <w:rsid w:val="001F008B"/>
    <w:rsid w:val="001F087B"/>
    <w:rsid w:val="001F0F17"/>
    <w:rsid w:val="001F3347"/>
    <w:rsid w:val="001F69E4"/>
    <w:rsid w:val="0021220D"/>
    <w:rsid w:val="002125B4"/>
    <w:rsid w:val="002155B8"/>
    <w:rsid w:val="00216103"/>
    <w:rsid w:val="002228D4"/>
    <w:rsid w:val="00222A15"/>
    <w:rsid w:val="00224839"/>
    <w:rsid w:val="002249B2"/>
    <w:rsid w:val="00226574"/>
    <w:rsid w:val="00227692"/>
    <w:rsid w:val="002278EC"/>
    <w:rsid w:val="00231CD9"/>
    <w:rsid w:val="0023280E"/>
    <w:rsid w:val="00236F5A"/>
    <w:rsid w:val="002377D1"/>
    <w:rsid w:val="00237A9D"/>
    <w:rsid w:val="00241333"/>
    <w:rsid w:val="00245B2F"/>
    <w:rsid w:val="002465A3"/>
    <w:rsid w:val="002506BC"/>
    <w:rsid w:val="002538CF"/>
    <w:rsid w:val="00254345"/>
    <w:rsid w:val="0026435E"/>
    <w:rsid w:val="00264557"/>
    <w:rsid w:val="00271D0A"/>
    <w:rsid w:val="00274BAB"/>
    <w:rsid w:val="002761B0"/>
    <w:rsid w:val="00277A07"/>
    <w:rsid w:val="002805AB"/>
    <w:rsid w:val="00284204"/>
    <w:rsid w:val="00291773"/>
    <w:rsid w:val="002929AC"/>
    <w:rsid w:val="002967D2"/>
    <w:rsid w:val="002971DD"/>
    <w:rsid w:val="002A168C"/>
    <w:rsid w:val="002A3DC7"/>
    <w:rsid w:val="002A6142"/>
    <w:rsid w:val="002B49E2"/>
    <w:rsid w:val="002B4B57"/>
    <w:rsid w:val="002B7064"/>
    <w:rsid w:val="002B7B00"/>
    <w:rsid w:val="002B7C44"/>
    <w:rsid w:val="002C2B17"/>
    <w:rsid w:val="002D298A"/>
    <w:rsid w:val="002D3DD0"/>
    <w:rsid w:val="002D6493"/>
    <w:rsid w:val="002D7291"/>
    <w:rsid w:val="002E0A82"/>
    <w:rsid w:val="002E1F3A"/>
    <w:rsid w:val="002E298A"/>
    <w:rsid w:val="002E3401"/>
    <w:rsid w:val="002F0BDD"/>
    <w:rsid w:val="002F1153"/>
    <w:rsid w:val="00301793"/>
    <w:rsid w:val="00301978"/>
    <w:rsid w:val="0030332C"/>
    <w:rsid w:val="003051C2"/>
    <w:rsid w:val="00312296"/>
    <w:rsid w:val="00314F0E"/>
    <w:rsid w:val="00316247"/>
    <w:rsid w:val="00317113"/>
    <w:rsid w:val="00317C3F"/>
    <w:rsid w:val="00321D8E"/>
    <w:rsid w:val="00322232"/>
    <w:rsid w:val="00325928"/>
    <w:rsid w:val="003264C5"/>
    <w:rsid w:val="003274AE"/>
    <w:rsid w:val="00331A8E"/>
    <w:rsid w:val="00332603"/>
    <w:rsid w:val="00332863"/>
    <w:rsid w:val="0033301D"/>
    <w:rsid w:val="00333A8F"/>
    <w:rsid w:val="00333B40"/>
    <w:rsid w:val="00334DA7"/>
    <w:rsid w:val="00335A7F"/>
    <w:rsid w:val="0033684D"/>
    <w:rsid w:val="00336A47"/>
    <w:rsid w:val="00337204"/>
    <w:rsid w:val="00337B42"/>
    <w:rsid w:val="00341B42"/>
    <w:rsid w:val="0034348F"/>
    <w:rsid w:val="00345909"/>
    <w:rsid w:val="00347519"/>
    <w:rsid w:val="00356653"/>
    <w:rsid w:val="0035743F"/>
    <w:rsid w:val="00357BE2"/>
    <w:rsid w:val="003615F8"/>
    <w:rsid w:val="0036170C"/>
    <w:rsid w:val="00363870"/>
    <w:rsid w:val="00366E0F"/>
    <w:rsid w:val="00372012"/>
    <w:rsid w:val="00372C62"/>
    <w:rsid w:val="00375D3D"/>
    <w:rsid w:val="00377CE1"/>
    <w:rsid w:val="00381A72"/>
    <w:rsid w:val="003830C2"/>
    <w:rsid w:val="00384676"/>
    <w:rsid w:val="00387931"/>
    <w:rsid w:val="00390857"/>
    <w:rsid w:val="00391131"/>
    <w:rsid w:val="00392EBA"/>
    <w:rsid w:val="0039315C"/>
    <w:rsid w:val="00393474"/>
    <w:rsid w:val="00394A36"/>
    <w:rsid w:val="003A1E9D"/>
    <w:rsid w:val="003A4BF3"/>
    <w:rsid w:val="003A7137"/>
    <w:rsid w:val="003B041B"/>
    <w:rsid w:val="003B17C9"/>
    <w:rsid w:val="003B420D"/>
    <w:rsid w:val="003B5D42"/>
    <w:rsid w:val="003C351D"/>
    <w:rsid w:val="003C6C16"/>
    <w:rsid w:val="003C7D68"/>
    <w:rsid w:val="003D5414"/>
    <w:rsid w:val="003D794D"/>
    <w:rsid w:val="003E3058"/>
    <w:rsid w:val="003E752D"/>
    <w:rsid w:val="003E76A9"/>
    <w:rsid w:val="003F0809"/>
    <w:rsid w:val="003F3320"/>
    <w:rsid w:val="003F6A8C"/>
    <w:rsid w:val="003F755C"/>
    <w:rsid w:val="00406F01"/>
    <w:rsid w:val="00412D31"/>
    <w:rsid w:val="00416D50"/>
    <w:rsid w:val="00416FD5"/>
    <w:rsid w:val="00417772"/>
    <w:rsid w:val="00420B17"/>
    <w:rsid w:val="00420BE2"/>
    <w:rsid w:val="00420E6A"/>
    <w:rsid w:val="00425A9E"/>
    <w:rsid w:val="00426D6B"/>
    <w:rsid w:val="00431E6C"/>
    <w:rsid w:val="004338E2"/>
    <w:rsid w:val="00433CE7"/>
    <w:rsid w:val="00436B59"/>
    <w:rsid w:val="004428DE"/>
    <w:rsid w:val="00450F0C"/>
    <w:rsid w:val="00452738"/>
    <w:rsid w:val="00456091"/>
    <w:rsid w:val="00465557"/>
    <w:rsid w:val="00466321"/>
    <w:rsid w:val="004669F3"/>
    <w:rsid w:val="00467159"/>
    <w:rsid w:val="00484B1E"/>
    <w:rsid w:val="00484B9B"/>
    <w:rsid w:val="004855F6"/>
    <w:rsid w:val="0048661E"/>
    <w:rsid w:val="00494670"/>
    <w:rsid w:val="00497A72"/>
    <w:rsid w:val="004A065C"/>
    <w:rsid w:val="004A1938"/>
    <w:rsid w:val="004A1EA0"/>
    <w:rsid w:val="004A3823"/>
    <w:rsid w:val="004A4698"/>
    <w:rsid w:val="004A4B36"/>
    <w:rsid w:val="004B2564"/>
    <w:rsid w:val="004B29AC"/>
    <w:rsid w:val="004B598A"/>
    <w:rsid w:val="004B69CF"/>
    <w:rsid w:val="004B7CAF"/>
    <w:rsid w:val="004C2286"/>
    <w:rsid w:val="004C7B88"/>
    <w:rsid w:val="004D23D8"/>
    <w:rsid w:val="004D52D4"/>
    <w:rsid w:val="004D77D8"/>
    <w:rsid w:val="004E575D"/>
    <w:rsid w:val="004E6946"/>
    <w:rsid w:val="004F0525"/>
    <w:rsid w:val="004F1AD8"/>
    <w:rsid w:val="004F299F"/>
    <w:rsid w:val="004F5005"/>
    <w:rsid w:val="00500A87"/>
    <w:rsid w:val="00501581"/>
    <w:rsid w:val="005039CB"/>
    <w:rsid w:val="0050558F"/>
    <w:rsid w:val="00505741"/>
    <w:rsid w:val="00506286"/>
    <w:rsid w:val="00510813"/>
    <w:rsid w:val="00511990"/>
    <w:rsid w:val="00511DE0"/>
    <w:rsid w:val="00514870"/>
    <w:rsid w:val="00514B9B"/>
    <w:rsid w:val="00517F02"/>
    <w:rsid w:val="005215CC"/>
    <w:rsid w:val="00522B1D"/>
    <w:rsid w:val="00522BD4"/>
    <w:rsid w:val="00524303"/>
    <w:rsid w:val="00525129"/>
    <w:rsid w:val="005258A2"/>
    <w:rsid w:val="00530D21"/>
    <w:rsid w:val="005401AE"/>
    <w:rsid w:val="00542E07"/>
    <w:rsid w:val="005441C4"/>
    <w:rsid w:val="00545424"/>
    <w:rsid w:val="00554A7B"/>
    <w:rsid w:val="005555F6"/>
    <w:rsid w:val="0055572C"/>
    <w:rsid w:val="00557848"/>
    <w:rsid w:val="0056106A"/>
    <w:rsid w:val="00567F0A"/>
    <w:rsid w:val="005720AE"/>
    <w:rsid w:val="00573E5D"/>
    <w:rsid w:val="005749DE"/>
    <w:rsid w:val="005775FC"/>
    <w:rsid w:val="00581AF7"/>
    <w:rsid w:val="00583B76"/>
    <w:rsid w:val="0058526C"/>
    <w:rsid w:val="00590527"/>
    <w:rsid w:val="00591374"/>
    <w:rsid w:val="00594D77"/>
    <w:rsid w:val="005969E4"/>
    <w:rsid w:val="005975CC"/>
    <w:rsid w:val="005A06B7"/>
    <w:rsid w:val="005A1759"/>
    <w:rsid w:val="005A331A"/>
    <w:rsid w:val="005A68A7"/>
    <w:rsid w:val="005B0659"/>
    <w:rsid w:val="005B0BD7"/>
    <w:rsid w:val="005B0E05"/>
    <w:rsid w:val="005B205F"/>
    <w:rsid w:val="005B32E0"/>
    <w:rsid w:val="005B3A81"/>
    <w:rsid w:val="005C39D6"/>
    <w:rsid w:val="005D0C7B"/>
    <w:rsid w:val="005D0E51"/>
    <w:rsid w:val="005D36AB"/>
    <w:rsid w:val="005E5E7F"/>
    <w:rsid w:val="005E6078"/>
    <w:rsid w:val="005E69B5"/>
    <w:rsid w:val="005F5D0A"/>
    <w:rsid w:val="00602332"/>
    <w:rsid w:val="00602746"/>
    <w:rsid w:val="00604E92"/>
    <w:rsid w:val="00610A15"/>
    <w:rsid w:val="00610A75"/>
    <w:rsid w:val="00617CC3"/>
    <w:rsid w:val="00624E5C"/>
    <w:rsid w:val="00625F7A"/>
    <w:rsid w:val="006321D3"/>
    <w:rsid w:val="00632F5F"/>
    <w:rsid w:val="006330D5"/>
    <w:rsid w:val="0063328F"/>
    <w:rsid w:val="006377A6"/>
    <w:rsid w:val="00637A3D"/>
    <w:rsid w:val="006411EF"/>
    <w:rsid w:val="00647C1C"/>
    <w:rsid w:val="0065139F"/>
    <w:rsid w:val="00652DBC"/>
    <w:rsid w:val="00662ABF"/>
    <w:rsid w:val="00667AA4"/>
    <w:rsid w:val="00671716"/>
    <w:rsid w:val="006748B8"/>
    <w:rsid w:val="0067662E"/>
    <w:rsid w:val="00676E21"/>
    <w:rsid w:val="006775C3"/>
    <w:rsid w:val="00680D5B"/>
    <w:rsid w:val="0068434E"/>
    <w:rsid w:val="0069290A"/>
    <w:rsid w:val="00695DFB"/>
    <w:rsid w:val="00695EC9"/>
    <w:rsid w:val="0069775A"/>
    <w:rsid w:val="00697813"/>
    <w:rsid w:val="006A3EE8"/>
    <w:rsid w:val="006A4409"/>
    <w:rsid w:val="006A72BF"/>
    <w:rsid w:val="006B03F2"/>
    <w:rsid w:val="006B062F"/>
    <w:rsid w:val="006B37DC"/>
    <w:rsid w:val="006B393B"/>
    <w:rsid w:val="006B4F68"/>
    <w:rsid w:val="006B5269"/>
    <w:rsid w:val="006B7617"/>
    <w:rsid w:val="006C0592"/>
    <w:rsid w:val="006C2057"/>
    <w:rsid w:val="006C272E"/>
    <w:rsid w:val="006C2D16"/>
    <w:rsid w:val="006C5479"/>
    <w:rsid w:val="006D02F4"/>
    <w:rsid w:val="006D13B5"/>
    <w:rsid w:val="006D3ECE"/>
    <w:rsid w:val="006E12FF"/>
    <w:rsid w:val="006E532B"/>
    <w:rsid w:val="006E607E"/>
    <w:rsid w:val="006E701D"/>
    <w:rsid w:val="006F30A1"/>
    <w:rsid w:val="00706C5D"/>
    <w:rsid w:val="007169AF"/>
    <w:rsid w:val="00732922"/>
    <w:rsid w:val="00736075"/>
    <w:rsid w:val="007368EE"/>
    <w:rsid w:val="00745F09"/>
    <w:rsid w:val="0075162E"/>
    <w:rsid w:val="0075261D"/>
    <w:rsid w:val="00754034"/>
    <w:rsid w:val="00756556"/>
    <w:rsid w:val="00760F3E"/>
    <w:rsid w:val="007618C4"/>
    <w:rsid w:val="00766741"/>
    <w:rsid w:val="0076750F"/>
    <w:rsid w:val="00767980"/>
    <w:rsid w:val="00770B19"/>
    <w:rsid w:val="00772CA0"/>
    <w:rsid w:val="0077463F"/>
    <w:rsid w:val="0077557B"/>
    <w:rsid w:val="00783531"/>
    <w:rsid w:val="007836EA"/>
    <w:rsid w:val="00784CDA"/>
    <w:rsid w:val="00785F75"/>
    <w:rsid w:val="007906C4"/>
    <w:rsid w:val="007940EA"/>
    <w:rsid w:val="00794D19"/>
    <w:rsid w:val="00795C00"/>
    <w:rsid w:val="007967E8"/>
    <w:rsid w:val="00796953"/>
    <w:rsid w:val="00797BF8"/>
    <w:rsid w:val="007A085B"/>
    <w:rsid w:val="007A2170"/>
    <w:rsid w:val="007A22BF"/>
    <w:rsid w:val="007A3323"/>
    <w:rsid w:val="007A3DF9"/>
    <w:rsid w:val="007A417A"/>
    <w:rsid w:val="007A5A86"/>
    <w:rsid w:val="007B3D85"/>
    <w:rsid w:val="007B6ACF"/>
    <w:rsid w:val="007B72B8"/>
    <w:rsid w:val="007B7A58"/>
    <w:rsid w:val="007C21B5"/>
    <w:rsid w:val="007C3F7E"/>
    <w:rsid w:val="007D6C34"/>
    <w:rsid w:val="007E0AF0"/>
    <w:rsid w:val="007E0F42"/>
    <w:rsid w:val="007E4BD2"/>
    <w:rsid w:val="007E7F60"/>
    <w:rsid w:val="007F1363"/>
    <w:rsid w:val="007F2F94"/>
    <w:rsid w:val="007F7E2F"/>
    <w:rsid w:val="007F7F95"/>
    <w:rsid w:val="00801393"/>
    <w:rsid w:val="00802F88"/>
    <w:rsid w:val="00806559"/>
    <w:rsid w:val="0081293E"/>
    <w:rsid w:val="00815465"/>
    <w:rsid w:val="00817E9A"/>
    <w:rsid w:val="00821B57"/>
    <w:rsid w:val="00821E36"/>
    <w:rsid w:val="00823100"/>
    <w:rsid w:val="008275AF"/>
    <w:rsid w:val="008306BD"/>
    <w:rsid w:val="00831A80"/>
    <w:rsid w:val="00832BCE"/>
    <w:rsid w:val="00833743"/>
    <w:rsid w:val="008340A4"/>
    <w:rsid w:val="0084278C"/>
    <w:rsid w:val="00842C97"/>
    <w:rsid w:val="00844E8D"/>
    <w:rsid w:val="00846894"/>
    <w:rsid w:val="0084782F"/>
    <w:rsid w:val="00855226"/>
    <w:rsid w:val="00864396"/>
    <w:rsid w:val="0086455B"/>
    <w:rsid w:val="0087135F"/>
    <w:rsid w:val="00871470"/>
    <w:rsid w:val="00872D94"/>
    <w:rsid w:val="00880364"/>
    <w:rsid w:val="00882244"/>
    <w:rsid w:val="00885BB5"/>
    <w:rsid w:val="00891592"/>
    <w:rsid w:val="00891E9E"/>
    <w:rsid w:val="008949AE"/>
    <w:rsid w:val="008A2F68"/>
    <w:rsid w:val="008A3E73"/>
    <w:rsid w:val="008B0260"/>
    <w:rsid w:val="008B1320"/>
    <w:rsid w:val="008B4FA6"/>
    <w:rsid w:val="008B5282"/>
    <w:rsid w:val="008B6676"/>
    <w:rsid w:val="008B7AF0"/>
    <w:rsid w:val="008B7C17"/>
    <w:rsid w:val="008C233C"/>
    <w:rsid w:val="008C2D01"/>
    <w:rsid w:val="008C2E44"/>
    <w:rsid w:val="008C40E6"/>
    <w:rsid w:val="008C7BEC"/>
    <w:rsid w:val="008D0CBB"/>
    <w:rsid w:val="008D0F7A"/>
    <w:rsid w:val="008D68E4"/>
    <w:rsid w:val="008D6F1E"/>
    <w:rsid w:val="008D7AC5"/>
    <w:rsid w:val="008E0506"/>
    <w:rsid w:val="008E0CFF"/>
    <w:rsid w:val="008E2A32"/>
    <w:rsid w:val="008E5D6B"/>
    <w:rsid w:val="008E76F0"/>
    <w:rsid w:val="008F15FE"/>
    <w:rsid w:val="008F1A8E"/>
    <w:rsid w:val="008F2D29"/>
    <w:rsid w:val="008F3E19"/>
    <w:rsid w:val="008F431D"/>
    <w:rsid w:val="008F5187"/>
    <w:rsid w:val="008F60D8"/>
    <w:rsid w:val="00902727"/>
    <w:rsid w:val="0090312B"/>
    <w:rsid w:val="00904086"/>
    <w:rsid w:val="0091736D"/>
    <w:rsid w:val="009219B1"/>
    <w:rsid w:val="009220CB"/>
    <w:rsid w:val="00923294"/>
    <w:rsid w:val="00927EB2"/>
    <w:rsid w:val="0093037A"/>
    <w:rsid w:val="00931401"/>
    <w:rsid w:val="009331CC"/>
    <w:rsid w:val="00936F15"/>
    <w:rsid w:val="00940F13"/>
    <w:rsid w:val="0094154D"/>
    <w:rsid w:val="00944894"/>
    <w:rsid w:val="009455E3"/>
    <w:rsid w:val="00945A98"/>
    <w:rsid w:val="00946C49"/>
    <w:rsid w:val="0095155F"/>
    <w:rsid w:val="009542C3"/>
    <w:rsid w:val="00954429"/>
    <w:rsid w:val="009563CE"/>
    <w:rsid w:val="00962224"/>
    <w:rsid w:val="009623EB"/>
    <w:rsid w:val="009701B9"/>
    <w:rsid w:val="0097138D"/>
    <w:rsid w:val="00976328"/>
    <w:rsid w:val="0097680D"/>
    <w:rsid w:val="009769EA"/>
    <w:rsid w:val="00977319"/>
    <w:rsid w:val="00982438"/>
    <w:rsid w:val="0098404C"/>
    <w:rsid w:val="0098501F"/>
    <w:rsid w:val="00985283"/>
    <w:rsid w:val="00985657"/>
    <w:rsid w:val="00987B98"/>
    <w:rsid w:val="00987D10"/>
    <w:rsid w:val="00990D76"/>
    <w:rsid w:val="00992A66"/>
    <w:rsid w:val="00994464"/>
    <w:rsid w:val="00995992"/>
    <w:rsid w:val="009A03E5"/>
    <w:rsid w:val="009A0EE4"/>
    <w:rsid w:val="009A0F3B"/>
    <w:rsid w:val="009A15D2"/>
    <w:rsid w:val="009A1BB4"/>
    <w:rsid w:val="009A2628"/>
    <w:rsid w:val="009A3200"/>
    <w:rsid w:val="009A71DC"/>
    <w:rsid w:val="009B0897"/>
    <w:rsid w:val="009B2A3A"/>
    <w:rsid w:val="009B35D7"/>
    <w:rsid w:val="009B525B"/>
    <w:rsid w:val="009B5C0D"/>
    <w:rsid w:val="009B6687"/>
    <w:rsid w:val="009B688C"/>
    <w:rsid w:val="009B6B7D"/>
    <w:rsid w:val="009B6C37"/>
    <w:rsid w:val="009B7BD9"/>
    <w:rsid w:val="009C01A7"/>
    <w:rsid w:val="009C05F7"/>
    <w:rsid w:val="009C73D2"/>
    <w:rsid w:val="009C7DD5"/>
    <w:rsid w:val="009D7A8F"/>
    <w:rsid w:val="009E227D"/>
    <w:rsid w:val="009E48C2"/>
    <w:rsid w:val="009E5019"/>
    <w:rsid w:val="009F0381"/>
    <w:rsid w:val="009F50EC"/>
    <w:rsid w:val="009F5AF4"/>
    <w:rsid w:val="009F6B79"/>
    <w:rsid w:val="00A0327E"/>
    <w:rsid w:val="00A04F1B"/>
    <w:rsid w:val="00A0501B"/>
    <w:rsid w:val="00A126F7"/>
    <w:rsid w:val="00A14947"/>
    <w:rsid w:val="00A176F4"/>
    <w:rsid w:val="00A22691"/>
    <w:rsid w:val="00A26AA0"/>
    <w:rsid w:val="00A304DA"/>
    <w:rsid w:val="00A32A83"/>
    <w:rsid w:val="00A341AB"/>
    <w:rsid w:val="00A368DB"/>
    <w:rsid w:val="00A423AA"/>
    <w:rsid w:val="00A44870"/>
    <w:rsid w:val="00A46785"/>
    <w:rsid w:val="00A50670"/>
    <w:rsid w:val="00A50E79"/>
    <w:rsid w:val="00A53EC6"/>
    <w:rsid w:val="00A55C0F"/>
    <w:rsid w:val="00A567AF"/>
    <w:rsid w:val="00A5767C"/>
    <w:rsid w:val="00A576C2"/>
    <w:rsid w:val="00A57BCE"/>
    <w:rsid w:val="00A700B6"/>
    <w:rsid w:val="00A70912"/>
    <w:rsid w:val="00A8524D"/>
    <w:rsid w:val="00A8713F"/>
    <w:rsid w:val="00A90BA1"/>
    <w:rsid w:val="00A95861"/>
    <w:rsid w:val="00A97A9A"/>
    <w:rsid w:val="00AA0671"/>
    <w:rsid w:val="00AA2531"/>
    <w:rsid w:val="00AA4366"/>
    <w:rsid w:val="00AA5A39"/>
    <w:rsid w:val="00AA6FDB"/>
    <w:rsid w:val="00AB1E09"/>
    <w:rsid w:val="00AB5330"/>
    <w:rsid w:val="00AB7747"/>
    <w:rsid w:val="00AC14CE"/>
    <w:rsid w:val="00AC21BE"/>
    <w:rsid w:val="00AC2A56"/>
    <w:rsid w:val="00AC6387"/>
    <w:rsid w:val="00AD055E"/>
    <w:rsid w:val="00AD47A7"/>
    <w:rsid w:val="00AD555E"/>
    <w:rsid w:val="00AF0CBF"/>
    <w:rsid w:val="00AF11E4"/>
    <w:rsid w:val="00AF257F"/>
    <w:rsid w:val="00AF2AC8"/>
    <w:rsid w:val="00AF33CF"/>
    <w:rsid w:val="00AF4D50"/>
    <w:rsid w:val="00AF6179"/>
    <w:rsid w:val="00B009E8"/>
    <w:rsid w:val="00B1295A"/>
    <w:rsid w:val="00B14EBB"/>
    <w:rsid w:val="00B2047F"/>
    <w:rsid w:val="00B20A45"/>
    <w:rsid w:val="00B22C5C"/>
    <w:rsid w:val="00B24F30"/>
    <w:rsid w:val="00B27815"/>
    <w:rsid w:val="00B30D9C"/>
    <w:rsid w:val="00B31ABF"/>
    <w:rsid w:val="00B32B51"/>
    <w:rsid w:val="00B33BE3"/>
    <w:rsid w:val="00B3457D"/>
    <w:rsid w:val="00B40589"/>
    <w:rsid w:val="00B4630A"/>
    <w:rsid w:val="00B47865"/>
    <w:rsid w:val="00B504D5"/>
    <w:rsid w:val="00B53B5D"/>
    <w:rsid w:val="00B558DF"/>
    <w:rsid w:val="00B56592"/>
    <w:rsid w:val="00B57F77"/>
    <w:rsid w:val="00B60095"/>
    <w:rsid w:val="00B6055E"/>
    <w:rsid w:val="00B6102E"/>
    <w:rsid w:val="00B6317D"/>
    <w:rsid w:val="00B748C1"/>
    <w:rsid w:val="00B7723F"/>
    <w:rsid w:val="00B80534"/>
    <w:rsid w:val="00B822F4"/>
    <w:rsid w:val="00B8433C"/>
    <w:rsid w:val="00B87491"/>
    <w:rsid w:val="00B93E82"/>
    <w:rsid w:val="00B94788"/>
    <w:rsid w:val="00B96C8C"/>
    <w:rsid w:val="00BA29E9"/>
    <w:rsid w:val="00BA51CE"/>
    <w:rsid w:val="00BA7142"/>
    <w:rsid w:val="00BB237C"/>
    <w:rsid w:val="00BB41A3"/>
    <w:rsid w:val="00BB70E7"/>
    <w:rsid w:val="00BC32DC"/>
    <w:rsid w:val="00BC35B6"/>
    <w:rsid w:val="00BC4B11"/>
    <w:rsid w:val="00BD0C76"/>
    <w:rsid w:val="00BD0E89"/>
    <w:rsid w:val="00BD1B51"/>
    <w:rsid w:val="00BD3A5D"/>
    <w:rsid w:val="00BD4596"/>
    <w:rsid w:val="00BD4E0E"/>
    <w:rsid w:val="00BD7DCB"/>
    <w:rsid w:val="00BE1405"/>
    <w:rsid w:val="00BE2FF0"/>
    <w:rsid w:val="00BE312D"/>
    <w:rsid w:val="00BE3AB6"/>
    <w:rsid w:val="00BE6923"/>
    <w:rsid w:val="00BF0B3F"/>
    <w:rsid w:val="00BF0BF8"/>
    <w:rsid w:val="00BF1C20"/>
    <w:rsid w:val="00BF6C27"/>
    <w:rsid w:val="00C027B6"/>
    <w:rsid w:val="00C04A78"/>
    <w:rsid w:val="00C10578"/>
    <w:rsid w:val="00C12006"/>
    <w:rsid w:val="00C12F14"/>
    <w:rsid w:val="00C135BC"/>
    <w:rsid w:val="00C15C95"/>
    <w:rsid w:val="00C25305"/>
    <w:rsid w:val="00C2596A"/>
    <w:rsid w:val="00C26AC1"/>
    <w:rsid w:val="00C272B6"/>
    <w:rsid w:val="00C27537"/>
    <w:rsid w:val="00C302FA"/>
    <w:rsid w:val="00C30AA8"/>
    <w:rsid w:val="00C30DB1"/>
    <w:rsid w:val="00C328FE"/>
    <w:rsid w:val="00C33507"/>
    <w:rsid w:val="00C359DB"/>
    <w:rsid w:val="00C35D2C"/>
    <w:rsid w:val="00C37D8D"/>
    <w:rsid w:val="00C4289B"/>
    <w:rsid w:val="00C4409D"/>
    <w:rsid w:val="00C44E72"/>
    <w:rsid w:val="00C45A06"/>
    <w:rsid w:val="00C468EA"/>
    <w:rsid w:val="00C47E5B"/>
    <w:rsid w:val="00C516F6"/>
    <w:rsid w:val="00C5744F"/>
    <w:rsid w:val="00C61E4B"/>
    <w:rsid w:val="00C624DF"/>
    <w:rsid w:val="00C64BFF"/>
    <w:rsid w:val="00C704E9"/>
    <w:rsid w:val="00C70738"/>
    <w:rsid w:val="00C763C9"/>
    <w:rsid w:val="00C80057"/>
    <w:rsid w:val="00C819F1"/>
    <w:rsid w:val="00C82232"/>
    <w:rsid w:val="00C82913"/>
    <w:rsid w:val="00C84233"/>
    <w:rsid w:val="00C873AC"/>
    <w:rsid w:val="00C972B1"/>
    <w:rsid w:val="00CA192F"/>
    <w:rsid w:val="00CA2CCE"/>
    <w:rsid w:val="00CA43FD"/>
    <w:rsid w:val="00CA7EF8"/>
    <w:rsid w:val="00CB2904"/>
    <w:rsid w:val="00CB442F"/>
    <w:rsid w:val="00CB627B"/>
    <w:rsid w:val="00CB7B82"/>
    <w:rsid w:val="00CC3EB7"/>
    <w:rsid w:val="00CC489B"/>
    <w:rsid w:val="00CD07E8"/>
    <w:rsid w:val="00CD2BCD"/>
    <w:rsid w:val="00CD3A4C"/>
    <w:rsid w:val="00CD74A7"/>
    <w:rsid w:val="00CD7F03"/>
    <w:rsid w:val="00CE10E9"/>
    <w:rsid w:val="00CE1EDC"/>
    <w:rsid w:val="00CE2910"/>
    <w:rsid w:val="00CE399C"/>
    <w:rsid w:val="00CE5393"/>
    <w:rsid w:val="00CF315D"/>
    <w:rsid w:val="00CF36BE"/>
    <w:rsid w:val="00CF486C"/>
    <w:rsid w:val="00CF55F3"/>
    <w:rsid w:val="00CF6000"/>
    <w:rsid w:val="00CF7A3A"/>
    <w:rsid w:val="00D003F3"/>
    <w:rsid w:val="00D0364F"/>
    <w:rsid w:val="00D03FD0"/>
    <w:rsid w:val="00D04653"/>
    <w:rsid w:val="00D04ACB"/>
    <w:rsid w:val="00D060C7"/>
    <w:rsid w:val="00D06834"/>
    <w:rsid w:val="00D121AB"/>
    <w:rsid w:val="00D1582F"/>
    <w:rsid w:val="00D20F78"/>
    <w:rsid w:val="00D243A4"/>
    <w:rsid w:val="00D253EF"/>
    <w:rsid w:val="00D25928"/>
    <w:rsid w:val="00D308ED"/>
    <w:rsid w:val="00D33292"/>
    <w:rsid w:val="00D36015"/>
    <w:rsid w:val="00D36D86"/>
    <w:rsid w:val="00D427A8"/>
    <w:rsid w:val="00D428AA"/>
    <w:rsid w:val="00D43BA3"/>
    <w:rsid w:val="00D4510F"/>
    <w:rsid w:val="00D50A34"/>
    <w:rsid w:val="00D50B84"/>
    <w:rsid w:val="00D53EFA"/>
    <w:rsid w:val="00D57044"/>
    <w:rsid w:val="00D65381"/>
    <w:rsid w:val="00D659AE"/>
    <w:rsid w:val="00D73827"/>
    <w:rsid w:val="00D765FF"/>
    <w:rsid w:val="00D80395"/>
    <w:rsid w:val="00D8235A"/>
    <w:rsid w:val="00D83ACE"/>
    <w:rsid w:val="00D916B7"/>
    <w:rsid w:val="00D9262B"/>
    <w:rsid w:val="00D945CA"/>
    <w:rsid w:val="00D94A7C"/>
    <w:rsid w:val="00D95896"/>
    <w:rsid w:val="00D95AF4"/>
    <w:rsid w:val="00D9624D"/>
    <w:rsid w:val="00DA1B93"/>
    <w:rsid w:val="00DA610E"/>
    <w:rsid w:val="00DB2983"/>
    <w:rsid w:val="00DB6E72"/>
    <w:rsid w:val="00DC1257"/>
    <w:rsid w:val="00DC2EF6"/>
    <w:rsid w:val="00DC3DC0"/>
    <w:rsid w:val="00DC5B2B"/>
    <w:rsid w:val="00DC654F"/>
    <w:rsid w:val="00DC688D"/>
    <w:rsid w:val="00DC7232"/>
    <w:rsid w:val="00DC7AF9"/>
    <w:rsid w:val="00DD318D"/>
    <w:rsid w:val="00DE73C7"/>
    <w:rsid w:val="00DF2A15"/>
    <w:rsid w:val="00DF2AA5"/>
    <w:rsid w:val="00DF2E12"/>
    <w:rsid w:val="00DF34B4"/>
    <w:rsid w:val="00DF514A"/>
    <w:rsid w:val="00DF6690"/>
    <w:rsid w:val="00DF6804"/>
    <w:rsid w:val="00DF6A00"/>
    <w:rsid w:val="00E00DCB"/>
    <w:rsid w:val="00E02044"/>
    <w:rsid w:val="00E0358D"/>
    <w:rsid w:val="00E042B8"/>
    <w:rsid w:val="00E04323"/>
    <w:rsid w:val="00E05E6B"/>
    <w:rsid w:val="00E070A2"/>
    <w:rsid w:val="00E154C4"/>
    <w:rsid w:val="00E1594E"/>
    <w:rsid w:val="00E224E0"/>
    <w:rsid w:val="00E2656A"/>
    <w:rsid w:val="00E30B83"/>
    <w:rsid w:val="00E36BB1"/>
    <w:rsid w:val="00E412D0"/>
    <w:rsid w:val="00E426B5"/>
    <w:rsid w:val="00E47B62"/>
    <w:rsid w:val="00E522AE"/>
    <w:rsid w:val="00E56322"/>
    <w:rsid w:val="00E571E0"/>
    <w:rsid w:val="00E60982"/>
    <w:rsid w:val="00E62C62"/>
    <w:rsid w:val="00E654C1"/>
    <w:rsid w:val="00E65D97"/>
    <w:rsid w:val="00E70CD8"/>
    <w:rsid w:val="00E72A5A"/>
    <w:rsid w:val="00E73354"/>
    <w:rsid w:val="00E80DD6"/>
    <w:rsid w:val="00E8130D"/>
    <w:rsid w:val="00E836A1"/>
    <w:rsid w:val="00E87AFB"/>
    <w:rsid w:val="00E91128"/>
    <w:rsid w:val="00E9242D"/>
    <w:rsid w:val="00E92AF9"/>
    <w:rsid w:val="00E9433F"/>
    <w:rsid w:val="00EB0C6F"/>
    <w:rsid w:val="00EB22F3"/>
    <w:rsid w:val="00EB2587"/>
    <w:rsid w:val="00EB5255"/>
    <w:rsid w:val="00EB5C47"/>
    <w:rsid w:val="00EC01BC"/>
    <w:rsid w:val="00EC6A77"/>
    <w:rsid w:val="00ED0639"/>
    <w:rsid w:val="00ED209F"/>
    <w:rsid w:val="00ED76BD"/>
    <w:rsid w:val="00EE0093"/>
    <w:rsid w:val="00EE4D0E"/>
    <w:rsid w:val="00EE704B"/>
    <w:rsid w:val="00EE7CAC"/>
    <w:rsid w:val="00EF05A1"/>
    <w:rsid w:val="00EF2B04"/>
    <w:rsid w:val="00EF427E"/>
    <w:rsid w:val="00EF4755"/>
    <w:rsid w:val="00EF7135"/>
    <w:rsid w:val="00F020B8"/>
    <w:rsid w:val="00F027DB"/>
    <w:rsid w:val="00F03AB6"/>
    <w:rsid w:val="00F07159"/>
    <w:rsid w:val="00F07F8E"/>
    <w:rsid w:val="00F11895"/>
    <w:rsid w:val="00F14A7A"/>
    <w:rsid w:val="00F22985"/>
    <w:rsid w:val="00F2443C"/>
    <w:rsid w:val="00F300A2"/>
    <w:rsid w:val="00F30A40"/>
    <w:rsid w:val="00F322A2"/>
    <w:rsid w:val="00F3383E"/>
    <w:rsid w:val="00F349B1"/>
    <w:rsid w:val="00F3516A"/>
    <w:rsid w:val="00F367FA"/>
    <w:rsid w:val="00F4108E"/>
    <w:rsid w:val="00F44FBC"/>
    <w:rsid w:val="00F465A7"/>
    <w:rsid w:val="00F469C8"/>
    <w:rsid w:val="00F5068A"/>
    <w:rsid w:val="00F50B7C"/>
    <w:rsid w:val="00F51511"/>
    <w:rsid w:val="00F5268C"/>
    <w:rsid w:val="00F550E6"/>
    <w:rsid w:val="00F57964"/>
    <w:rsid w:val="00F624C4"/>
    <w:rsid w:val="00F67B7A"/>
    <w:rsid w:val="00F74345"/>
    <w:rsid w:val="00F80A0A"/>
    <w:rsid w:val="00F81FEF"/>
    <w:rsid w:val="00F82B19"/>
    <w:rsid w:val="00F83416"/>
    <w:rsid w:val="00F8342C"/>
    <w:rsid w:val="00F837DE"/>
    <w:rsid w:val="00F868A2"/>
    <w:rsid w:val="00F9212D"/>
    <w:rsid w:val="00F93CB2"/>
    <w:rsid w:val="00F965DA"/>
    <w:rsid w:val="00FA0BE5"/>
    <w:rsid w:val="00FA156C"/>
    <w:rsid w:val="00FA33C0"/>
    <w:rsid w:val="00FA406A"/>
    <w:rsid w:val="00FA676C"/>
    <w:rsid w:val="00FA69EC"/>
    <w:rsid w:val="00FB503A"/>
    <w:rsid w:val="00FB516C"/>
    <w:rsid w:val="00FB6836"/>
    <w:rsid w:val="00FB6E81"/>
    <w:rsid w:val="00FB7D0A"/>
    <w:rsid w:val="00FC1D66"/>
    <w:rsid w:val="00FC29E6"/>
    <w:rsid w:val="00FC2EC7"/>
    <w:rsid w:val="00FD0236"/>
    <w:rsid w:val="00FD0A45"/>
    <w:rsid w:val="00FD0CAB"/>
    <w:rsid w:val="00FD18F4"/>
    <w:rsid w:val="00FD2CC4"/>
    <w:rsid w:val="00FD4054"/>
    <w:rsid w:val="00FD5041"/>
    <w:rsid w:val="00FD54DB"/>
    <w:rsid w:val="00FD619F"/>
    <w:rsid w:val="00FD7C08"/>
    <w:rsid w:val="00FE1E5F"/>
    <w:rsid w:val="00FE2B40"/>
    <w:rsid w:val="00FE5A92"/>
    <w:rsid w:val="00FF1EEC"/>
    <w:rsid w:val="00FF67CD"/>
    <w:rsid w:val="01213882"/>
    <w:rsid w:val="01290F7E"/>
    <w:rsid w:val="01341B75"/>
    <w:rsid w:val="015D1E09"/>
    <w:rsid w:val="01863763"/>
    <w:rsid w:val="01A65A18"/>
    <w:rsid w:val="01D90C72"/>
    <w:rsid w:val="01E07299"/>
    <w:rsid w:val="020733D3"/>
    <w:rsid w:val="023B5639"/>
    <w:rsid w:val="02697903"/>
    <w:rsid w:val="028F138F"/>
    <w:rsid w:val="02E9680F"/>
    <w:rsid w:val="02F96569"/>
    <w:rsid w:val="038A552B"/>
    <w:rsid w:val="03EA7B21"/>
    <w:rsid w:val="0401331F"/>
    <w:rsid w:val="04204AF5"/>
    <w:rsid w:val="042471B5"/>
    <w:rsid w:val="04542950"/>
    <w:rsid w:val="04DD6041"/>
    <w:rsid w:val="04E1096B"/>
    <w:rsid w:val="05024E4D"/>
    <w:rsid w:val="052A02F7"/>
    <w:rsid w:val="057C0CE0"/>
    <w:rsid w:val="05900FD6"/>
    <w:rsid w:val="05BF0A87"/>
    <w:rsid w:val="05E25A14"/>
    <w:rsid w:val="05ED461F"/>
    <w:rsid w:val="05F83EAE"/>
    <w:rsid w:val="05FE7565"/>
    <w:rsid w:val="062C2D8F"/>
    <w:rsid w:val="063E7D85"/>
    <w:rsid w:val="065105A9"/>
    <w:rsid w:val="06761EF4"/>
    <w:rsid w:val="06EE29A3"/>
    <w:rsid w:val="06F9252C"/>
    <w:rsid w:val="07293586"/>
    <w:rsid w:val="07295285"/>
    <w:rsid w:val="07636392"/>
    <w:rsid w:val="07770C56"/>
    <w:rsid w:val="07A31495"/>
    <w:rsid w:val="07E661C8"/>
    <w:rsid w:val="07E67364"/>
    <w:rsid w:val="0875590F"/>
    <w:rsid w:val="0891753F"/>
    <w:rsid w:val="092217DD"/>
    <w:rsid w:val="09273A00"/>
    <w:rsid w:val="093A7294"/>
    <w:rsid w:val="095913E2"/>
    <w:rsid w:val="09AE4798"/>
    <w:rsid w:val="09B77B66"/>
    <w:rsid w:val="09CB1F8D"/>
    <w:rsid w:val="09E374D2"/>
    <w:rsid w:val="09ED4A80"/>
    <w:rsid w:val="0A263993"/>
    <w:rsid w:val="0A2D3AC2"/>
    <w:rsid w:val="0A2D6320"/>
    <w:rsid w:val="0A4649C3"/>
    <w:rsid w:val="0A6479EB"/>
    <w:rsid w:val="0AA755DF"/>
    <w:rsid w:val="0ADF7090"/>
    <w:rsid w:val="0B120D44"/>
    <w:rsid w:val="0B2B4BC1"/>
    <w:rsid w:val="0B8836BC"/>
    <w:rsid w:val="0BC17136"/>
    <w:rsid w:val="0BD27BF6"/>
    <w:rsid w:val="0BF544D6"/>
    <w:rsid w:val="0C100A31"/>
    <w:rsid w:val="0C3B3C7D"/>
    <w:rsid w:val="0C5F47CA"/>
    <w:rsid w:val="0C622F47"/>
    <w:rsid w:val="0C7C7FF7"/>
    <w:rsid w:val="0CAB2EAE"/>
    <w:rsid w:val="0CE1517D"/>
    <w:rsid w:val="0D5459CD"/>
    <w:rsid w:val="0D621C7D"/>
    <w:rsid w:val="0D703D3F"/>
    <w:rsid w:val="0DA95483"/>
    <w:rsid w:val="0DF00E6B"/>
    <w:rsid w:val="0E225F07"/>
    <w:rsid w:val="0E73034D"/>
    <w:rsid w:val="0EAB2FA9"/>
    <w:rsid w:val="0EF04035"/>
    <w:rsid w:val="0F13775A"/>
    <w:rsid w:val="0F1E0B83"/>
    <w:rsid w:val="0F5F45FE"/>
    <w:rsid w:val="0F9A112B"/>
    <w:rsid w:val="0FF54706"/>
    <w:rsid w:val="104343E3"/>
    <w:rsid w:val="106D2F64"/>
    <w:rsid w:val="109D1ACA"/>
    <w:rsid w:val="10B45DF7"/>
    <w:rsid w:val="10B63710"/>
    <w:rsid w:val="10BE2A17"/>
    <w:rsid w:val="10F10820"/>
    <w:rsid w:val="111C2F7A"/>
    <w:rsid w:val="113004AF"/>
    <w:rsid w:val="11665CA1"/>
    <w:rsid w:val="11861BD6"/>
    <w:rsid w:val="12A432CD"/>
    <w:rsid w:val="12E30693"/>
    <w:rsid w:val="12F96668"/>
    <w:rsid w:val="13951726"/>
    <w:rsid w:val="13ED32CD"/>
    <w:rsid w:val="13EE0AA2"/>
    <w:rsid w:val="140937AF"/>
    <w:rsid w:val="14396509"/>
    <w:rsid w:val="14413989"/>
    <w:rsid w:val="14665D24"/>
    <w:rsid w:val="146E4BD8"/>
    <w:rsid w:val="14911C4E"/>
    <w:rsid w:val="14D472FE"/>
    <w:rsid w:val="14DD2C3C"/>
    <w:rsid w:val="15A92C87"/>
    <w:rsid w:val="15FA608A"/>
    <w:rsid w:val="16087E1D"/>
    <w:rsid w:val="161E5AA6"/>
    <w:rsid w:val="16555BE6"/>
    <w:rsid w:val="16837580"/>
    <w:rsid w:val="16F61EC4"/>
    <w:rsid w:val="173D16B6"/>
    <w:rsid w:val="17564540"/>
    <w:rsid w:val="17673941"/>
    <w:rsid w:val="176D6105"/>
    <w:rsid w:val="176F3976"/>
    <w:rsid w:val="17701D14"/>
    <w:rsid w:val="17735226"/>
    <w:rsid w:val="177C667B"/>
    <w:rsid w:val="1780394D"/>
    <w:rsid w:val="17A24635"/>
    <w:rsid w:val="17BB6B82"/>
    <w:rsid w:val="17F9235D"/>
    <w:rsid w:val="18047273"/>
    <w:rsid w:val="18141ADE"/>
    <w:rsid w:val="189F624C"/>
    <w:rsid w:val="18AA014B"/>
    <w:rsid w:val="18EA6433"/>
    <w:rsid w:val="1901601B"/>
    <w:rsid w:val="19EB16E3"/>
    <w:rsid w:val="1A1C66C0"/>
    <w:rsid w:val="1A42393B"/>
    <w:rsid w:val="1A5E1405"/>
    <w:rsid w:val="1AAD45DE"/>
    <w:rsid w:val="1AC31474"/>
    <w:rsid w:val="1AD6289E"/>
    <w:rsid w:val="1AF548E0"/>
    <w:rsid w:val="1B046F80"/>
    <w:rsid w:val="1B2E6E70"/>
    <w:rsid w:val="1B3267B5"/>
    <w:rsid w:val="1B40161D"/>
    <w:rsid w:val="1B441859"/>
    <w:rsid w:val="1B6606B1"/>
    <w:rsid w:val="1B8847D2"/>
    <w:rsid w:val="1BB27C67"/>
    <w:rsid w:val="1C010183"/>
    <w:rsid w:val="1C3552B9"/>
    <w:rsid w:val="1C3919B9"/>
    <w:rsid w:val="1C3D736A"/>
    <w:rsid w:val="1C3F2917"/>
    <w:rsid w:val="1C5E7925"/>
    <w:rsid w:val="1C644DEE"/>
    <w:rsid w:val="1CB95250"/>
    <w:rsid w:val="1CC75ACB"/>
    <w:rsid w:val="1CD6568D"/>
    <w:rsid w:val="1CE65C54"/>
    <w:rsid w:val="1CF85987"/>
    <w:rsid w:val="1CFD070F"/>
    <w:rsid w:val="1D5F6196"/>
    <w:rsid w:val="1D611CE1"/>
    <w:rsid w:val="1D6132A5"/>
    <w:rsid w:val="1D8E56D5"/>
    <w:rsid w:val="1DAF1C30"/>
    <w:rsid w:val="1DBB5203"/>
    <w:rsid w:val="1DFB7B64"/>
    <w:rsid w:val="1E7A43DA"/>
    <w:rsid w:val="1EBC6D8B"/>
    <w:rsid w:val="1EFB7D5C"/>
    <w:rsid w:val="1F214B55"/>
    <w:rsid w:val="1F3F6216"/>
    <w:rsid w:val="1F9608D6"/>
    <w:rsid w:val="1FBB3CD1"/>
    <w:rsid w:val="1FCD4A8D"/>
    <w:rsid w:val="1FD65D08"/>
    <w:rsid w:val="1FE406D4"/>
    <w:rsid w:val="1FE7539E"/>
    <w:rsid w:val="20246106"/>
    <w:rsid w:val="20671BE0"/>
    <w:rsid w:val="20963CB8"/>
    <w:rsid w:val="20A81A1B"/>
    <w:rsid w:val="20B07FB6"/>
    <w:rsid w:val="20B646FB"/>
    <w:rsid w:val="20C8628B"/>
    <w:rsid w:val="20E25BF7"/>
    <w:rsid w:val="213B74B1"/>
    <w:rsid w:val="215A2310"/>
    <w:rsid w:val="216163E7"/>
    <w:rsid w:val="216A68F0"/>
    <w:rsid w:val="21C347B6"/>
    <w:rsid w:val="21DE318A"/>
    <w:rsid w:val="21E25450"/>
    <w:rsid w:val="21ED04EB"/>
    <w:rsid w:val="21EF5B80"/>
    <w:rsid w:val="22576990"/>
    <w:rsid w:val="22AC5D9E"/>
    <w:rsid w:val="22F47480"/>
    <w:rsid w:val="233F0EE3"/>
    <w:rsid w:val="2398699E"/>
    <w:rsid w:val="23B6721E"/>
    <w:rsid w:val="23DE1C48"/>
    <w:rsid w:val="240210CD"/>
    <w:rsid w:val="245A479B"/>
    <w:rsid w:val="248325D7"/>
    <w:rsid w:val="24BF09F7"/>
    <w:rsid w:val="24C34ACD"/>
    <w:rsid w:val="24E0125C"/>
    <w:rsid w:val="24EE02F3"/>
    <w:rsid w:val="252617C1"/>
    <w:rsid w:val="252C7F32"/>
    <w:rsid w:val="252D53FE"/>
    <w:rsid w:val="257D4F73"/>
    <w:rsid w:val="25BA4892"/>
    <w:rsid w:val="25BD1392"/>
    <w:rsid w:val="25E5001C"/>
    <w:rsid w:val="25EC2D81"/>
    <w:rsid w:val="25F455C2"/>
    <w:rsid w:val="25FA1D1C"/>
    <w:rsid w:val="262C69B6"/>
    <w:rsid w:val="265E1986"/>
    <w:rsid w:val="2683138A"/>
    <w:rsid w:val="26B51CF0"/>
    <w:rsid w:val="26C75A42"/>
    <w:rsid w:val="26DD1BA5"/>
    <w:rsid w:val="272C2EF7"/>
    <w:rsid w:val="2733555C"/>
    <w:rsid w:val="275D3788"/>
    <w:rsid w:val="276F0A10"/>
    <w:rsid w:val="277057A2"/>
    <w:rsid w:val="27837370"/>
    <w:rsid w:val="28190F12"/>
    <w:rsid w:val="28C57CDB"/>
    <w:rsid w:val="29206EB8"/>
    <w:rsid w:val="29595666"/>
    <w:rsid w:val="295E4DC4"/>
    <w:rsid w:val="29637361"/>
    <w:rsid w:val="29874881"/>
    <w:rsid w:val="299C2541"/>
    <w:rsid w:val="29E325E0"/>
    <w:rsid w:val="29E83415"/>
    <w:rsid w:val="2A1E0CC5"/>
    <w:rsid w:val="2A452503"/>
    <w:rsid w:val="2A5228CF"/>
    <w:rsid w:val="2AA44A14"/>
    <w:rsid w:val="2B5F1A0C"/>
    <w:rsid w:val="2B856B25"/>
    <w:rsid w:val="2BA936A8"/>
    <w:rsid w:val="2C0625B9"/>
    <w:rsid w:val="2C0E3F27"/>
    <w:rsid w:val="2C315A5A"/>
    <w:rsid w:val="2C4B1C25"/>
    <w:rsid w:val="2C520C10"/>
    <w:rsid w:val="2C863590"/>
    <w:rsid w:val="2C9E3609"/>
    <w:rsid w:val="2CBC11AE"/>
    <w:rsid w:val="2CBE08DC"/>
    <w:rsid w:val="2D71156A"/>
    <w:rsid w:val="2D7B6EAA"/>
    <w:rsid w:val="2D9E56F5"/>
    <w:rsid w:val="2DBB61CF"/>
    <w:rsid w:val="2DBD7AC5"/>
    <w:rsid w:val="2DCC515B"/>
    <w:rsid w:val="2DF63A20"/>
    <w:rsid w:val="2E5C434A"/>
    <w:rsid w:val="2E667F96"/>
    <w:rsid w:val="2E8226AB"/>
    <w:rsid w:val="2E905A1F"/>
    <w:rsid w:val="2E923755"/>
    <w:rsid w:val="2F293471"/>
    <w:rsid w:val="2FD065E6"/>
    <w:rsid w:val="2FD96870"/>
    <w:rsid w:val="30580BC9"/>
    <w:rsid w:val="30A9452F"/>
    <w:rsid w:val="31005E6B"/>
    <w:rsid w:val="311E2ED7"/>
    <w:rsid w:val="3122519A"/>
    <w:rsid w:val="31461632"/>
    <w:rsid w:val="31497C34"/>
    <w:rsid w:val="315619EE"/>
    <w:rsid w:val="315C449C"/>
    <w:rsid w:val="31B82709"/>
    <w:rsid w:val="31D05482"/>
    <w:rsid w:val="31D34030"/>
    <w:rsid w:val="31E367AE"/>
    <w:rsid w:val="31EC4EA2"/>
    <w:rsid w:val="32400B34"/>
    <w:rsid w:val="325018B2"/>
    <w:rsid w:val="32854134"/>
    <w:rsid w:val="329A67A6"/>
    <w:rsid w:val="329E6876"/>
    <w:rsid w:val="33077579"/>
    <w:rsid w:val="3326355A"/>
    <w:rsid w:val="333015F2"/>
    <w:rsid w:val="334B6320"/>
    <w:rsid w:val="335D063A"/>
    <w:rsid w:val="339B1778"/>
    <w:rsid w:val="33D934D4"/>
    <w:rsid w:val="33FE2F6A"/>
    <w:rsid w:val="340E07E5"/>
    <w:rsid w:val="34235BF7"/>
    <w:rsid w:val="34374C22"/>
    <w:rsid w:val="34985DC9"/>
    <w:rsid w:val="350B5DF0"/>
    <w:rsid w:val="352769B2"/>
    <w:rsid w:val="35422C01"/>
    <w:rsid w:val="356B5251"/>
    <w:rsid w:val="358C5FA8"/>
    <w:rsid w:val="35A03207"/>
    <w:rsid w:val="35C15DF1"/>
    <w:rsid w:val="36032F7B"/>
    <w:rsid w:val="36074A7F"/>
    <w:rsid w:val="36451B47"/>
    <w:rsid w:val="368E0AEB"/>
    <w:rsid w:val="36923549"/>
    <w:rsid w:val="36B75FBF"/>
    <w:rsid w:val="36BD0C45"/>
    <w:rsid w:val="36D20A87"/>
    <w:rsid w:val="370A7F72"/>
    <w:rsid w:val="3768578B"/>
    <w:rsid w:val="37D94765"/>
    <w:rsid w:val="37E00298"/>
    <w:rsid w:val="37FA0A96"/>
    <w:rsid w:val="38157A9A"/>
    <w:rsid w:val="38493ED1"/>
    <w:rsid w:val="386D46CA"/>
    <w:rsid w:val="389B4CCD"/>
    <w:rsid w:val="38B302F9"/>
    <w:rsid w:val="38EA6997"/>
    <w:rsid w:val="38F12CD3"/>
    <w:rsid w:val="38F94775"/>
    <w:rsid w:val="392971ED"/>
    <w:rsid w:val="39325651"/>
    <w:rsid w:val="397C5EC2"/>
    <w:rsid w:val="39A448B7"/>
    <w:rsid w:val="39E47580"/>
    <w:rsid w:val="3A617096"/>
    <w:rsid w:val="3A75332D"/>
    <w:rsid w:val="3A872856"/>
    <w:rsid w:val="3AD953CA"/>
    <w:rsid w:val="3B1A6C07"/>
    <w:rsid w:val="3B3763D1"/>
    <w:rsid w:val="3B6D66AC"/>
    <w:rsid w:val="3BBF07D5"/>
    <w:rsid w:val="3BC82C9D"/>
    <w:rsid w:val="3BFA4E20"/>
    <w:rsid w:val="3C296E64"/>
    <w:rsid w:val="3C2F6E1E"/>
    <w:rsid w:val="3C4F64BA"/>
    <w:rsid w:val="3C616C4D"/>
    <w:rsid w:val="3C8D17A0"/>
    <w:rsid w:val="3C90435E"/>
    <w:rsid w:val="3C947D63"/>
    <w:rsid w:val="3CBE38E4"/>
    <w:rsid w:val="3CD4530B"/>
    <w:rsid w:val="3CDA245A"/>
    <w:rsid w:val="3D1E06B7"/>
    <w:rsid w:val="3D3443C0"/>
    <w:rsid w:val="3D4C7CAE"/>
    <w:rsid w:val="3D541C08"/>
    <w:rsid w:val="3D953431"/>
    <w:rsid w:val="3DC67CD6"/>
    <w:rsid w:val="3E21757C"/>
    <w:rsid w:val="3E574AE8"/>
    <w:rsid w:val="3E792D96"/>
    <w:rsid w:val="3E880F7A"/>
    <w:rsid w:val="3EAE63F1"/>
    <w:rsid w:val="3EDA0523"/>
    <w:rsid w:val="3F13218E"/>
    <w:rsid w:val="3F2309B1"/>
    <w:rsid w:val="3F4005E2"/>
    <w:rsid w:val="3F800018"/>
    <w:rsid w:val="3F8C037A"/>
    <w:rsid w:val="3FEE6A4A"/>
    <w:rsid w:val="401C3037"/>
    <w:rsid w:val="401E6E68"/>
    <w:rsid w:val="40306AF9"/>
    <w:rsid w:val="403F2173"/>
    <w:rsid w:val="407A6407"/>
    <w:rsid w:val="4097574F"/>
    <w:rsid w:val="409E5432"/>
    <w:rsid w:val="40F81FD0"/>
    <w:rsid w:val="416240D8"/>
    <w:rsid w:val="41726EFA"/>
    <w:rsid w:val="417B28D8"/>
    <w:rsid w:val="41AA087E"/>
    <w:rsid w:val="4200449D"/>
    <w:rsid w:val="4203550C"/>
    <w:rsid w:val="42152FFA"/>
    <w:rsid w:val="423A3BCC"/>
    <w:rsid w:val="424A0CE9"/>
    <w:rsid w:val="424D2D2B"/>
    <w:rsid w:val="424E57D2"/>
    <w:rsid w:val="4254438F"/>
    <w:rsid w:val="42B26C49"/>
    <w:rsid w:val="42D01562"/>
    <w:rsid w:val="42F07476"/>
    <w:rsid w:val="432D1ECB"/>
    <w:rsid w:val="433A6FE6"/>
    <w:rsid w:val="433C41A2"/>
    <w:rsid w:val="43480868"/>
    <w:rsid w:val="4350713C"/>
    <w:rsid w:val="43566DF3"/>
    <w:rsid w:val="436653E0"/>
    <w:rsid w:val="43A25CC7"/>
    <w:rsid w:val="43A27FDC"/>
    <w:rsid w:val="43A3089B"/>
    <w:rsid w:val="43C4431A"/>
    <w:rsid w:val="43E75C8A"/>
    <w:rsid w:val="43EC504E"/>
    <w:rsid w:val="445C4393"/>
    <w:rsid w:val="447D65EE"/>
    <w:rsid w:val="44B951CC"/>
    <w:rsid w:val="44CD14E0"/>
    <w:rsid w:val="44F20B0B"/>
    <w:rsid w:val="4529277F"/>
    <w:rsid w:val="452E5F4C"/>
    <w:rsid w:val="45612018"/>
    <w:rsid w:val="456D6432"/>
    <w:rsid w:val="458946E9"/>
    <w:rsid w:val="45A47C0E"/>
    <w:rsid w:val="45C5608D"/>
    <w:rsid w:val="46577FD6"/>
    <w:rsid w:val="46D955A7"/>
    <w:rsid w:val="47133957"/>
    <w:rsid w:val="477535AD"/>
    <w:rsid w:val="478F4ECF"/>
    <w:rsid w:val="47A07E0C"/>
    <w:rsid w:val="48284CFC"/>
    <w:rsid w:val="483D4A02"/>
    <w:rsid w:val="4870272E"/>
    <w:rsid w:val="48B0212D"/>
    <w:rsid w:val="48C41C05"/>
    <w:rsid w:val="48ED064E"/>
    <w:rsid w:val="490308B4"/>
    <w:rsid w:val="49106AC5"/>
    <w:rsid w:val="49656EA4"/>
    <w:rsid w:val="497B715D"/>
    <w:rsid w:val="497D4272"/>
    <w:rsid w:val="49DC7715"/>
    <w:rsid w:val="49E605E8"/>
    <w:rsid w:val="4A023139"/>
    <w:rsid w:val="4A296307"/>
    <w:rsid w:val="4A5512B7"/>
    <w:rsid w:val="4A7B576F"/>
    <w:rsid w:val="4A875AD1"/>
    <w:rsid w:val="4ADB5E1D"/>
    <w:rsid w:val="4ADD7D7B"/>
    <w:rsid w:val="4AE8047B"/>
    <w:rsid w:val="4AF561A9"/>
    <w:rsid w:val="4B025357"/>
    <w:rsid w:val="4B363221"/>
    <w:rsid w:val="4B4A4715"/>
    <w:rsid w:val="4C4A0649"/>
    <w:rsid w:val="4C5856C2"/>
    <w:rsid w:val="4C6C5BAD"/>
    <w:rsid w:val="4C7E5ECA"/>
    <w:rsid w:val="4C876AA5"/>
    <w:rsid w:val="4C975E09"/>
    <w:rsid w:val="4D0E00FB"/>
    <w:rsid w:val="4D176606"/>
    <w:rsid w:val="4D3B10B6"/>
    <w:rsid w:val="4D7F2C6A"/>
    <w:rsid w:val="4DC203EA"/>
    <w:rsid w:val="4DE137EE"/>
    <w:rsid w:val="4DEC4FB0"/>
    <w:rsid w:val="4E075D8A"/>
    <w:rsid w:val="4E6A2177"/>
    <w:rsid w:val="4EC00FAD"/>
    <w:rsid w:val="4EC362A4"/>
    <w:rsid w:val="4EC4061A"/>
    <w:rsid w:val="4EEE5367"/>
    <w:rsid w:val="4F2159BA"/>
    <w:rsid w:val="4F30799C"/>
    <w:rsid w:val="4F4F5413"/>
    <w:rsid w:val="4F551C2D"/>
    <w:rsid w:val="4F9843DC"/>
    <w:rsid w:val="4FC62A8C"/>
    <w:rsid w:val="4FD07D7A"/>
    <w:rsid w:val="4FE20F0D"/>
    <w:rsid w:val="4FE51552"/>
    <w:rsid w:val="50273554"/>
    <w:rsid w:val="502F2E92"/>
    <w:rsid w:val="50450149"/>
    <w:rsid w:val="50504C4B"/>
    <w:rsid w:val="50574928"/>
    <w:rsid w:val="508002F9"/>
    <w:rsid w:val="508149E0"/>
    <w:rsid w:val="509C6E7C"/>
    <w:rsid w:val="50C14CE6"/>
    <w:rsid w:val="511D3A53"/>
    <w:rsid w:val="51393950"/>
    <w:rsid w:val="515C3AE6"/>
    <w:rsid w:val="5162104E"/>
    <w:rsid w:val="517669DA"/>
    <w:rsid w:val="51833C8E"/>
    <w:rsid w:val="51D8657D"/>
    <w:rsid w:val="52CB49C9"/>
    <w:rsid w:val="52EB0B3E"/>
    <w:rsid w:val="530D30D6"/>
    <w:rsid w:val="532E42DE"/>
    <w:rsid w:val="533D189A"/>
    <w:rsid w:val="5382208B"/>
    <w:rsid w:val="538F4A3B"/>
    <w:rsid w:val="53A039CC"/>
    <w:rsid w:val="53A1505A"/>
    <w:rsid w:val="54063E08"/>
    <w:rsid w:val="543437E8"/>
    <w:rsid w:val="54A0447F"/>
    <w:rsid w:val="54F73313"/>
    <w:rsid w:val="54F80955"/>
    <w:rsid w:val="551C568A"/>
    <w:rsid w:val="5527038C"/>
    <w:rsid w:val="554D1DAB"/>
    <w:rsid w:val="555170A7"/>
    <w:rsid w:val="55722490"/>
    <w:rsid w:val="557C7880"/>
    <w:rsid w:val="5587536D"/>
    <w:rsid w:val="559B174B"/>
    <w:rsid w:val="55C3674B"/>
    <w:rsid w:val="55CE0CF4"/>
    <w:rsid w:val="55D7021E"/>
    <w:rsid w:val="56B22A9C"/>
    <w:rsid w:val="56D972B3"/>
    <w:rsid w:val="56EE708C"/>
    <w:rsid w:val="57B72A76"/>
    <w:rsid w:val="57C3426C"/>
    <w:rsid w:val="57CE1F93"/>
    <w:rsid w:val="58782C61"/>
    <w:rsid w:val="588743D1"/>
    <w:rsid w:val="5887701A"/>
    <w:rsid w:val="58A40499"/>
    <w:rsid w:val="58C15CDC"/>
    <w:rsid w:val="590C303D"/>
    <w:rsid w:val="59285338"/>
    <w:rsid w:val="59655C69"/>
    <w:rsid w:val="59680DAB"/>
    <w:rsid w:val="59C0439F"/>
    <w:rsid w:val="59D708D6"/>
    <w:rsid w:val="5A6D3C27"/>
    <w:rsid w:val="5A7C036B"/>
    <w:rsid w:val="5ABE2233"/>
    <w:rsid w:val="5ADC7262"/>
    <w:rsid w:val="5AE76118"/>
    <w:rsid w:val="5B2349D8"/>
    <w:rsid w:val="5B5804F1"/>
    <w:rsid w:val="5B5B331F"/>
    <w:rsid w:val="5B873E3C"/>
    <w:rsid w:val="5BCC110D"/>
    <w:rsid w:val="5BDF5D95"/>
    <w:rsid w:val="5BFE7528"/>
    <w:rsid w:val="5C201DAC"/>
    <w:rsid w:val="5C674AFD"/>
    <w:rsid w:val="5CBF3BF2"/>
    <w:rsid w:val="5CC63568"/>
    <w:rsid w:val="5CE81C7E"/>
    <w:rsid w:val="5CED26C9"/>
    <w:rsid w:val="5CF967B8"/>
    <w:rsid w:val="5D5F4EE6"/>
    <w:rsid w:val="5D6D4FFA"/>
    <w:rsid w:val="5D8E17CE"/>
    <w:rsid w:val="5DD4202E"/>
    <w:rsid w:val="5DDA1805"/>
    <w:rsid w:val="5E1E5EAC"/>
    <w:rsid w:val="5E2467F1"/>
    <w:rsid w:val="5E4044BD"/>
    <w:rsid w:val="5E6D1C61"/>
    <w:rsid w:val="5E932A62"/>
    <w:rsid w:val="5EA06D09"/>
    <w:rsid w:val="5F1A2B43"/>
    <w:rsid w:val="5F3D09FC"/>
    <w:rsid w:val="5F4A4001"/>
    <w:rsid w:val="5F840ACA"/>
    <w:rsid w:val="5F851003"/>
    <w:rsid w:val="5FB837BB"/>
    <w:rsid w:val="5FCD603D"/>
    <w:rsid w:val="5FF62147"/>
    <w:rsid w:val="60281CBF"/>
    <w:rsid w:val="605A719E"/>
    <w:rsid w:val="605E0459"/>
    <w:rsid w:val="609B1E7E"/>
    <w:rsid w:val="60C5265B"/>
    <w:rsid w:val="60CC405A"/>
    <w:rsid w:val="60DD4958"/>
    <w:rsid w:val="610C2628"/>
    <w:rsid w:val="611A7247"/>
    <w:rsid w:val="61926BC8"/>
    <w:rsid w:val="61B74A96"/>
    <w:rsid w:val="61D97449"/>
    <w:rsid w:val="61E215D8"/>
    <w:rsid w:val="621B3775"/>
    <w:rsid w:val="62364782"/>
    <w:rsid w:val="62E13D0C"/>
    <w:rsid w:val="62E278F0"/>
    <w:rsid w:val="62E914A7"/>
    <w:rsid w:val="62FA68A5"/>
    <w:rsid w:val="63036892"/>
    <w:rsid w:val="63362801"/>
    <w:rsid w:val="636E6F71"/>
    <w:rsid w:val="63904EAC"/>
    <w:rsid w:val="6394356A"/>
    <w:rsid w:val="63B26A97"/>
    <w:rsid w:val="63C61B2C"/>
    <w:rsid w:val="63D40BE9"/>
    <w:rsid w:val="63E96091"/>
    <w:rsid w:val="640B1C4C"/>
    <w:rsid w:val="64102431"/>
    <w:rsid w:val="64284951"/>
    <w:rsid w:val="642A77A1"/>
    <w:rsid w:val="649D2845"/>
    <w:rsid w:val="64A5243A"/>
    <w:rsid w:val="64C0186F"/>
    <w:rsid w:val="64F531DE"/>
    <w:rsid w:val="65274432"/>
    <w:rsid w:val="65373578"/>
    <w:rsid w:val="659066AE"/>
    <w:rsid w:val="65EB3C50"/>
    <w:rsid w:val="65FB4E0E"/>
    <w:rsid w:val="66594018"/>
    <w:rsid w:val="66663F75"/>
    <w:rsid w:val="66847683"/>
    <w:rsid w:val="668A7966"/>
    <w:rsid w:val="668B4284"/>
    <w:rsid w:val="671F124A"/>
    <w:rsid w:val="67281273"/>
    <w:rsid w:val="673A1865"/>
    <w:rsid w:val="67456E54"/>
    <w:rsid w:val="677A33C6"/>
    <w:rsid w:val="678135EA"/>
    <w:rsid w:val="67852F40"/>
    <w:rsid w:val="678B1D01"/>
    <w:rsid w:val="67BB4275"/>
    <w:rsid w:val="67CF5D1C"/>
    <w:rsid w:val="67E82611"/>
    <w:rsid w:val="67FA395F"/>
    <w:rsid w:val="68036B8A"/>
    <w:rsid w:val="68183B18"/>
    <w:rsid w:val="681F6961"/>
    <w:rsid w:val="682718E0"/>
    <w:rsid w:val="685A43CD"/>
    <w:rsid w:val="685C7628"/>
    <w:rsid w:val="68607C00"/>
    <w:rsid w:val="68610A2F"/>
    <w:rsid w:val="686E1C26"/>
    <w:rsid w:val="687E29EB"/>
    <w:rsid w:val="68805514"/>
    <w:rsid w:val="68EA20B1"/>
    <w:rsid w:val="68EE2F9B"/>
    <w:rsid w:val="68F85CF4"/>
    <w:rsid w:val="69316E2F"/>
    <w:rsid w:val="694C6018"/>
    <w:rsid w:val="694E2071"/>
    <w:rsid w:val="69766163"/>
    <w:rsid w:val="697A3B33"/>
    <w:rsid w:val="699F5816"/>
    <w:rsid w:val="69CD06BF"/>
    <w:rsid w:val="69D44760"/>
    <w:rsid w:val="69DA0D01"/>
    <w:rsid w:val="6A451343"/>
    <w:rsid w:val="6A520EC7"/>
    <w:rsid w:val="6AF87E20"/>
    <w:rsid w:val="6B322639"/>
    <w:rsid w:val="6B3A5D56"/>
    <w:rsid w:val="6B6B0ED1"/>
    <w:rsid w:val="6BB73A8C"/>
    <w:rsid w:val="6BDF33EA"/>
    <w:rsid w:val="6C0E42DF"/>
    <w:rsid w:val="6C636C38"/>
    <w:rsid w:val="6CBE7819"/>
    <w:rsid w:val="6CE42F5D"/>
    <w:rsid w:val="6D343602"/>
    <w:rsid w:val="6D8E7633"/>
    <w:rsid w:val="6DB34098"/>
    <w:rsid w:val="6DB545B6"/>
    <w:rsid w:val="6DB75C4F"/>
    <w:rsid w:val="6DBE6628"/>
    <w:rsid w:val="6DE02FB4"/>
    <w:rsid w:val="6DE36C13"/>
    <w:rsid w:val="6E514CED"/>
    <w:rsid w:val="6E63318D"/>
    <w:rsid w:val="6E770106"/>
    <w:rsid w:val="6E7A2B45"/>
    <w:rsid w:val="6EAD6E0A"/>
    <w:rsid w:val="6EB563D5"/>
    <w:rsid w:val="6EBC5BAA"/>
    <w:rsid w:val="6ED92677"/>
    <w:rsid w:val="6F225983"/>
    <w:rsid w:val="6F6049BF"/>
    <w:rsid w:val="6F825736"/>
    <w:rsid w:val="6FB2689C"/>
    <w:rsid w:val="6FFC5590"/>
    <w:rsid w:val="702E43D6"/>
    <w:rsid w:val="70303B38"/>
    <w:rsid w:val="706D1DD0"/>
    <w:rsid w:val="70847D52"/>
    <w:rsid w:val="70856B87"/>
    <w:rsid w:val="70D527EE"/>
    <w:rsid w:val="70FA6BEE"/>
    <w:rsid w:val="712A2C8C"/>
    <w:rsid w:val="715B5300"/>
    <w:rsid w:val="71660104"/>
    <w:rsid w:val="718776AE"/>
    <w:rsid w:val="71D27F8A"/>
    <w:rsid w:val="72327842"/>
    <w:rsid w:val="72553024"/>
    <w:rsid w:val="725727E4"/>
    <w:rsid w:val="72C74B35"/>
    <w:rsid w:val="72E44770"/>
    <w:rsid w:val="72E50745"/>
    <w:rsid w:val="72E55889"/>
    <w:rsid w:val="730270D4"/>
    <w:rsid w:val="73122968"/>
    <w:rsid w:val="731F5D5E"/>
    <w:rsid w:val="732B2FC5"/>
    <w:rsid w:val="735829FC"/>
    <w:rsid w:val="735E7C1B"/>
    <w:rsid w:val="73B81557"/>
    <w:rsid w:val="73C51AD5"/>
    <w:rsid w:val="73D00B5A"/>
    <w:rsid w:val="73FD5A3C"/>
    <w:rsid w:val="741E793C"/>
    <w:rsid w:val="74376DF4"/>
    <w:rsid w:val="74424B0C"/>
    <w:rsid w:val="745E3944"/>
    <w:rsid w:val="74C55A4A"/>
    <w:rsid w:val="74D11B7D"/>
    <w:rsid w:val="756D2827"/>
    <w:rsid w:val="757A60AE"/>
    <w:rsid w:val="7599627F"/>
    <w:rsid w:val="76021411"/>
    <w:rsid w:val="76231B5C"/>
    <w:rsid w:val="76323805"/>
    <w:rsid w:val="7635099D"/>
    <w:rsid w:val="76A30558"/>
    <w:rsid w:val="77050F7D"/>
    <w:rsid w:val="77055B4F"/>
    <w:rsid w:val="7746449A"/>
    <w:rsid w:val="775D7BB9"/>
    <w:rsid w:val="77762421"/>
    <w:rsid w:val="77823BB3"/>
    <w:rsid w:val="779F437F"/>
    <w:rsid w:val="77A064A5"/>
    <w:rsid w:val="77AD79C3"/>
    <w:rsid w:val="77B56B1F"/>
    <w:rsid w:val="780F09F4"/>
    <w:rsid w:val="7829721E"/>
    <w:rsid w:val="783860F2"/>
    <w:rsid w:val="78A90480"/>
    <w:rsid w:val="78CE2999"/>
    <w:rsid w:val="791A7DB6"/>
    <w:rsid w:val="792569B9"/>
    <w:rsid w:val="794C0232"/>
    <w:rsid w:val="796A1392"/>
    <w:rsid w:val="79DA478A"/>
    <w:rsid w:val="79F35C03"/>
    <w:rsid w:val="7A3400A3"/>
    <w:rsid w:val="7A364017"/>
    <w:rsid w:val="7A4B41D1"/>
    <w:rsid w:val="7A4D7E8E"/>
    <w:rsid w:val="7A8265E1"/>
    <w:rsid w:val="7B252AA4"/>
    <w:rsid w:val="7B4208FB"/>
    <w:rsid w:val="7B686D42"/>
    <w:rsid w:val="7B707D38"/>
    <w:rsid w:val="7B776CA4"/>
    <w:rsid w:val="7B841746"/>
    <w:rsid w:val="7BF855B9"/>
    <w:rsid w:val="7C6C5AC7"/>
    <w:rsid w:val="7C7612F7"/>
    <w:rsid w:val="7CC6544B"/>
    <w:rsid w:val="7D0239FF"/>
    <w:rsid w:val="7D0378F9"/>
    <w:rsid w:val="7D10155B"/>
    <w:rsid w:val="7D5E40CD"/>
    <w:rsid w:val="7DC6379E"/>
    <w:rsid w:val="7DCB0647"/>
    <w:rsid w:val="7DCD56F2"/>
    <w:rsid w:val="7E081B03"/>
    <w:rsid w:val="7E44117F"/>
    <w:rsid w:val="7EC978FD"/>
    <w:rsid w:val="7EF46ED2"/>
    <w:rsid w:val="7F001CE7"/>
    <w:rsid w:val="7FA82463"/>
    <w:rsid w:val="7FC138E4"/>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qFormat="1"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qFormat="1"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99" w:semiHidden="0" w:name="Body Text First Indent" w:locked="1"/>
    <w:lsdException w:qFormat="1" w:unhideWhenUsed="0" w:uiPriority="0" w:semiHidden="0" w:name="Body Text First Indent 2" w:locked="1"/>
    <w:lsdException w:qFormat="1"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keepNext/>
      <w:keepLines/>
      <w:tabs>
        <w:tab w:val="left" w:pos="0"/>
      </w:tabs>
      <w:spacing w:line="360" w:lineRule="auto"/>
      <w:jc w:val="left"/>
      <w:outlineLvl w:val="1"/>
    </w:pPr>
    <w:rPr>
      <w:b/>
      <w:bCs/>
      <w:sz w:val="24"/>
      <w:szCs w:val="28"/>
    </w:rPr>
  </w:style>
  <w:style w:type="paragraph" w:styleId="5">
    <w:name w:val="heading 3"/>
    <w:basedOn w:val="1"/>
    <w:next w:val="1"/>
    <w:link w:val="34"/>
    <w:qFormat/>
    <w:locked/>
    <w:uiPriority w:val="0"/>
    <w:pPr>
      <w:keepNext/>
      <w:keepLines/>
      <w:spacing w:before="260" w:after="260" w:line="416" w:lineRule="auto"/>
      <w:outlineLvl w:val="2"/>
    </w:pPr>
    <w:rPr>
      <w:rFonts w:cs="Arial Unicode MS"/>
      <w:b/>
      <w:bCs/>
      <w:sz w:val="32"/>
      <w:szCs w:val="32"/>
      <w:lang w:bidi="bo-CN"/>
    </w:rPr>
  </w:style>
  <w:style w:type="paragraph" w:styleId="6">
    <w:name w:val="heading 4"/>
    <w:basedOn w:val="1"/>
    <w:next w:val="1"/>
    <w:link w:val="35"/>
    <w:qFormat/>
    <w:locked/>
    <w:uiPriority w:val="0"/>
    <w:pPr>
      <w:keepNext/>
      <w:keepLines/>
      <w:spacing w:before="280" w:after="290" w:line="376" w:lineRule="auto"/>
      <w:outlineLvl w:val="3"/>
    </w:pPr>
    <w:rPr>
      <w:rFonts w:ascii="Cambria" w:hAnsi="Cambria" w:cs="Arial Unicode MS"/>
      <w:b/>
      <w:bCs/>
      <w:sz w:val="28"/>
      <w:szCs w:val="28"/>
      <w:lang w:bidi="bo-CN"/>
    </w:rPr>
  </w:style>
  <w:style w:type="character" w:default="1" w:styleId="28">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2">
    <w:name w:val="Body Text"/>
    <w:basedOn w:val="1"/>
    <w:next w:val="1"/>
    <w:link w:val="37"/>
    <w:qFormat/>
    <w:uiPriority w:val="0"/>
    <w:pPr>
      <w:widowControl/>
      <w:snapToGrid w:val="0"/>
      <w:spacing w:before="60" w:after="160" w:line="259" w:lineRule="auto"/>
      <w:ind w:right="113"/>
    </w:pPr>
    <w:rPr>
      <w:rFonts w:cs="Arial Unicode MS"/>
      <w:kern w:val="0"/>
      <w:sz w:val="18"/>
      <w:szCs w:val="20"/>
      <w:lang w:bidi="bo-CN"/>
    </w:rPr>
  </w:style>
  <w:style w:type="paragraph" w:styleId="7">
    <w:name w:val="Note Heading"/>
    <w:basedOn w:val="1"/>
    <w:next w:val="1"/>
    <w:qFormat/>
    <w:locked/>
    <w:uiPriority w:val="0"/>
    <w:pPr>
      <w:spacing w:line="240" w:lineRule="auto"/>
      <w:jc w:val="center"/>
    </w:pPr>
    <w:rPr>
      <w:sz w:val="21"/>
    </w:rPr>
  </w:style>
  <w:style w:type="paragraph" w:styleId="8">
    <w:name w:val="index 8"/>
    <w:basedOn w:val="1"/>
    <w:next w:val="1"/>
    <w:qFormat/>
    <w:locked/>
    <w:uiPriority w:val="0"/>
    <w:pPr>
      <w:ind w:left="1400" w:leftChars="1400"/>
    </w:pPr>
  </w:style>
  <w:style w:type="paragraph" w:styleId="9">
    <w:name w:val="Normal Indent"/>
    <w:basedOn w:val="1"/>
    <w:next w:val="1"/>
    <w:qFormat/>
    <w:locked/>
    <w:uiPriority w:val="0"/>
    <w:pPr>
      <w:ind w:firstLine="420" w:firstLineChars="200"/>
    </w:pPr>
  </w:style>
  <w:style w:type="paragraph" w:styleId="10">
    <w:name w:val="caption"/>
    <w:basedOn w:val="1"/>
    <w:next w:val="1"/>
    <w:qFormat/>
    <w:locked/>
    <w:uiPriority w:val="0"/>
    <w:rPr>
      <w:rFonts w:ascii="Cambria" w:hAnsi="Cambria" w:eastAsia="黑体"/>
      <w:sz w:val="20"/>
      <w:szCs w:val="20"/>
    </w:rPr>
  </w:style>
  <w:style w:type="paragraph" w:styleId="11">
    <w:name w:val="annotation text"/>
    <w:basedOn w:val="1"/>
    <w:link w:val="36"/>
    <w:semiHidden/>
    <w:qFormat/>
    <w:uiPriority w:val="0"/>
    <w:pPr>
      <w:jc w:val="left"/>
    </w:pPr>
    <w:rPr>
      <w:rFonts w:cs="Arial Unicode MS"/>
      <w:kern w:val="0"/>
      <w:sz w:val="24"/>
      <w:szCs w:val="20"/>
      <w:lang w:bidi="bo-CN"/>
    </w:rPr>
  </w:style>
  <w:style w:type="paragraph" w:styleId="12">
    <w:name w:val="Body Text Indent"/>
    <w:basedOn w:val="1"/>
    <w:link w:val="38"/>
    <w:qFormat/>
    <w:uiPriority w:val="0"/>
    <w:pPr>
      <w:spacing w:after="120"/>
      <w:ind w:left="420" w:leftChars="200"/>
    </w:pPr>
    <w:rPr>
      <w:rFonts w:cs="Arial Unicode MS"/>
      <w:kern w:val="0"/>
      <w:sz w:val="24"/>
      <w:szCs w:val="20"/>
      <w:lang w:bidi="bo-CN"/>
    </w:rPr>
  </w:style>
  <w:style w:type="paragraph" w:styleId="13">
    <w:name w:val="Plain Text"/>
    <w:basedOn w:val="1"/>
    <w:next w:val="14"/>
    <w:link w:val="39"/>
    <w:qFormat/>
    <w:locked/>
    <w:uiPriority w:val="0"/>
    <w:rPr>
      <w:rFonts w:ascii="宋体" w:hAnsi="Courier New" w:cs="Arial Unicode MS"/>
      <w:szCs w:val="20"/>
      <w:lang w:bidi="bo-CN"/>
    </w:rPr>
  </w:style>
  <w:style w:type="paragraph" w:styleId="14">
    <w:name w:val="List Number 5"/>
    <w:basedOn w:val="1"/>
    <w:qFormat/>
    <w:locked/>
    <w:uiPriority w:val="0"/>
    <w:pPr>
      <w:numPr>
        <w:ilvl w:val="0"/>
        <w:numId w:val="1"/>
      </w:numPr>
    </w:pPr>
  </w:style>
  <w:style w:type="paragraph" w:styleId="15">
    <w:name w:val="List Bullet 5"/>
    <w:basedOn w:val="1"/>
    <w:qFormat/>
    <w:locked/>
    <w:uiPriority w:val="0"/>
    <w:pPr>
      <w:numPr>
        <w:ilvl w:val="0"/>
        <w:numId w:val="2"/>
      </w:numPr>
    </w:pPr>
  </w:style>
  <w:style w:type="paragraph" w:styleId="16">
    <w:name w:val="Date"/>
    <w:basedOn w:val="1"/>
    <w:next w:val="1"/>
    <w:link w:val="40"/>
    <w:qFormat/>
    <w:uiPriority w:val="0"/>
    <w:pPr>
      <w:ind w:left="100" w:leftChars="2500"/>
    </w:pPr>
    <w:rPr>
      <w:rFonts w:cs="Arial Unicode MS"/>
      <w:kern w:val="0"/>
      <w:sz w:val="24"/>
      <w:szCs w:val="20"/>
      <w:lang w:bidi="bo-CN"/>
    </w:rPr>
  </w:style>
  <w:style w:type="paragraph" w:styleId="17">
    <w:name w:val="Body Text Indent 2"/>
    <w:basedOn w:val="1"/>
    <w:link w:val="41"/>
    <w:qFormat/>
    <w:locked/>
    <w:uiPriority w:val="0"/>
    <w:pPr>
      <w:spacing w:after="120" w:line="480" w:lineRule="auto"/>
      <w:ind w:left="420" w:leftChars="200"/>
    </w:pPr>
    <w:rPr>
      <w:rFonts w:cs="Arial Unicode MS"/>
      <w:lang w:bidi="bo-CN"/>
    </w:rPr>
  </w:style>
  <w:style w:type="paragraph" w:styleId="18">
    <w:name w:val="Balloon Text"/>
    <w:basedOn w:val="1"/>
    <w:link w:val="42"/>
    <w:semiHidden/>
    <w:qFormat/>
    <w:uiPriority w:val="0"/>
    <w:rPr>
      <w:rFonts w:cs="Arial Unicode MS"/>
      <w:kern w:val="0"/>
      <w:sz w:val="18"/>
      <w:szCs w:val="20"/>
      <w:lang w:bidi="bo-CN"/>
    </w:rPr>
  </w:style>
  <w:style w:type="paragraph" w:styleId="19">
    <w:name w:val="footer"/>
    <w:basedOn w:val="1"/>
    <w:link w:val="43"/>
    <w:qFormat/>
    <w:uiPriority w:val="99"/>
    <w:pPr>
      <w:tabs>
        <w:tab w:val="center" w:pos="4153"/>
        <w:tab w:val="right" w:pos="8306"/>
      </w:tabs>
      <w:snapToGrid w:val="0"/>
      <w:jc w:val="left"/>
    </w:pPr>
    <w:rPr>
      <w:rFonts w:cs="Arial Unicode MS"/>
      <w:kern w:val="0"/>
      <w:sz w:val="18"/>
      <w:szCs w:val="20"/>
      <w:lang w:bidi="bo-CN"/>
    </w:rPr>
  </w:style>
  <w:style w:type="paragraph" w:styleId="20">
    <w:name w:val="header"/>
    <w:basedOn w:val="1"/>
    <w:next w:val="1"/>
    <w:link w:val="44"/>
    <w:qFormat/>
    <w:uiPriority w:val="0"/>
    <w:pPr>
      <w:pBdr>
        <w:bottom w:val="single" w:color="auto" w:sz="6" w:space="1"/>
      </w:pBdr>
      <w:tabs>
        <w:tab w:val="center" w:pos="4153"/>
        <w:tab w:val="right" w:pos="8306"/>
      </w:tabs>
      <w:snapToGrid w:val="0"/>
      <w:jc w:val="center"/>
    </w:pPr>
    <w:rPr>
      <w:rFonts w:cs="Arial Unicode MS"/>
      <w:kern w:val="0"/>
      <w:sz w:val="18"/>
      <w:szCs w:val="20"/>
      <w:lang w:bidi="bo-CN"/>
    </w:rPr>
  </w:style>
  <w:style w:type="paragraph" w:styleId="21">
    <w:name w:val="List"/>
    <w:basedOn w:val="1"/>
    <w:qFormat/>
    <w:locked/>
    <w:uiPriority w:val="0"/>
    <w:pPr>
      <w:ind w:left="200" w:hanging="200" w:hangingChars="200"/>
    </w:pPr>
  </w:style>
  <w:style w:type="paragraph" w:styleId="22">
    <w:name w:val="Normal (Web)"/>
    <w:basedOn w:val="1"/>
    <w:link w:val="45"/>
    <w:qFormat/>
    <w:uiPriority w:val="0"/>
    <w:pPr>
      <w:widowControl/>
      <w:spacing w:before="100" w:beforeAutospacing="1" w:after="100" w:afterAutospacing="1"/>
      <w:jc w:val="left"/>
    </w:pPr>
    <w:rPr>
      <w:rFonts w:ascii="宋体" w:hAnsi="宋体" w:cs="Arial Unicode MS"/>
      <w:kern w:val="0"/>
      <w:sz w:val="24"/>
      <w:szCs w:val="20"/>
      <w:lang w:bidi="bo-CN"/>
    </w:rPr>
  </w:style>
  <w:style w:type="paragraph" w:styleId="23">
    <w:name w:val="annotation subject"/>
    <w:basedOn w:val="11"/>
    <w:next w:val="11"/>
    <w:link w:val="46"/>
    <w:semiHidden/>
    <w:qFormat/>
    <w:uiPriority w:val="0"/>
    <w:rPr>
      <w:rFonts w:cs="Arial Unicode MS"/>
      <w:b/>
      <w:kern w:val="2"/>
      <w:lang w:bidi="bo-CN"/>
    </w:rPr>
  </w:style>
  <w:style w:type="paragraph" w:styleId="24">
    <w:name w:val="Body Text First Indent"/>
    <w:basedOn w:val="2"/>
    <w:next w:val="1"/>
    <w:qFormat/>
    <w:locked/>
    <w:uiPriority w:val="99"/>
    <w:pPr>
      <w:ind w:firstLine="420" w:firstLineChars="100"/>
    </w:pPr>
    <w:rPr>
      <w:rFonts w:ascii="Times New Roman" w:hAnsi="Times New Roman"/>
      <w:sz w:val="21"/>
    </w:rPr>
  </w:style>
  <w:style w:type="paragraph" w:styleId="25">
    <w:name w:val="Body Text First Indent 2"/>
    <w:basedOn w:val="12"/>
    <w:next w:val="1"/>
    <w:qFormat/>
    <w:locked/>
    <w:uiPriority w:val="0"/>
    <w:pPr>
      <w:spacing w:after="120" w:afterLines="0" w:line="240" w:lineRule="auto"/>
      <w:ind w:left="420" w:leftChars="200" w:firstLine="420" w:firstLineChars="200"/>
      <w:jc w:val="both"/>
    </w:pPr>
    <w:rPr>
      <w:sz w:val="21"/>
      <w:szCs w:val="24"/>
    </w:rPr>
  </w:style>
  <w:style w:type="table" w:styleId="27">
    <w:name w:val="Table Grid"/>
    <w:basedOn w:val="26"/>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locked/>
    <w:uiPriority w:val="0"/>
    <w:rPr>
      <w:b/>
    </w:rPr>
  </w:style>
  <w:style w:type="character" w:styleId="30">
    <w:name w:val="page number"/>
    <w:qFormat/>
    <w:locked/>
    <w:uiPriority w:val="0"/>
  </w:style>
  <w:style w:type="character" w:styleId="31">
    <w:name w:val="Emphasis"/>
    <w:basedOn w:val="28"/>
    <w:qFormat/>
    <w:locked/>
    <w:uiPriority w:val="0"/>
    <w:rPr>
      <w:i/>
    </w:rPr>
  </w:style>
  <w:style w:type="character" w:styleId="32">
    <w:name w:val="Hyperlink"/>
    <w:basedOn w:val="28"/>
    <w:qFormat/>
    <w:locked/>
    <w:uiPriority w:val="0"/>
    <w:rPr>
      <w:color w:val="0000FF"/>
      <w:u w:val="single"/>
    </w:rPr>
  </w:style>
  <w:style w:type="character" w:styleId="33">
    <w:name w:val="annotation reference"/>
    <w:semiHidden/>
    <w:qFormat/>
    <w:uiPriority w:val="0"/>
    <w:rPr>
      <w:sz w:val="21"/>
    </w:rPr>
  </w:style>
  <w:style w:type="character" w:customStyle="1" w:styleId="34">
    <w:name w:val="标题 3 Char"/>
    <w:link w:val="5"/>
    <w:qFormat/>
    <w:uiPriority w:val="0"/>
    <w:rPr>
      <w:b/>
      <w:bCs/>
      <w:kern w:val="2"/>
      <w:sz w:val="32"/>
      <w:szCs w:val="32"/>
    </w:rPr>
  </w:style>
  <w:style w:type="character" w:customStyle="1" w:styleId="35">
    <w:name w:val="标题 4 Char"/>
    <w:link w:val="6"/>
    <w:qFormat/>
    <w:uiPriority w:val="0"/>
    <w:rPr>
      <w:rFonts w:ascii="Cambria" w:hAnsi="Cambria" w:eastAsia="宋体" w:cs="Times New Roman"/>
      <w:b/>
      <w:bCs/>
      <w:kern w:val="2"/>
      <w:sz w:val="28"/>
      <w:szCs w:val="28"/>
    </w:rPr>
  </w:style>
  <w:style w:type="character" w:customStyle="1" w:styleId="36">
    <w:name w:val="批注文字 Char"/>
    <w:link w:val="11"/>
    <w:qFormat/>
    <w:locked/>
    <w:uiPriority w:val="0"/>
    <w:rPr>
      <w:rFonts w:ascii="Times New Roman" w:hAnsi="Times New Roman" w:eastAsia="宋体"/>
      <w:sz w:val="24"/>
    </w:rPr>
  </w:style>
  <w:style w:type="character" w:customStyle="1" w:styleId="37">
    <w:name w:val="正文文本 Char"/>
    <w:link w:val="2"/>
    <w:qFormat/>
    <w:locked/>
    <w:uiPriority w:val="0"/>
    <w:rPr>
      <w:sz w:val="18"/>
    </w:rPr>
  </w:style>
  <w:style w:type="character" w:customStyle="1" w:styleId="38">
    <w:name w:val="正文文本缩进 Char"/>
    <w:link w:val="12"/>
    <w:semiHidden/>
    <w:qFormat/>
    <w:locked/>
    <w:uiPriority w:val="0"/>
    <w:rPr>
      <w:rFonts w:ascii="Times New Roman" w:hAnsi="Times New Roman" w:eastAsia="宋体"/>
      <w:sz w:val="24"/>
    </w:rPr>
  </w:style>
  <w:style w:type="character" w:customStyle="1" w:styleId="39">
    <w:name w:val="纯文本 Char"/>
    <w:link w:val="13"/>
    <w:qFormat/>
    <w:uiPriority w:val="0"/>
    <w:rPr>
      <w:rFonts w:ascii="宋体" w:hAnsi="Courier New"/>
      <w:kern w:val="2"/>
      <w:sz w:val="21"/>
    </w:rPr>
  </w:style>
  <w:style w:type="character" w:customStyle="1" w:styleId="40">
    <w:name w:val="日期 Char"/>
    <w:link w:val="16"/>
    <w:qFormat/>
    <w:locked/>
    <w:uiPriority w:val="0"/>
    <w:rPr>
      <w:rFonts w:ascii="Times New Roman" w:hAnsi="Times New Roman" w:eastAsia="宋体"/>
      <w:sz w:val="24"/>
    </w:rPr>
  </w:style>
  <w:style w:type="character" w:customStyle="1" w:styleId="41">
    <w:name w:val="正文文本缩进 2 Char"/>
    <w:link w:val="17"/>
    <w:qFormat/>
    <w:uiPriority w:val="0"/>
    <w:rPr>
      <w:kern w:val="2"/>
      <w:sz w:val="21"/>
      <w:szCs w:val="24"/>
    </w:rPr>
  </w:style>
  <w:style w:type="character" w:customStyle="1" w:styleId="42">
    <w:name w:val="批注框文本 Char"/>
    <w:link w:val="18"/>
    <w:semiHidden/>
    <w:qFormat/>
    <w:locked/>
    <w:uiPriority w:val="0"/>
    <w:rPr>
      <w:rFonts w:ascii="Times New Roman" w:hAnsi="Times New Roman" w:eastAsia="宋体"/>
      <w:sz w:val="18"/>
    </w:rPr>
  </w:style>
  <w:style w:type="character" w:customStyle="1" w:styleId="43">
    <w:name w:val="页脚 Char"/>
    <w:link w:val="19"/>
    <w:qFormat/>
    <w:locked/>
    <w:uiPriority w:val="99"/>
    <w:rPr>
      <w:sz w:val="18"/>
    </w:rPr>
  </w:style>
  <w:style w:type="character" w:customStyle="1" w:styleId="44">
    <w:name w:val="页眉 Char"/>
    <w:link w:val="20"/>
    <w:qFormat/>
    <w:locked/>
    <w:uiPriority w:val="0"/>
    <w:rPr>
      <w:sz w:val="18"/>
    </w:rPr>
  </w:style>
  <w:style w:type="character" w:customStyle="1" w:styleId="45">
    <w:name w:val="普通(网站) Char"/>
    <w:link w:val="22"/>
    <w:qFormat/>
    <w:locked/>
    <w:uiPriority w:val="0"/>
    <w:rPr>
      <w:rFonts w:ascii="宋体" w:hAnsi="宋体" w:eastAsia="宋体"/>
      <w:sz w:val="24"/>
    </w:rPr>
  </w:style>
  <w:style w:type="character" w:customStyle="1" w:styleId="46">
    <w:name w:val="批注主题 Char"/>
    <w:link w:val="23"/>
    <w:semiHidden/>
    <w:qFormat/>
    <w:locked/>
    <w:uiPriority w:val="0"/>
    <w:rPr>
      <w:rFonts w:ascii="Times New Roman" w:hAnsi="Times New Roman" w:eastAsia="宋体"/>
      <w:b/>
      <w:kern w:val="2"/>
      <w:sz w:val="24"/>
    </w:rPr>
  </w:style>
  <w:style w:type="paragraph" w:customStyle="1" w:styleId="4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8">
    <w:name w:val="表格"/>
    <w:basedOn w:val="1"/>
    <w:next w:val="1"/>
    <w:link w:val="49"/>
    <w:qFormat/>
    <w:uiPriority w:val="0"/>
    <w:pPr>
      <w:adjustRightInd w:val="0"/>
      <w:snapToGrid w:val="0"/>
      <w:spacing w:beforeLines="10" w:afterLines="10" w:line="259" w:lineRule="auto"/>
      <w:jc w:val="center"/>
    </w:pPr>
    <w:rPr>
      <w:rFonts w:ascii="宋体" w:cs="Arial Unicode MS"/>
      <w:kern w:val="0"/>
      <w:szCs w:val="20"/>
      <w:lang w:bidi="bo-CN"/>
    </w:rPr>
  </w:style>
  <w:style w:type="character" w:customStyle="1" w:styleId="49">
    <w:name w:val="表格 Char"/>
    <w:link w:val="48"/>
    <w:qFormat/>
    <w:locked/>
    <w:uiPriority w:val="0"/>
    <w:rPr>
      <w:rFonts w:ascii="宋体"/>
      <w:sz w:val="21"/>
    </w:rPr>
  </w:style>
  <w:style w:type="paragraph" w:customStyle="1" w:styleId="50">
    <w:name w:val="正文样式"/>
    <w:basedOn w:val="1"/>
    <w:qFormat/>
    <w:uiPriority w:val="0"/>
    <w:pPr>
      <w:tabs>
        <w:tab w:val="left" w:pos="1440"/>
        <w:tab w:val="left" w:pos="4368"/>
      </w:tabs>
      <w:ind w:firstLine="493"/>
    </w:pPr>
    <w:rPr>
      <w:color w:val="000000"/>
    </w:rPr>
  </w:style>
  <w:style w:type="character" w:customStyle="1" w:styleId="51">
    <w:name w:val="16"/>
    <w:qFormat/>
    <w:uiPriority w:val="0"/>
    <w:rPr>
      <w:rFonts w:hint="default" w:ascii="Times New Roman" w:hAnsi="Times New Roman" w:cs="Times New Roman"/>
      <w:i/>
      <w:iCs/>
    </w:rPr>
  </w:style>
  <w:style w:type="character" w:customStyle="1" w:styleId="52">
    <w:name w:val="正文文本 字符1"/>
    <w:semiHidden/>
    <w:qFormat/>
    <w:uiPriority w:val="0"/>
    <w:rPr>
      <w:rFonts w:ascii="Times New Roman" w:hAnsi="Times New Roman" w:eastAsia="宋体"/>
      <w:sz w:val="24"/>
    </w:rPr>
  </w:style>
  <w:style w:type="character" w:customStyle="1" w:styleId="53">
    <w:name w:val="使用 Char"/>
    <w:link w:val="54"/>
    <w:qFormat/>
    <w:uiPriority w:val="0"/>
    <w:rPr>
      <w:rFonts w:eastAsia="仿宋_GB2312"/>
      <w:snapToGrid/>
      <w:color w:val="000000"/>
      <w:sz w:val="28"/>
      <w:szCs w:val="28"/>
    </w:rPr>
  </w:style>
  <w:style w:type="paragraph" w:customStyle="1" w:styleId="54">
    <w:name w:val="使用"/>
    <w:basedOn w:val="17"/>
    <w:link w:val="53"/>
    <w:qFormat/>
    <w:uiPriority w:val="0"/>
    <w:pPr>
      <w:adjustRightInd w:val="0"/>
      <w:spacing w:after="0" w:line="520" w:lineRule="exact"/>
      <w:ind w:left="0" w:leftChars="0" w:firstLine="560" w:firstLineChars="200"/>
      <w:textAlignment w:val="center"/>
    </w:pPr>
    <w:rPr>
      <w:rFonts w:eastAsia="仿宋_GB2312" w:cs="Arial Unicode MS"/>
      <w:color w:val="000000"/>
      <w:kern w:val="0"/>
      <w:sz w:val="28"/>
      <w:szCs w:val="28"/>
      <w:lang w:bidi="bo-CN"/>
    </w:rPr>
  </w:style>
  <w:style w:type="character" w:customStyle="1" w:styleId="55">
    <w:name w:val="font41"/>
    <w:qFormat/>
    <w:uiPriority w:val="0"/>
    <w:rPr>
      <w:rFonts w:hint="eastAsia" w:ascii="宋体" w:hAnsi="宋体" w:eastAsia="宋体" w:cs="宋体"/>
      <w:color w:val="000000"/>
      <w:sz w:val="21"/>
      <w:szCs w:val="21"/>
      <w:u w:val="none"/>
    </w:rPr>
  </w:style>
  <w:style w:type="character" w:customStyle="1" w:styleId="56">
    <w:name w:val="日期 字符"/>
    <w:semiHidden/>
    <w:qFormat/>
    <w:uiPriority w:val="0"/>
    <w:rPr>
      <w:rFonts w:ascii="Times New Roman" w:hAnsi="Times New Roman" w:eastAsia="宋体"/>
      <w:sz w:val="24"/>
    </w:rPr>
  </w:style>
  <w:style w:type="character" w:customStyle="1" w:styleId="57">
    <w:name w:val="页脚 字符"/>
    <w:qFormat/>
    <w:uiPriority w:val="99"/>
  </w:style>
  <w:style w:type="character" w:customStyle="1" w:styleId="58">
    <w:name w:val="表内文字 Char"/>
    <w:link w:val="59"/>
    <w:qFormat/>
    <w:uiPriority w:val="0"/>
    <w:rPr>
      <w:sz w:val="21"/>
      <w:szCs w:val="24"/>
    </w:rPr>
  </w:style>
  <w:style w:type="paragraph" w:customStyle="1" w:styleId="59">
    <w:name w:val="表内文字"/>
    <w:basedOn w:val="1"/>
    <w:link w:val="58"/>
    <w:qFormat/>
    <w:uiPriority w:val="0"/>
    <w:pPr>
      <w:adjustRightInd w:val="0"/>
      <w:spacing w:line="360" w:lineRule="auto"/>
      <w:jc w:val="center"/>
    </w:pPr>
    <w:rPr>
      <w:rFonts w:cs="Arial Unicode MS"/>
      <w:kern w:val="0"/>
      <w:lang w:bidi="bo-CN"/>
    </w:rPr>
  </w:style>
  <w:style w:type="character" w:customStyle="1" w:styleId="60">
    <w:name w:val="font31"/>
    <w:qFormat/>
    <w:uiPriority w:val="0"/>
    <w:rPr>
      <w:rFonts w:hint="default" w:ascii="Times New Roman" w:hAnsi="Times New Roman" w:cs="Times New Roman"/>
      <w:color w:val="000000"/>
      <w:sz w:val="21"/>
      <w:szCs w:val="21"/>
      <w:u w:val="none"/>
    </w:rPr>
  </w:style>
  <w:style w:type="character" w:customStyle="1" w:styleId="61">
    <w:name w:val="批注文字 字符1"/>
    <w:semiHidden/>
    <w:qFormat/>
    <w:uiPriority w:val="0"/>
    <w:rPr>
      <w:rFonts w:ascii="Times New Roman" w:hAnsi="Times New Roman" w:eastAsia="宋体"/>
      <w:sz w:val="24"/>
    </w:rPr>
  </w:style>
  <w:style w:type="paragraph" w:customStyle="1" w:styleId="62">
    <w:name w:val="表格文字2"/>
    <w:basedOn w:val="1"/>
    <w:qFormat/>
    <w:uiPriority w:val="0"/>
    <w:pPr>
      <w:adjustRightInd w:val="0"/>
      <w:spacing w:before="60"/>
      <w:jc w:val="center"/>
      <w:textAlignment w:val="baseline"/>
    </w:pPr>
    <w:rPr>
      <w:rFonts w:ascii="宋体"/>
      <w:kern w:val="0"/>
      <w:sz w:val="24"/>
    </w:rPr>
  </w:style>
  <w:style w:type="paragraph" w:customStyle="1" w:styleId="63">
    <w:name w:val="加粗"/>
    <w:basedOn w:val="1"/>
    <w:next w:val="1"/>
    <w:qFormat/>
    <w:uiPriority w:val="0"/>
    <w:pPr>
      <w:ind w:firstLine="0" w:firstLineChars="0"/>
      <w:jc w:val="left"/>
    </w:pPr>
    <w:rPr>
      <w:b/>
    </w:rPr>
  </w:style>
  <w:style w:type="paragraph" w:customStyle="1" w:styleId="64">
    <w:name w:val="报告表格"/>
    <w:basedOn w:val="1"/>
    <w:qFormat/>
    <w:uiPriority w:val="0"/>
    <w:pPr>
      <w:autoSpaceDE w:val="0"/>
      <w:autoSpaceDN w:val="0"/>
      <w:adjustRightInd w:val="0"/>
      <w:spacing w:before="40" w:after="40"/>
      <w:jc w:val="center"/>
    </w:pPr>
    <w:rPr>
      <w:kern w:val="0"/>
    </w:rPr>
  </w:style>
  <w:style w:type="paragraph" w:customStyle="1" w:styleId="65">
    <w:name w:val="表格内容"/>
    <w:basedOn w:val="1"/>
    <w:next w:val="1"/>
    <w:qFormat/>
    <w:uiPriority w:val="0"/>
    <w:pPr>
      <w:adjustRightInd w:val="0"/>
      <w:jc w:val="center"/>
    </w:pPr>
    <w:rPr>
      <w:szCs w:val="21"/>
    </w:rPr>
  </w:style>
  <w:style w:type="paragraph" w:customStyle="1" w:styleId="66">
    <w:name w:val="No Spacing"/>
    <w:qFormat/>
    <w:uiPriority w:val="0"/>
    <w:pPr>
      <w:widowControl w:val="0"/>
      <w:spacing w:line="340" w:lineRule="exact"/>
      <w:jc w:val="center"/>
    </w:pPr>
    <w:rPr>
      <w:rFonts w:ascii="Times New Roman" w:hAnsi="Times New Roman" w:eastAsia="宋体" w:cs="Times New Roman"/>
      <w:kern w:val="2"/>
      <w:sz w:val="21"/>
      <w:szCs w:val="22"/>
      <w:lang w:val="en-US" w:eastAsia="zh-CN" w:bidi="ar-SA"/>
    </w:rPr>
  </w:style>
  <w:style w:type="paragraph" w:customStyle="1" w:styleId="67">
    <w:name w:val="我的样式"/>
    <w:basedOn w:val="1"/>
    <w:qFormat/>
    <w:uiPriority w:val="0"/>
    <w:pPr>
      <w:adjustRightInd w:val="0"/>
      <w:snapToGrid w:val="0"/>
      <w:spacing w:line="360" w:lineRule="auto"/>
      <w:ind w:firstLine="200" w:firstLineChars="200"/>
      <w:jc w:val="left"/>
    </w:pPr>
    <w:rPr>
      <w:rFonts w:ascii="宋体" w:hAnsi="宋体"/>
      <w:snapToGrid w:val="0"/>
      <w:kern w:val="0"/>
      <w:sz w:val="28"/>
      <w:szCs w:val="20"/>
    </w:rPr>
  </w:style>
  <w:style w:type="paragraph" w:customStyle="1" w:styleId="68">
    <w:name w:val="xl24"/>
    <w:basedOn w:val="1"/>
    <w:qFormat/>
    <w:uiPriority w:val="0"/>
    <w:pPr>
      <w:widowControl/>
      <w:spacing w:before="100" w:after="100"/>
      <w:jc w:val="center"/>
    </w:pPr>
    <w:rPr>
      <w:rFonts w:ascii="宋体" w:hAnsi="宋体"/>
      <w:kern w:val="0"/>
      <w:sz w:val="24"/>
      <w:szCs w:val="20"/>
    </w:rPr>
  </w:style>
  <w:style w:type="paragraph" w:customStyle="1" w:styleId="69">
    <w:name w:val="报告"/>
    <w:basedOn w:val="1"/>
    <w:qFormat/>
    <w:uiPriority w:val="0"/>
    <w:pPr>
      <w:adjustRightInd w:val="0"/>
      <w:spacing w:line="360" w:lineRule="auto"/>
      <w:ind w:firstLine="505"/>
      <w:textAlignment w:val="baseline"/>
    </w:pPr>
    <w:rPr>
      <w:kern w:val="0"/>
      <w:sz w:val="24"/>
    </w:rPr>
  </w:style>
  <w:style w:type="paragraph" w:customStyle="1" w:styleId="70">
    <w:name w:val="_Style 1"/>
    <w:qFormat/>
    <w:uiPriority w:val="0"/>
    <w:pPr>
      <w:widowControl w:val="0"/>
      <w:spacing w:line="340" w:lineRule="exact"/>
      <w:jc w:val="center"/>
    </w:pPr>
    <w:rPr>
      <w:rFonts w:ascii="Times New Roman" w:hAnsi="Times New Roman" w:eastAsia="宋体" w:cs="Times New Roman"/>
      <w:kern w:val="2"/>
      <w:sz w:val="21"/>
      <w:szCs w:val="22"/>
      <w:lang w:val="en-US" w:eastAsia="zh-CN" w:bidi="ar-SA"/>
    </w:rPr>
  </w:style>
  <w:style w:type="paragraph" w:customStyle="1" w:styleId="71">
    <w:name w:val="真·正文"/>
    <w:basedOn w:val="1"/>
    <w:qFormat/>
    <w:uiPriority w:val="0"/>
    <w:pPr>
      <w:widowControl w:val="0"/>
      <w:spacing w:after="0" w:line="360" w:lineRule="auto"/>
      <w:ind w:firstLine="200" w:firstLineChars="200"/>
    </w:pPr>
    <w:rPr>
      <w:rFonts w:ascii="Times New Roman" w:hAnsi="Times New Roman" w:eastAsia="宋体" w:cs="Times New Roman"/>
      <w:kern w:val="2"/>
      <w:sz w:val="24"/>
      <w:szCs w:val="21"/>
    </w:rPr>
  </w:style>
  <w:style w:type="paragraph" w:customStyle="1" w:styleId="72">
    <w:name w:val="a表内字"/>
    <w:basedOn w:val="73"/>
    <w:qFormat/>
    <w:uiPriority w:val="0"/>
    <w:rPr>
      <w:b w:val="0"/>
      <w:color w:val="auto"/>
    </w:rPr>
  </w:style>
  <w:style w:type="paragraph" w:customStyle="1" w:styleId="73">
    <w:name w:val="a表名"/>
    <w:basedOn w:val="1"/>
    <w:qFormat/>
    <w:uiPriority w:val="0"/>
    <w:pPr>
      <w:jc w:val="center"/>
    </w:pPr>
    <w:rPr>
      <w:rFonts w:ascii="宋体" w:hAnsi="宋体"/>
      <w:b/>
      <w:color w:val="000000"/>
      <w:szCs w:val="24"/>
    </w:rPr>
  </w:style>
  <w:style w:type="paragraph" w:customStyle="1" w:styleId="74">
    <w:name w:val="无间隔11"/>
    <w:qFormat/>
    <w:uiPriority w:val="1"/>
    <w:pPr>
      <w:jc w:val="center"/>
    </w:pPr>
    <w:rPr>
      <w:rFonts w:ascii="Times New Roman" w:hAnsi="Times New Roman" w:eastAsia="Times New Roman" w:cs="Times New Roman"/>
      <w:sz w:val="21"/>
      <w:szCs w:val="24"/>
      <w:lang w:val="en-US" w:eastAsia="zh-CN" w:bidi="ar-SA"/>
    </w:rPr>
  </w:style>
  <w:style w:type="paragraph" w:customStyle="1" w:styleId="75">
    <w:name w:val="列出段落1"/>
    <w:basedOn w:val="1"/>
    <w:qFormat/>
    <w:uiPriority w:val="34"/>
    <w:pPr>
      <w:ind w:firstLine="420" w:firstLineChars="200"/>
    </w:pPr>
  </w:style>
  <w:style w:type="paragraph" w:customStyle="1" w:styleId="76">
    <w:name w:val="正文小四"/>
    <w:basedOn w:val="1"/>
    <w:qFormat/>
    <w:uiPriority w:val="0"/>
    <w:pPr>
      <w:spacing w:line="360" w:lineRule="auto"/>
      <w:ind w:firstLine="200" w:firstLineChars="200"/>
    </w:pPr>
    <w:rPr>
      <w:sz w:val="24"/>
    </w:rPr>
  </w:style>
  <w:style w:type="paragraph" w:customStyle="1" w:styleId="7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8">
    <w:name w:val="Table Paragraph"/>
    <w:basedOn w:val="1"/>
    <w:qFormat/>
    <w:uiPriority w:val="0"/>
    <w:pPr>
      <w:autoSpaceDE w:val="0"/>
      <w:autoSpaceDN w:val="0"/>
      <w:adjustRightInd w:val="0"/>
      <w:jc w:val="left"/>
    </w:pPr>
    <w:rPr>
      <w:kern w:val="0"/>
      <w:sz w:val="24"/>
    </w:rPr>
  </w:style>
  <w:style w:type="paragraph" w:customStyle="1" w:styleId="79">
    <w:name w:val="1正文"/>
    <w:basedOn w:val="1"/>
    <w:qFormat/>
    <w:uiPriority w:val="0"/>
    <w:pPr>
      <w:adjustRightInd w:val="0"/>
      <w:snapToGrid w:val="0"/>
      <w:spacing w:before="50" w:beforeLines="50" w:after="50" w:afterLines="50" w:line="360" w:lineRule="auto"/>
      <w:ind w:firstLine="200" w:firstLineChars="200"/>
      <w:jc w:val="left"/>
    </w:pPr>
    <w:rPr>
      <w:rFonts w:ascii="宋体" w:hAnsi="宋体"/>
      <w:kern w:val="0"/>
      <w:szCs w:val="20"/>
    </w:rPr>
  </w:style>
  <w:style w:type="paragraph" w:customStyle="1" w:styleId="80">
    <w:name w:val="流程图"/>
    <w:basedOn w:val="1"/>
    <w:qFormat/>
    <w:uiPriority w:val="0"/>
    <w:pPr>
      <w:tabs>
        <w:tab w:val="center" w:pos="0"/>
      </w:tabs>
    </w:pPr>
    <w:rPr>
      <w:rFonts w:eastAsia="楷体_GB2312"/>
      <w:sz w:val="24"/>
      <w:szCs w:val="20"/>
    </w:rPr>
  </w:style>
  <w:style w:type="paragraph" w:customStyle="1" w:styleId="81">
    <w:name w:val="表头何昌泽"/>
    <w:basedOn w:val="1"/>
    <w:qFormat/>
    <w:uiPriority w:val="0"/>
    <w:pPr>
      <w:widowControl/>
      <w:adjustRightInd w:val="0"/>
      <w:snapToGrid w:val="0"/>
      <w:spacing w:line="160" w:lineRule="atLeast"/>
      <w:jc w:val="center"/>
    </w:pPr>
    <w:rPr>
      <w:rFonts w:eastAsia="Times New Roman"/>
      <w:b/>
      <w:szCs w:val="21"/>
    </w:rPr>
  </w:style>
  <w:style w:type="paragraph" w:customStyle="1" w:styleId="8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83">
    <w:name w:val="正文何昌泽"/>
    <w:basedOn w:val="1"/>
    <w:qFormat/>
    <w:uiPriority w:val="0"/>
    <w:pPr>
      <w:adjustRightInd w:val="0"/>
      <w:snapToGrid w:val="0"/>
      <w:spacing w:line="360" w:lineRule="auto"/>
      <w:ind w:firstLine="200" w:firstLineChars="200"/>
    </w:pPr>
    <w:rPr>
      <w:sz w:val="24"/>
    </w:rPr>
  </w:style>
  <w:style w:type="paragraph" w:customStyle="1" w:styleId="84">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85">
    <w:name w:val="表格内"/>
    <w:basedOn w:val="1"/>
    <w:next w:val="1"/>
    <w:qFormat/>
    <w:uiPriority w:val="0"/>
    <w:pPr>
      <w:widowControl w:val="0"/>
      <w:spacing w:after="0"/>
      <w:jc w:val="center"/>
    </w:pPr>
    <w:rPr>
      <w:rFonts w:ascii="Calibri" w:hAnsi="Calibri" w:eastAsia="宋体"/>
      <w:kern w:val="2"/>
      <w:sz w:val="21"/>
      <w:szCs w:val="24"/>
    </w:rPr>
  </w:style>
  <w:style w:type="paragraph" w:customStyle="1" w:styleId="86">
    <w:name w:val="表格 仿宋5号"/>
    <w:basedOn w:val="1"/>
    <w:qFormat/>
    <w:uiPriority w:val="0"/>
    <w:pPr>
      <w:widowControl/>
      <w:adjustRightInd w:val="0"/>
      <w:snapToGrid w:val="0"/>
      <w:spacing w:before="0" w:line="240" w:lineRule="auto"/>
      <w:jc w:val="center"/>
    </w:pPr>
    <w:rPr>
      <w:rFonts w:eastAsia="仿宋"/>
      <w:color w:val="000000"/>
      <w:kern w:val="0"/>
      <w:sz w:val="21"/>
      <w:szCs w:val="21"/>
      <w:lang w:val="zh-CN" w:eastAsia="zh-CN"/>
    </w:rPr>
  </w:style>
  <w:style w:type="paragraph" w:customStyle="1" w:styleId="87">
    <w:name w:val="正文-欣欣"/>
    <w:basedOn w:val="1"/>
    <w:next w:val="1"/>
    <w:qFormat/>
    <w:uiPriority w:val="0"/>
    <w:pPr>
      <w:adjustRightInd w:val="0"/>
      <w:spacing w:line="360" w:lineRule="auto"/>
      <w:ind w:firstLine="200" w:firstLineChars="200"/>
    </w:pPr>
    <w:rPr>
      <w:rFonts w:cs="Courier New"/>
      <w:sz w:val="24"/>
      <w:szCs w:val="21"/>
    </w:rPr>
  </w:style>
  <w:style w:type="paragraph" w:customStyle="1" w:styleId="88">
    <w:name w:val="章标题"/>
    <w:basedOn w:val="1"/>
    <w:next w:val="1"/>
    <w:qFormat/>
    <w:uiPriority w:val="0"/>
    <w:pPr>
      <w:widowControl/>
      <w:spacing w:before="158" w:after="153" w:line="323" w:lineRule="atLeast"/>
      <w:ind w:right="-120" w:firstLine="198"/>
      <w:jc w:val="center"/>
      <w:textAlignment w:val="baseline"/>
    </w:pPr>
    <w:rPr>
      <w:color w:val="FF0000"/>
      <w:kern w:val="0"/>
      <w:sz w:val="18"/>
      <w:szCs w:val="18"/>
    </w:rPr>
  </w:style>
  <w:style w:type="paragraph" w:customStyle="1" w:styleId="89">
    <w:name w:val="1表格"/>
    <w:basedOn w:val="1"/>
    <w:qFormat/>
    <w:uiPriority w:val="0"/>
    <w:pPr>
      <w:snapToGrid w:val="0"/>
      <w:spacing w:line="160" w:lineRule="atLeast"/>
      <w:jc w:val="center"/>
    </w:pPr>
    <w:rPr>
      <w:rFonts w:eastAsia="仿宋_GB2312"/>
      <w:szCs w:val="20"/>
    </w:rPr>
  </w:style>
  <w:style w:type="paragraph" w:customStyle="1" w:styleId="90">
    <w:name w:val="【正文】"/>
    <w:basedOn w:val="1"/>
    <w:qFormat/>
    <w:uiPriority w:val="0"/>
    <w:pPr>
      <w:spacing w:line="440" w:lineRule="exact"/>
      <w:ind w:firstLine="544" w:firstLineChars="200"/>
    </w:pPr>
    <w:rPr>
      <w:sz w:val="24"/>
      <w:szCs w:val="20"/>
    </w:rPr>
  </w:style>
  <w:style w:type="paragraph" w:customStyle="1" w:styleId="91">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92">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93">
    <w:name w:val="Table Grid_0"/>
    <w:basedOn w:val="26"/>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4">
    <w:name w:val="正文000000000"/>
    <w:basedOn w:val="1"/>
    <w:next w:val="1"/>
    <w:qFormat/>
    <w:uiPriority w:val="0"/>
    <w:pPr>
      <w:spacing w:line="360" w:lineRule="auto"/>
      <w:ind w:firstLine="480" w:firstLineChars="200"/>
    </w:pPr>
    <w:rPr>
      <w:rFonts w:ascii="宋体" w:hAnsi="宋体"/>
      <w:kern w:val="0"/>
      <w:sz w:val="24"/>
    </w:rPr>
  </w:style>
  <w:style w:type="paragraph" w:customStyle="1" w:styleId="95">
    <w:name w:val="环评正文"/>
    <w:qFormat/>
    <w:uiPriority w:val="0"/>
    <w:pPr>
      <w:spacing w:line="400" w:lineRule="exact"/>
      <w:ind w:firstLine="200" w:firstLineChars="200"/>
    </w:pPr>
    <w:rPr>
      <w:rFonts w:ascii="Times New Roman" w:hAnsi="Times New Roman" w:eastAsia="宋体" w:cs="Times New Roman"/>
      <w:bCs/>
      <w:sz w:val="24"/>
      <w:szCs w:val="24"/>
      <w:lang w:val="en-US" w:eastAsia="zh-CN" w:bidi="ar-SA"/>
    </w:rPr>
  </w:style>
  <w:style w:type="paragraph" w:customStyle="1" w:styleId="96">
    <w:name w:val="无间隔1"/>
    <w:basedOn w:val="1"/>
    <w:qFormat/>
    <w:uiPriority w:val="0"/>
    <w:pPr>
      <w:jc w:val="center"/>
    </w:pPr>
    <w:rPr>
      <w:sz w:val="24"/>
    </w:rPr>
  </w:style>
  <w:style w:type="paragraph" w:customStyle="1" w:styleId="97">
    <w:name w:val="正文01"/>
    <w:basedOn w:val="1"/>
    <w:qFormat/>
    <w:uiPriority w:val="0"/>
    <w:pPr>
      <w:spacing w:line="360" w:lineRule="auto"/>
      <w:ind w:firstLine="482"/>
    </w:pPr>
    <w:rPr>
      <w:sz w:val="24"/>
      <w:szCs w:val="20"/>
    </w:rPr>
  </w:style>
  <w:style w:type="paragraph" w:customStyle="1" w:styleId="98">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9">
    <w:name w:val="正文4.30"/>
    <w:basedOn w:val="1"/>
    <w:qFormat/>
    <w:uiPriority w:val="0"/>
    <w:pPr>
      <w:spacing w:line="360" w:lineRule="auto"/>
      <w:ind w:firstLine="560" w:firstLineChars="200"/>
    </w:pPr>
    <w:rPr>
      <w:rFonts w:ascii="Times New Roman" w:hAnsi="Times New Roman"/>
    </w:rPr>
  </w:style>
  <w:style w:type="table" w:customStyle="1" w:styleId="100">
    <w:name w:val="Table Normal"/>
    <w:unhideWhenUsed/>
    <w:qFormat/>
    <w:uiPriority w:val="2"/>
    <w:rPr>
      <w:lang w:val="en-US" w:eastAsia="zh-CN" w:bidi="bo-CN"/>
    </w:rPr>
    <w:tblPr>
      <w:tblCellMar>
        <w:top w:w="0" w:type="dxa"/>
        <w:left w:w="0" w:type="dxa"/>
        <w:bottom w:w="0" w:type="dxa"/>
        <w:right w:w="0" w:type="dxa"/>
      </w:tblCellMar>
    </w:tblPr>
  </w:style>
  <w:style w:type="character" w:customStyle="1" w:styleId="101">
    <w:name w:val="font11"/>
    <w:basedOn w:val="28"/>
    <w:qFormat/>
    <w:uiPriority w:val="0"/>
    <w:rPr>
      <w:rFonts w:hint="eastAsia" w:ascii="宋体" w:hAnsi="宋体" w:eastAsia="宋体" w:cs="宋体"/>
      <w:b/>
      <w:bCs/>
      <w:color w:val="000000"/>
      <w:sz w:val="18"/>
      <w:szCs w:val="18"/>
      <w:u w:val="none"/>
    </w:rPr>
  </w:style>
  <w:style w:type="character" w:customStyle="1" w:styleId="102">
    <w:name w:val="font21"/>
    <w:basedOn w:val="28"/>
    <w:qFormat/>
    <w:uiPriority w:val="0"/>
    <w:rPr>
      <w:rFonts w:hint="default" w:ascii="Times New Roman" w:hAnsi="Times New Roman" w:cs="Times New Roman"/>
      <w:color w:val="000000"/>
      <w:sz w:val="18"/>
      <w:szCs w:val="18"/>
      <w:u w:val="none"/>
    </w:rPr>
  </w:style>
  <w:style w:type="character" w:customStyle="1" w:styleId="103">
    <w:name w:val="font01"/>
    <w:basedOn w:val="28"/>
    <w:qFormat/>
    <w:uiPriority w:val="0"/>
    <w:rPr>
      <w:rFonts w:hint="default" w:ascii="Times New Roman" w:hAnsi="Times New Roman" w:cs="Times New Roman"/>
      <w:color w:val="FF0000"/>
      <w:sz w:val="21"/>
      <w:szCs w:val="21"/>
      <w:u w:val="none"/>
      <w:vertAlign w:val="superscript"/>
    </w:rPr>
  </w:style>
  <w:style w:type="paragraph" w:customStyle="1" w:styleId="104">
    <w:name w:val="Table Text"/>
    <w:basedOn w:val="1"/>
    <w:semiHidden/>
    <w:qFormat/>
    <w:uiPriority w:val="0"/>
    <w:rPr>
      <w:rFonts w:ascii="宋体" w:hAnsi="宋体" w:eastAsia="宋体" w:cs="宋体"/>
      <w:sz w:val="16"/>
      <w:szCs w:val="16"/>
      <w:lang w:val="en-US" w:eastAsia="en-US" w:bidi="ar-SA"/>
    </w:rPr>
  </w:style>
  <w:style w:type="paragraph" w:customStyle="1" w:styleId="105">
    <w:name w:val="表格标题"/>
    <w:basedOn w:val="1"/>
    <w:next w:val="106"/>
    <w:qFormat/>
    <w:uiPriority w:val="0"/>
    <w:pPr>
      <w:adjustRightInd w:val="0"/>
      <w:snapToGrid w:val="0"/>
      <w:spacing w:line="240" w:lineRule="auto"/>
      <w:ind w:firstLine="0" w:firstLineChars="0"/>
      <w:jc w:val="center"/>
    </w:pPr>
    <w:rPr>
      <w:rFonts w:ascii="Times New Roman" w:hAnsi="Times New Roman" w:eastAsia="宋体"/>
      <w:b/>
      <w:sz w:val="21"/>
    </w:rPr>
  </w:style>
  <w:style w:type="paragraph" w:customStyle="1" w:styleId="106">
    <w:name w:val="表格文字"/>
    <w:basedOn w:val="21"/>
    <w:next w:val="1"/>
    <w:qFormat/>
    <w:uiPriority w:val="0"/>
    <w:pPr>
      <w:autoSpaceDE w:val="0"/>
      <w:autoSpaceDN w:val="0"/>
      <w:adjustRightInd w:val="0"/>
      <w:snapToGrid w:val="0"/>
      <w:spacing w:line="240" w:lineRule="auto"/>
      <w:ind w:left="0" w:firstLine="0" w:firstLineChars="0"/>
      <w:jc w:val="center"/>
      <w:textAlignment w:val="bottom"/>
      <w:outlineLvl w:val="3"/>
    </w:pPr>
    <w:rPr>
      <w:kern w:val="0"/>
      <w:sz w:val="21"/>
    </w:rPr>
  </w:style>
  <w:style w:type="paragraph" w:customStyle="1" w:styleId="107">
    <w:name w:val="《正文》"/>
    <w:basedOn w:val="1"/>
    <w:qFormat/>
    <w:uiPriority w:val="0"/>
    <w:pPr>
      <w:spacing w:line="360" w:lineRule="auto"/>
      <w:ind w:firstLine="20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142</Pages>
  <Words>445</Words>
  <Characters>553</Characters>
  <Lines>552</Lines>
  <Paragraphs>155</Paragraphs>
  <TotalTime>0</TotalTime>
  <ScaleCrop>false</ScaleCrop>
  <LinksUpToDate>false</LinksUpToDate>
  <CharactersWithSpaces>599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idiot</cp:lastModifiedBy>
  <cp:lastPrinted>2021-03-23T00:04:00Z</cp:lastPrinted>
  <dcterms:modified xsi:type="dcterms:W3CDTF">2025-05-13T06:53:16Z</dcterms:modified>
  <dc:title>附件2</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SaveFontToCloudKey">
    <vt:lpwstr>229900955_cloud</vt:lpwstr>
  </property>
  <property fmtid="{D5CDD505-2E9C-101B-9397-08002B2CF9AE}" pid="4" name="ICV">
    <vt:lpwstr>F2C545DEBD284E369087E5BEF08D822C_13</vt:lpwstr>
  </property>
  <property fmtid="{D5CDD505-2E9C-101B-9397-08002B2CF9AE}" pid="5" name="commondata">
    <vt:lpwstr>eyJoZGlkIjoiYTRjNTVjMDEwOWFmM2UyNTA1NWQ3Y2I2ZTlhMzg1NzUifQ==</vt:lpwstr>
  </property>
  <property fmtid="{D5CDD505-2E9C-101B-9397-08002B2CF9AE}" pid="6" name="KSOTemplateDocerSaveRecord">
    <vt:lpwstr>eyJoZGlkIjoiMmUzY2E4Mzg5YmZjMzcxNGU1NzY5YmQ2NDA1YTE1MzIiLCJ1c2VySWQiOiIzODQ4MjU3MTkifQ==</vt:lpwstr>
  </property>
</Properties>
</file>